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77E460" w14:textId="77777777" w:rsidR="001E6046" w:rsidRPr="001E6046" w:rsidRDefault="001E6046" w:rsidP="001E6046">
      <w:pPr>
        <w:spacing w:after="100" w:afterAutospacing="1" w:line="360" w:lineRule="auto"/>
        <w:outlineLvl w:val="2"/>
        <w:rPr>
          <w:rFonts w:ascii="Times New Roman" w:hAnsi="Times New Roman"/>
          <w:b/>
          <w:bCs/>
          <w:lang w:val="en-HK"/>
        </w:rPr>
      </w:pPr>
      <w:r w:rsidRPr="001E6046">
        <w:rPr>
          <w:rFonts w:ascii="Times New Roman" w:hAnsi="Times New Roman"/>
          <w:b/>
          <w:bCs/>
          <w:lang w:val="en-HK"/>
        </w:rPr>
        <w:t>1. The Rule in Saunders v Vautier (p. 20) – Detailed Analysis</w:t>
      </w:r>
    </w:p>
    <w:p w14:paraId="2381028E"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lang w:val="en-HK"/>
        </w:rPr>
        <w:t xml:space="preserve">This section establishes the foundational principle of the rule in </w:t>
      </w:r>
      <w:r w:rsidRPr="001E6046">
        <w:rPr>
          <w:rFonts w:ascii="Times New Roman" w:hAnsi="Times New Roman"/>
          <w:i/>
          <w:iCs/>
          <w:lang w:val="en-HK"/>
        </w:rPr>
        <w:t>Saunders v Vautier</w:t>
      </w:r>
      <w:r w:rsidRPr="001E6046">
        <w:rPr>
          <w:rFonts w:ascii="Times New Roman" w:hAnsi="Times New Roman"/>
          <w:lang w:val="en-HK"/>
        </w:rPr>
        <w:t>, its historical context, and its extension from fixed to discretionary trusts. The rule empowers beneficiaries to terminate a trust and claim trust property, provided they meet specific conditions, but its application has grown complex as trust structures evolved.</w:t>
      </w:r>
    </w:p>
    <w:p w14:paraId="274BC699" w14:textId="77777777" w:rsidR="001E6046" w:rsidRPr="001E6046" w:rsidRDefault="001E6046" w:rsidP="001E6046">
      <w:pPr>
        <w:numPr>
          <w:ilvl w:val="0"/>
          <w:numId w:val="1"/>
        </w:numPr>
        <w:spacing w:after="100" w:afterAutospacing="1" w:line="360" w:lineRule="auto"/>
        <w:rPr>
          <w:rFonts w:ascii="Times New Roman" w:hAnsi="Times New Roman"/>
          <w:lang w:val="en-HK"/>
        </w:rPr>
      </w:pPr>
      <w:r w:rsidRPr="001E6046">
        <w:rPr>
          <w:rFonts w:ascii="Times New Roman" w:hAnsi="Times New Roman"/>
          <w:b/>
          <w:bCs/>
          <w:lang w:val="en-HK"/>
        </w:rPr>
        <w:t>Case Law: Saunders v Vautier [1841] 4 Beav 115, 49 ER 282</w:t>
      </w:r>
      <w:r w:rsidRPr="001E6046">
        <w:rPr>
          <w:rFonts w:ascii="Times New Roman" w:hAnsi="Times New Roman"/>
          <w:lang w:val="en-HK"/>
        </w:rPr>
        <w:t xml:space="preserve"> </w:t>
      </w:r>
    </w:p>
    <w:p w14:paraId="210E9A39" w14:textId="77777777" w:rsidR="001E6046" w:rsidRPr="001E6046" w:rsidRDefault="001E6046" w:rsidP="001E6046">
      <w:pPr>
        <w:spacing w:after="100" w:afterAutospacing="1" w:line="360" w:lineRule="auto"/>
        <w:rPr>
          <w:rFonts w:ascii="Times New Roman" w:hAnsi="Times New Roman"/>
          <w:b/>
          <w:bCs/>
          <w:lang w:val="en-HK"/>
        </w:rPr>
      </w:pPr>
      <w:r w:rsidRPr="001E6046">
        <w:rPr>
          <w:rFonts w:ascii="Times New Roman" w:hAnsi="Times New Roman"/>
          <w:i/>
          <w:iCs/>
          <w:lang w:val="en-HK"/>
        </w:rPr>
        <w:t>Facts</w:t>
      </w:r>
      <w:r w:rsidRPr="001E6046">
        <w:rPr>
          <w:rFonts w:ascii="Times New Roman" w:hAnsi="Times New Roman"/>
          <w:lang w:val="en-HK"/>
        </w:rPr>
        <w:t xml:space="preserve">: A testator bequeathed East India Company shares to be held in trust for Daniel Wright Vautier until he reached the age of 25. At 21, having attained majority under the law at that time, </w:t>
      </w:r>
      <w:r w:rsidRPr="001E6046">
        <w:rPr>
          <w:rFonts w:ascii="Times New Roman" w:hAnsi="Times New Roman"/>
          <w:b/>
          <w:bCs/>
          <w:lang w:val="en-HK"/>
        </w:rPr>
        <w:t>Vautier demanded the shares be transferred to him outright, challenging the trustee’s refusal to comply before the stipulated age.</w:t>
      </w:r>
    </w:p>
    <w:p w14:paraId="483F50DA" w14:textId="77777777" w:rsidR="001E6046" w:rsidRPr="001E6046" w:rsidRDefault="001E6046" w:rsidP="001E6046">
      <w:pPr>
        <w:spacing w:after="100" w:afterAutospacing="1" w:line="360" w:lineRule="auto"/>
        <w:rPr>
          <w:rFonts w:ascii="Times New Roman" w:hAnsi="Times New Roman"/>
          <w:b/>
          <w:bCs/>
          <w:lang w:val="en-HK"/>
        </w:rPr>
      </w:pPr>
      <w:r w:rsidRPr="001E6046">
        <w:rPr>
          <w:rFonts w:ascii="Times New Roman" w:hAnsi="Times New Roman"/>
          <w:i/>
          <w:iCs/>
          <w:lang w:val="en-HK"/>
        </w:rPr>
        <w:t>Held</w:t>
      </w:r>
      <w:r w:rsidRPr="001E6046">
        <w:rPr>
          <w:rFonts w:ascii="Times New Roman" w:hAnsi="Times New Roman"/>
          <w:lang w:val="en-HK"/>
        </w:rPr>
        <w:t xml:space="preserve">: </w:t>
      </w:r>
      <w:r w:rsidRPr="001E6046">
        <w:rPr>
          <w:rFonts w:ascii="Times New Roman" w:hAnsi="Times New Roman"/>
          <w:b/>
          <w:bCs/>
          <w:lang w:val="en-HK"/>
        </w:rPr>
        <w:t>The court ruled in Vautier’s favor, permitting him to terminate the trust and take legal ownership of the shares at 21.</w:t>
      </w:r>
    </w:p>
    <w:p w14:paraId="400D945C"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Reasoning</w:t>
      </w:r>
      <w:r w:rsidRPr="001E6046">
        <w:rPr>
          <w:rFonts w:ascii="Times New Roman" w:hAnsi="Times New Roman"/>
          <w:lang w:val="en-HK"/>
        </w:rPr>
        <w:t xml:space="preserve">: </w:t>
      </w:r>
      <w:r w:rsidRPr="001E6046">
        <w:rPr>
          <w:rFonts w:ascii="Times New Roman" w:hAnsi="Times New Roman"/>
          <w:b/>
          <w:bCs/>
          <w:color w:val="FF0000"/>
          <w:lang w:val="en-HK"/>
        </w:rPr>
        <w:t>Lord Langdale MR held that a beneficiary who is of full age and capacity, and solely entitled to the trust property, can override the settlor’s intent to delay distribution</w:t>
      </w:r>
      <w:r w:rsidRPr="001E6046">
        <w:rPr>
          <w:rFonts w:ascii="Times New Roman" w:hAnsi="Times New Roman"/>
          <w:lang w:val="en-HK"/>
        </w:rPr>
        <w:t>. The decision rested on the principle that a beneficiary’s proprietary interest in trust assets prevails over trust terms once legal capacity is established. This established the rule: a single, fully capacitated beneficiary can terminate a trust, regardless of the settlor’s contrary design.</w:t>
      </w:r>
    </w:p>
    <w:p w14:paraId="64016D1A"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Additional Context</w:t>
      </w:r>
      <w:r w:rsidRPr="001E6046">
        <w:rPr>
          <w:rFonts w:ascii="Times New Roman" w:hAnsi="Times New Roman"/>
          <w:lang w:val="en-HK"/>
        </w:rPr>
        <w:t xml:space="preserve">: The authors note this was not a novel ruling, citing earlier cases like </w:t>
      </w:r>
      <w:r w:rsidRPr="001E6046">
        <w:rPr>
          <w:rFonts w:ascii="Times New Roman" w:hAnsi="Times New Roman"/>
          <w:i/>
          <w:iCs/>
          <w:lang w:val="en-HK"/>
        </w:rPr>
        <w:t>Josselyn v Josselyn (1837) 9 Sim. 63</w:t>
      </w:r>
      <w:r w:rsidRPr="001E6046">
        <w:rPr>
          <w:rFonts w:ascii="Times New Roman" w:hAnsi="Times New Roman"/>
          <w:lang w:val="en-HK"/>
        </w:rPr>
        <w:t xml:space="preserve">, suggesting the rule’s naming may be a historical quirk (Matthews, </w:t>
      </w:r>
      <w:r w:rsidRPr="001E6046">
        <w:rPr>
          <w:rFonts w:ascii="Times New Roman" w:hAnsi="Times New Roman"/>
          <w:i/>
          <w:iCs/>
          <w:lang w:val="en-HK"/>
        </w:rPr>
        <w:t>The comparative importance of the rule in Saunders v Vautier</w:t>
      </w:r>
      <w:r w:rsidRPr="001E6046">
        <w:rPr>
          <w:rFonts w:ascii="Times New Roman" w:hAnsi="Times New Roman"/>
          <w:lang w:val="en-HK"/>
        </w:rPr>
        <w:t>, 2006).</w:t>
      </w:r>
    </w:p>
    <w:p w14:paraId="25C37CED" w14:textId="77777777" w:rsidR="001E6046" w:rsidRPr="001E6046" w:rsidRDefault="001E6046" w:rsidP="001E6046">
      <w:pPr>
        <w:numPr>
          <w:ilvl w:val="0"/>
          <w:numId w:val="1"/>
        </w:numPr>
        <w:spacing w:after="100" w:afterAutospacing="1" w:line="360" w:lineRule="auto"/>
        <w:rPr>
          <w:rFonts w:ascii="Times New Roman" w:hAnsi="Times New Roman"/>
          <w:lang w:val="en-HK"/>
        </w:rPr>
      </w:pPr>
      <w:r w:rsidRPr="001E6046">
        <w:rPr>
          <w:rFonts w:ascii="Times New Roman" w:hAnsi="Times New Roman"/>
          <w:b/>
          <w:bCs/>
          <w:lang w:val="en-HK"/>
        </w:rPr>
        <w:t>Case Law: In Re Smith [1928] Ch. 915</w:t>
      </w:r>
      <w:r w:rsidRPr="001E6046">
        <w:rPr>
          <w:rFonts w:ascii="Times New Roman" w:hAnsi="Times New Roman"/>
          <w:lang w:val="en-HK"/>
        </w:rPr>
        <w:t xml:space="preserve"> </w:t>
      </w:r>
    </w:p>
    <w:p w14:paraId="579C5AF3"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Facts</w:t>
      </w:r>
      <w:r w:rsidRPr="001E6046">
        <w:rPr>
          <w:rFonts w:ascii="Times New Roman" w:hAnsi="Times New Roman"/>
          <w:lang w:val="en-HK"/>
        </w:rPr>
        <w:t>: A discretionary trust named two individuals as the sole objects, granting trustees discretion to apply the fund for their benefit. The beneficiaries sought to terminate the trust and divide the assets.</w:t>
      </w:r>
    </w:p>
    <w:p w14:paraId="245A07BA"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Held</w:t>
      </w:r>
      <w:r w:rsidRPr="001E6046">
        <w:rPr>
          <w:rFonts w:ascii="Times New Roman" w:hAnsi="Times New Roman"/>
          <w:lang w:val="en-HK"/>
        </w:rPr>
        <w:t>: The court permitted termination, treating the two beneficiaries as collectively entitled to the trust property.</w:t>
      </w:r>
    </w:p>
    <w:p w14:paraId="2CE7302E"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lastRenderedPageBreak/>
        <w:t>Reasoning</w:t>
      </w:r>
      <w:r w:rsidRPr="001E6046">
        <w:rPr>
          <w:rFonts w:ascii="Times New Roman" w:hAnsi="Times New Roman"/>
          <w:lang w:val="en-HK"/>
        </w:rPr>
        <w:t xml:space="preserve">: Romer J reasoned that where multiple beneficiaries together constitute the entire beneficial class, they can be treated as a single entity for the purpose of applying the rule in </w:t>
      </w:r>
      <w:r w:rsidRPr="001E6046">
        <w:rPr>
          <w:rFonts w:ascii="Times New Roman" w:hAnsi="Times New Roman"/>
          <w:i/>
          <w:iCs/>
          <w:lang w:val="en-HK"/>
        </w:rPr>
        <w:t>Saunders v Vautier</w:t>
      </w:r>
      <w:r w:rsidRPr="001E6046">
        <w:rPr>
          <w:rFonts w:ascii="Times New Roman" w:hAnsi="Times New Roman"/>
          <w:lang w:val="en-HK"/>
        </w:rPr>
        <w:t>. The trustees’ obligation to distribute the whole fund to this class meant that, with unanimous consent, the beneficiaries could compel termination. This extended the rule to discretionary trusts, provided all beneficiaries are identified, of full age, and agree. The requirement of a “closed class” emerged here, ensuring no potential beneficiaries are excluded.</w:t>
      </w:r>
    </w:p>
    <w:p w14:paraId="3C3024BC" w14:textId="77777777" w:rsidR="001E6046" w:rsidRPr="001E6046" w:rsidRDefault="001E6046" w:rsidP="001E6046">
      <w:pPr>
        <w:numPr>
          <w:ilvl w:val="0"/>
          <w:numId w:val="1"/>
        </w:numPr>
        <w:spacing w:after="100" w:afterAutospacing="1" w:line="360" w:lineRule="auto"/>
        <w:rPr>
          <w:rFonts w:ascii="Times New Roman" w:hAnsi="Times New Roman"/>
          <w:lang w:val="en-HK"/>
        </w:rPr>
      </w:pPr>
      <w:r w:rsidRPr="001E6046">
        <w:rPr>
          <w:rFonts w:ascii="Times New Roman" w:hAnsi="Times New Roman"/>
          <w:b/>
          <w:bCs/>
          <w:lang w:val="en-HK"/>
        </w:rPr>
        <w:t>Evolution and Application</w:t>
      </w:r>
      <w:r w:rsidRPr="001E6046">
        <w:rPr>
          <w:rFonts w:ascii="Times New Roman" w:hAnsi="Times New Roman"/>
          <w:lang w:val="en-HK"/>
        </w:rPr>
        <w:t xml:space="preserve">: </w:t>
      </w:r>
    </w:p>
    <w:p w14:paraId="1DFE19D7" w14:textId="77777777" w:rsidR="001E6046" w:rsidRPr="001E6046" w:rsidRDefault="001E6046" w:rsidP="001E6046">
      <w:pPr>
        <w:numPr>
          <w:ilvl w:val="1"/>
          <w:numId w:val="1"/>
        </w:numPr>
        <w:spacing w:after="100" w:afterAutospacing="1" w:line="360" w:lineRule="auto"/>
        <w:rPr>
          <w:rFonts w:ascii="Times New Roman" w:hAnsi="Times New Roman"/>
          <w:lang w:val="en-HK"/>
        </w:rPr>
      </w:pPr>
      <w:r w:rsidRPr="001E6046">
        <w:rPr>
          <w:rFonts w:ascii="Times New Roman" w:hAnsi="Times New Roman"/>
          <w:lang w:val="en-HK"/>
        </w:rPr>
        <w:t xml:space="preserve">The rule originated in fixed trusts, where beneficial interests are certain (e.g., </w:t>
      </w:r>
      <w:r w:rsidRPr="001E6046">
        <w:rPr>
          <w:rFonts w:ascii="Times New Roman" w:hAnsi="Times New Roman"/>
          <w:i/>
          <w:iCs/>
          <w:lang w:val="en-HK"/>
        </w:rPr>
        <w:t>Saunders</w:t>
      </w:r>
      <w:r w:rsidRPr="001E6046">
        <w:rPr>
          <w:rFonts w:ascii="Times New Roman" w:hAnsi="Times New Roman"/>
          <w:lang w:val="en-HK"/>
        </w:rPr>
        <w:t xml:space="preserve">), but its adaptation to discretionary trusts introduced complexity. In fixed trusts, a sole beneficiary’s entitlement is straightforward. In discretionary trusts, trustees have latitude in distribution, yet </w:t>
      </w:r>
      <w:r w:rsidRPr="001E6046">
        <w:rPr>
          <w:rFonts w:ascii="Times New Roman" w:hAnsi="Times New Roman"/>
          <w:i/>
          <w:iCs/>
          <w:lang w:val="en-HK"/>
        </w:rPr>
        <w:t>In Re Smith</w:t>
      </w:r>
      <w:r w:rsidRPr="001E6046">
        <w:rPr>
          <w:rFonts w:ascii="Times New Roman" w:hAnsi="Times New Roman"/>
          <w:lang w:val="en-HK"/>
        </w:rPr>
        <w:t xml:space="preserve"> affirmed that collective entitlement suffices if all beneficiaries consent.</w:t>
      </w:r>
    </w:p>
    <w:p w14:paraId="383202E8" w14:textId="77777777" w:rsidR="001E6046" w:rsidRPr="001E6046" w:rsidRDefault="001E6046" w:rsidP="001E6046">
      <w:pPr>
        <w:numPr>
          <w:ilvl w:val="1"/>
          <w:numId w:val="1"/>
        </w:numPr>
        <w:spacing w:after="100" w:afterAutospacing="1" w:line="360" w:lineRule="auto"/>
        <w:rPr>
          <w:rFonts w:ascii="Times New Roman" w:hAnsi="Times New Roman"/>
          <w:lang w:val="en-HK"/>
        </w:rPr>
      </w:pPr>
      <w:r w:rsidRPr="001E6046">
        <w:rPr>
          <w:rFonts w:ascii="Times New Roman" w:hAnsi="Times New Roman"/>
          <w:lang w:val="en-HK"/>
        </w:rPr>
        <w:t xml:space="preserve">The authors emphasize a key condition: termination requires that “all persons who have, or may have, an interest in the trust property are of full age and capacity and all consent” (Lewin, </w:t>
      </w:r>
      <w:r w:rsidRPr="001E6046">
        <w:rPr>
          <w:rFonts w:ascii="Times New Roman" w:hAnsi="Times New Roman"/>
          <w:i/>
          <w:iCs/>
          <w:lang w:val="en-HK"/>
        </w:rPr>
        <w:t>Lewin on Trusts</w:t>
      </w:r>
      <w:r w:rsidRPr="001E6046">
        <w:rPr>
          <w:rFonts w:ascii="Times New Roman" w:hAnsi="Times New Roman"/>
          <w:lang w:val="en-HK"/>
        </w:rPr>
        <w:t>, 2020). This ensures no unborn or unascertained beneficiaries are disenfranchised, a principle tested in massively discretionary trusts.</w:t>
      </w:r>
    </w:p>
    <w:p w14:paraId="71A641CA" w14:textId="77777777" w:rsidR="001E6046" w:rsidRPr="001E6046" w:rsidRDefault="001E6046" w:rsidP="001E6046">
      <w:pPr>
        <w:numPr>
          <w:ilvl w:val="0"/>
          <w:numId w:val="1"/>
        </w:numPr>
        <w:spacing w:after="100" w:afterAutospacing="1" w:line="360" w:lineRule="auto"/>
        <w:rPr>
          <w:rFonts w:ascii="Times New Roman" w:hAnsi="Times New Roman"/>
          <w:lang w:val="en-HK"/>
        </w:rPr>
      </w:pPr>
      <w:r w:rsidRPr="001E6046">
        <w:rPr>
          <w:rFonts w:ascii="Times New Roman" w:hAnsi="Times New Roman"/>
          <w:b/>
          <w:bCs/>
          <w:lang w:val="en-HK"/>
        </w:rPr>
        <w:t>Scholar’s Opinion</w:t>
      </w:r>
      <w:r w:rsidRPr="001E6046">
        <w:rPr>
          <w:rFonts w:ascii="Times New Roman" w:hAnsi="Times New Roman"/>
          <w:lang w:val="en-HK"/>
        </w:rPr>
        <w:t xml:space="preserve">: </w:t>
      </w:r>
    </w:p>
    <w:p w14:paraId="1236D57A" w14:textId="77777777" w:rsidR="001E6046" w:rsidRPr="001E6046" w:rsidRDefault="001E6046" w:rsidP="001E6046">
      <w:pPr>
        <w:numPr>
          <w:ilvl w:val="1"/>
          <w:numId w:val="1"/>
        </w:numPr>
        <w:spacing w:after="100" w:afterAutospacing="1" w:line="360" w:lineRule="auto"/>
        <w:rPr>
          <w:rFonts w:ascii="Times New Roman" w:hAnsi="Times New Roman"/>
          <w:lang w:val="en-HK"/>
        </w:rPr>
      </w:pPr>
      <w:r w:rsidRPr="001E6046">
        <w:rPr>
          <w:rFonts w:ascii="Times New Roman" w:hAnsi="Times New Roman"/>
          <w:lang w:val="en-HK"/>
        </w:rPr>
        <w:t xml:space="preserve">Matthews contends that the rule’s significance predates </w:t>
      </w:r>
      <w:r w:rsidRPr="001E6046">
        <w:rPr>
          <w:rFonts w:ascii="Times New Roman" w:hAnsi="Times New Roman"/>
          <w:i/>
          <w:iCs/>
          <w:lang w:val="en-HK"/>
        </w:rPr>
        <w:t>Saunders</w:t>
      </w:r>
      <w:r w:rsidRPr="001E6046">
        <w:rPr>
          <w:rFonts w:ascii="Times New Roman" w:hAnsi="Times New Roman"/>
          <w:lang w:val="en-HK"/>
        </w:rPr>
        <w:t xml:space="preserve">, rooted in earlier equity principles allowing beneficiaries to assert proprietary rights (Matthews, </w:t>
      </w:r>
      <w:r w:rsidRPr="001E6046">
        <w:rPr>
          <w:rFonts w:ascii="Times New Roman" w:hAnsi="Times New Roman"/>
          <w:i/>
          <w:iCs/>
          <w:lang w:val="en-HK"/>
        </w:rPr>
        <w:t>The comparative importance of the rule in Saunders v Vautier</w:t>
      </w:r>
      <w:r w:rsidRPr="001E6046">
        <w:rPr>
          <w:rFonts w:ascii="Times New Roman" w:hAnsi="Times New Roman"/>
          <w:lang w:val="en-HK"/>
        </w:rPr>
        <w:t>, 2006). He argues its prominence is somewhat accidental, as similar outcomes existed prior to 1841.</w:t>
      </w:r>
    </w:p>
    <w:p w14:paraId="5CA85CCB" w14:textId="77777777" w:rsidR="001E6046" w:rsidRPr="001E6046" w:rsidRDefault="001E6046" w:rsidP="001E6046">
      <w:pPr>
        <w:numPr>
          <w:ilvl w:val="1"/>
          <w:numId w:val="1"/>
        </w:numPr>
        <w:spacing w:after="100" w:afterAutospacing="1" w:line="360" w:lineRule="auto"/>
        <w:rPr>
          <w:rFonts w:ascii="Times New Roman" w:hAnsi="Times New Roman"/>
          <w:lang w:val="en-HK"/>
        </w:rPr>
      </w:pPr>
      <w:r w:rsidRPr="001E6046">
        <w:rPr>
          <w:rFonts w:ascii="Times New Roman" w:hAnsi="Times New Roman"/>
          <w:lang w:val="en-HK"/>
        </w:rPr>
        <w:t xml:space="preserve">Lewin reinforces that in discretionary trusts, the rule applies if all beneficiaries are ascertainable and consent, despite their interests not being fixed (Lewin, </w:t>
      </w:r>
      <w:r w:rsidRPr="001E6046">
        <w:rPr>
          <w:rFonts w:ascii="Times New Roman" w:hAnsi="Times New Roman"/>
          <w:i/>
          <w:iCs/>
          <w:lang w:val="en-HK"/>
        </w:rPr>
        <w:t>Lewin on Trusts</w:t>
      </w:r>
      <w:r w:rsidRPr="001E6046">
        <w:rPr>
          <w:rFonts w:ascii="Times New Roman" w:hAnsi="Times New Roman"/>
          <w:lang w:val="en-HK"/>
        </w:rPr>
        <w:t>, 2020).</w:t>
      </w:r>
    </w:p>
    <w:p w14:paraId="41FCCFC8" w14:textId="77777777" w:rsidR="001E6046" w:rsidRPr="001E6046" w:rsidRDefault="001E6046" w:rsidP="001E6046">
      <w:pPr>
        <w:numPr>
          <w:ilvl w:val="0"/>
          <w:numId w:val="1"/>
        </w:numPr>
        <w:spacing w:after="100" w:afterAutospacing="1" w:line="360" w:lineRule="auto"/>
        <w:rPr>
          <w:rFonts w:ascii="Times New Roman" w:hAnsi="Times New Roman"/>
          <w:lang w:val="en-HK"/>
        </w:rPr>
      </w:pPr>
      <w:r w:rsidRPr="001E6046">
        <w:rPr>
          <w:rFonts w:ascii="Times New Roman" w:hAnsi="Times New Roman"/>
          <w:b/>
          <w:bCs/>
          <w:lang w:val="en-HK"/>
        </w:rPr>
        <w:t>Significance</w:t>
      </w:r>
      <w:r w:rsidRPr="001E6046">
        <w:rPr>
          <w:rFonts w:ascii="Times New Roman" w:hAnsi="Times New Roman"/>
          <w:lang w:val="en-HK"/>
        </w:rPr>
        <w:t xml:space="preserve">: The rule reflects a balance between settlor intent and beneficiary autonomy. Its extension to discretionary trusts, as seen in </w:t>
      </w:r>
      <w:r w:rsidRPr="001E6046">
        <w:rPr>
          <w:rFonts w:ascii="Times New Roman" w:hAnsi="Times New Roman"/>
          <w:i/>
          <w:iCs/>
          <w:lang w:val="en-HK"/>
        </w:rPr>
        <w:t>In Re Smith</w:t>
      </w:r>
      <w:r w:rsidRPr="001E6046">
        <w:rPr>
          <w:rFonts w:ascii="Times New Roman" w:hAnsi="Times New Roman"/>
          <w:lang w:val="en-HK"/>
        </w:rPr>
        <w:t>, laid the groundwork for debates in modern contexts, particularly where trustee powers blur beneficial interests.</w:t>
      </w:r>
    </w:p>
    <w:p w14:paraId="1ABC050C" w14:textId="77777777" w:rsidR="001E6046" w:rsidRPr="001E6046" w:rsidRDefault="00E90432" w:rsidP="001E6046">
      <w:pPr>
        <w:spacing w:line="360" w:lineRule="auto"/>
        <w:rPr>
          <w:rFonts w:ascii="Times New Roman" w:hAnsi="Times New Roman"/>
          <w:lang w:val="en-HK"/>
        </w:rPr>
      </w:pPr>
      <w:r w:rsidRPr="00E90432">
        <w:rPr>
          <w:rFonts w:ascii="Times New Roman" w:hAnsi="Times New Roman"/>
          <w:noProof/>
          <w:lang w:val="en-HK"/>
          <w14:ligatures w14:val="standardContextual"/>
        </w:rPr>
        <w:pict w14:anchorId="30D70F6F">
          <v:rect id="_x0000_i1029" alt="" style="width:451.3pt;height:.05pt;mso-width-percent:0;mso-height-percent:0;mso-width-percent:0;mso-height-percent:0" o:hralign="center" o:hrstd="t" o:hr="t" fillcolor="#a0a0a0" stroked="f"/>
        </w:pict>
      </w:r>
    </w:p>
    <w:p w14:paraId="3A1A6B96" w14:textId="77777777" w:rsidR="001E6046" w:rsidRPr="001E6046" w:rsidRDefault="001E6046" w:rsidP="001E6046">
      <w:pPr>
        <w:spacing w:after="100" w:afterAutospacing="1" w:line="360" w:lineRule="auto"/>
        <w:outlineLvl w:val="2"/>
        <w:rPr>
          <w:rFonts w:ascii="Times New Roman" w:hAnsi="Times New Roman"/>
          <w:b/>
          <w:bCs/>
          <w:lang w:val="en-HK"/>
        </w:rPr>
      </w:pPr>
      <w:r w:rsidRPr="001E6046">
        <w:rPr>
          <w:rFonts w:ascii="Times New Roman" w:hAnsi="Times New Roman"/>
          <w:b/>
          <w:bCs/>
          <w:lang w:val="en-HK"/>
        </w:rPr>
        <w:t>2. Indefeasibility and Beyond: Against Applying the Rule (pp. 20–23) – Detailed Analysis</w:t>
      </w:r>
    </w:p>
    <w:p w14:paraId="229E253F"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lang w:val="en-HK"/>
        </w:rPr>
        <w:lastRenderedPageBreak/>
        <w:t xml:space="preserve">This section examines the “indefeasibility approach,” which posits that the rule in </w:t>
      </w:r>
      <w:r w:rsidRPr="001E6046">
        <w:rPr>
          <w:rFonts w:ascii="Times New Roman" w:hAnsi="Times New Roman"/>
          <w:i/>
          <w:iCs/>
          <w:lang w:val="en-HK"/>
        </w:rPr>
        <w:t>Saunders v Vautier</w:t>
      </w:r>
      <w:r w:rsidRPr="001E6046">
        <w:rPr>
          <w:rFonts w:ascii="Times New Roman" w:hAnsi="Times New Roman"/>
          <w:lang w:val="en-HK"/>
        </w:rPr>
        <w:t xml:space="preserve"> cannot apply to trusts with broad powers to add beneficiaries, as such powers prevent a closed class. The authors critique this view, highlighting conflicting authorities and practical implications.</w:t>
      </w:r>
    </w:p>
    <w:p w14:paraId="2807ADDE"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Core Argument – Indefeasibility Approach</w:t>
      </w:r>
      <w:r w:rsidRPr="001E6046">
        <w:rPr>
          <w:rFonts w:ascii="Times New Roman" w:hAnsi="Times New Roman"/>
          <w:lang w:val="en-HK"/>
        </w:rPr>
        <w:t xml:space="preserve">: </w:t>
      </w:r>
    </w:p>
    <w:p w14:paraId="49A5D82B" w14:textId="77777777" w:rsidR="001E6046" w:rsidRPr="001E6046" w:rsidRDefault="001E6046" w:rsidP="001E6046">
      <w:pPr>
        <w:numPr>
          <w:ilvl w:val="1"/>
          <w:numId w:val="2"/>
        </w:numPr>
        <w:spacing w:after="100" w:afterAutospacing="1" w:line="360" w:lineRule="auto"/>
        <w:rPr>
          <w:rFonts w:ascii="Times New Roman" w:hAnsi="Times New Roman"/>
          <w:lang w:val="en-HK"/>
        </w:rPr>
      </w:pPr>
      <w:r w:rsidRPr="001E6046">
        <w:rPr>
          <w:rFonts w:ascii="Times New Roman" w:hAnsi="Times New Roman"/>
          <w:lang w:val="en-HK"/>
        </w:rPr>
        <w:t xml:space="preserve">The Guernsey Court of Appeal in </w:t>
      </w:r>
      <w:r w:rsidRPr="001E6046">
        <w:rPr>
          <w:rFonts w:ascii="Times New Roman" w:hAnsi="Times New Roman"/>
          <w:i/>
          <w:iCs/>
          <w:lang w:val="en-HK"/>
        </w:rPr>
        <w:t>Rusnano</w:t>
      </w:r>
      <w:r w:rsidRPr="001E6046">
        <w:rPr>
          <w:rFonts w:ascii="Times New Roman" w:hAnsi="Times New Roman"/>
          <w:lang w:val="en-HK"/>
        </w:rPr>
        <w:t xml:space="preserve"> leaned toward indefeasibility, suggesting that an unfettered power to add beneficiaries renders the beneficial class open, barring termination (Morris and Clark-Jones, </w:t>
      </w:r>
      <w:r w:rsidRPr="001E6046">
        <w:rPr>
          <w:rFonts w:ascii="Times New Roman" w:hAnsi="Times New Roman"/>
          <w:i/>
          <w:iCs/>
          <w:lang w:val="en-HK"/>
        </w:rPr>
        <w:t>I’ve got the power</w:t>
      </w:r>
      <w:r w:rsidRPr="001E6046">
        <w:rPr>
          <w:rFonts w:ascii="Times New Roman" w:hAnsi="Times New Roman"/>
          <w:lang w:val="en-HK"/>
        </w:rPr>
        <w:t xml:space="preserve">, 2022). This contrasts with the “temporal approach,” which assesses the class at a given moment (Beynon, </w:t>
      </w:r>
      <w:r w:rsidRPr="001E6046">
        <w:rPr>
          <w:rFonts w:ascii="Times New Roman" w:hAnsi="Times New Roman"/>
          <w:i/>
          <w:iCs/>
          <w:lang w:val="en-HK"/>
        </w:rPr>
        <w:t>The rule in Saunders v Vautier: To the ‘residuary beneficiary’, the spoils?</w:t>
      </w:r>
      <w:r w:rsidRPr="001E6046">
        <w:rPr>
          <w:rFonts w:ascii="Times New Roman" w:hAnsi="Times New Roman"/>
          <w:lang w:val="en-HK"/>
        </w:rPr>
        <w:t>, 2019).</w:t>
      </w:r>
    </w:p>
    <w:p w14:paraId="7A62BE23" w14:textId="77777777" w:rsidR="001E6046" w:rsidRPr="001E6046" w:rsidRDefault="001E6046" w:rsidP="001E6046">
      <w:pPr>
        <w:numPr>
          <w:ilvl w:val="1"/>
          <w:numId w:val="2"/>
        </w:numPr>
        <w:spacing w:after="100" w:afterAutospacing="1" w:line="360" w:lineRule="auto"/>
        <w:rPr>
          <w:rFonts w:ascii="Times New Roman" w:hAnsi="Times New Roman"/>
          <w:lang w:val="en-HK"/>
        </w:rPr>
      </w:pPr>
      <w:r w:rsidRPr="001E6046">
        <w:rPr>
          <w:rFonts w:ascii="Times New Roman" w:hAnsi="Times New Roman"/>
          <w:lang w:val="en-HK"/>
        </w:rPr>
        <w:t>The authors explore whether an “absolute and indefeasible interest” is required, a question unresolved in English law.</w:t>
      </w:r>
    </w:p>
    <w:p w14:paraId="392540B9"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Case Law: Schmidt v Rosewood [2003] 2 AC 709</w:t>
      </w:r>
      <w:r w:rsidRPr="001E6046">
        <w:rPr>
          <w:rFonts w:ascii="Times New Roman" w:hAnsi="Times New Roman"/>
          <w:lang w:val="en-HK"/>
        </w:rPr>
        <w:t xml:space="preserve"> </w:t>
      </w:r>
    </w:p>
    <w:p w14:paraId="6530C45C"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Facts</w:t>
      </w:r>
      <w:r w:rsidRPr="001E6046">
        <w:rPr>
          <w:rFonts w:ascii="Times New Roman" w:hAnsi="Times New Roman"/>
          <w:lang w:val="en-HK"/>
        </w:rPr>
        <w:t>: The appellant, a potential object of a discretionary power in a trust, sought disclosure of trust documents after the settlor’s death. The trustee resisted, arguing no proprietary interest existed.</w:t>
      </w:r>
    </w:p>
    <w:p w14:paraId="1AE9DE62"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Held</w:t>
      </w:r>
      <w:r w:rsidRPr="001E6046">
        <w:rPr>
          <w:rFonts w:ascii="Times New Roman" w:hAnsi="Times New Roman"/>
          <w:lang w:val="en-HK"/>
        </w:rPr>
        <w:t>: The Privy Council granted standing for disclosure, ruling it stems from the court’s supervisory jurisdiction, not ownership.</w:t>
      </w:r>
    </w:p>
    <w:p w14:paraId="19050ABA" w14:textId="29806312"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Reasoning</w:t>
      </w:r>
      <w:r w:rsidRPr="001E6046">
        <w:rPr>
          <w:rFonts w:ascii="Times New Roman" w:hAnsi="Times New Roman"/>
          <w:lang w:val="en-HK"/>
        </w:rPr>
        <w:t xml:space="preserve">: Lord Walker held that rights to information arise from equity’s oversight of trusts, not a fixed beneficial interest. Objects of mere powers, including broad appointment powers, may seek court protection, though this depends on judicial discretion and their claim’s strength (e.g., “exceptionally strong claims”). His obiter at </w:t>
      </w:r>
      <w:r w:rsidRPr="001E6046">
        <w:rPr>
          <w:rFonts w:ascii="Times New Roman" w:hAnsi="Times New Roman"/>
          <w:lang w:val="en-HK"/>
        </w:rPr>
        <w:t xml:space="preserve">paragraph </w:t>
      </w:r>
      <w:r w:rsidRPr="001E6046">
        <w:rPr>
          <w:rFonts w:ascii="Times New Roman" w:hAnsi="Times New Roman"/>
          <w:lang w:val="en-HK"/>
        </w:rPr>
        <w:t xml:space="preserve">41 suggested such objects could block </w:t>
      </w:r>
      <w:r w:rsidRPr="001E6046">
        <w:rPr>
          <w:rFonts w:ascii="Times New Roman" w:hAnsi="Times New Roman"/>
          <w:i/>
          <w:iCs/>
          <w:lang w:val="en-HK"/>
        </w:rPr>
        <w:t>Saunders v Vautier</w:t>
      </w:r>
      <w:r w:rsidRPr="001E6046">
        <w:rPr>
          <w:rFonts w:ascii="Times New Roman" w:hAnsi="Times New Roman"/>
          <w:lang w:val="en-HK"/>
        </w:rPr>
        <w:t xml:space="preserve"> termination, implying indefeasibility where powers exist. The authors argue this misaligns with the ratio, as disclosure rights do not equate to termination rights.</w:t>
      </w:r>
    </w:p>
    <w:p w14:paraId="71795317"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Critique</w:t>
      </w:r>
      <w:r w:rsidRPr="001E6046">
        <w:rPr>
          <w:rFonts w:ascii="Times New Roman" w:hAnsi="Times New Roman"/>
          <w:lang w:val="en-HK"/>
        </w:rPr>
        <w:t xml:space="preserve">: If applied to </w:t>
      </w:r>
      <w:r w:rsidRPr="001E6046">
        <w:rPr>
          <w:rFonts w:ascii="Times New Roman" w:hAnsi="Times New Roman"/>
          <w:i/>
          <w:iCs/>
          <w:lang w:val="en-HK"/>
        </w:rPr>
        <w:t>Saunders v Vautier</w:t>
      </w:r>
      <w:r w:rsidRPr="001E6046">
        <w:rPr>
          <w:rFonts w:ascii="Times New Roman" w:hAnsi="Times New Roman"/>
          <w:lang w:val="en-HK"/>
        </w:rPr>
        <w:t>, this could absurdly allow anyone globally to challenge termination, undermining trust administration.</w:t>
      </w:r>
    </w:p>
    <w:p w14:paraId="56758B2C"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Case Law: In re Trafford’s Settlement [1985] 1 Ch 32</w:t>
      </w:r>
      <w:r w:rsidRPr="001E6046">
        <w:rPr>
          <w:rFonts w:ascii="Times New Roman" w:hAnsi="Times New Roman"/>
          <w:lang w:val="en-HK"/>
        </w:rPr>
        <w:t xml:space="preserve"> </w:t>
      </w:r>
    </w:p>
    <w:p w14:paraId="7668ED86"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lastRenderedPageBreak/>
        <w:t>Facts</w:t>
      </w:r>
      <w:r w:rsidRPr="001E6046">
        <w:rPr>
          <w:rFonts w:ascii="Times New Roman" w:hAnsi="Times New Roman"/>
          <w:lang w:val="en-HK"/>
        </w:rPr>
        <w:t>: A trust benefited a defined class, including unborn children and future spouses, with some beneficiaries unascertained at the time of a termination request.</w:t>
      </w:r>
    </w:p>
    <w:p w14:paraId="326D2604"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Held</w:t>
      </w:r>
      <w:r w:rsidRPr="001E6046">
        <w:rPr>
          <w:rFonts w:ascii="Times New Roman" w:hAnsi="Times New Roman"/>
          <w:lang w:val="en-HK"/>
        </w:rPr>
        <w:t>: The court denied termination, as not all potential beneficiaries were in existence or ascertainable.</w:t>
      </w:r>
    </w:p>
    <w:p w14:paraId="2058365B"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Reasoning</w:t>
      </w:r>
      <w:r w:rsidRPr="001E6046">
        <w:rPr>
          <w:rFonts w:ascii="Times New Roman" w:hAnsi="Times New Roman"/>
          <w:lang w:val="en-HK"/>
        </w:rPr>
        <w:t xml:space="preserve">: The court protected the interests of unborn or unascertained class members, requiring their inclusion for the rule to apply. The authors distinguish this from broad powers to add beneficiaries, noting that </w:t>
      </w:r>
      <w:r w:rsidRPr="001E6046">
        <w:rPr>
          <w:rFonts w:ascii="Times New Roman" w:hAnsi="Times New Roman"/>
          <w:i/>
          <w:iCs/>
          <w:lang w:val="en-HK"/>
        </w:rPr>
        <w:t>Trafford</w:t>
      </w:r>
      <w:r w:rsidRPr="001E6046">
        <w:rPr>
          <w:rFonts w:ascii="Times New Roman" w:hAnsi="Times New Roman"/>
          <w:lang w:val="en-HK"/>
        </w:rPr>
        <w:t xml:space="preserve"> concerned a fixed class, not discretionary additions. They argue that equating potential objects of powers with class members wrongly extends the rule’s limits, as the former lack beneficial interests unless added.</w:t>
      </w:r>
    </w:p>
    <w:p w14:paraId="7329FECC"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Analysis</w:t>
      </w:r>
      <w:r w:rsidRPr="001E6046">
        <w:rPr>
          <w:rFonts w:ascii="Times New Roman" w:hAnsi="Times New Roman"/>
          <w:lang w:val="en-HK"/>
        </w:rPr>
        <w:t>: The case supports indefeasibility in specific contexts but does not conclusively apply to massively discretionary trusts.</w:t>
      </w:r>
    </w:p>
    <w:p w14:paraId="2D20CBBA"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Case Law: Re Sharp’s Settlement Trusts [1973] CH. 331</w:t>
      </w:r>
      <w:r w:rsidRPr="001E6046">
        <w:rPr>
          <w:rFonts w:ascii="Times New Roman" w:hAnsi="Times New Roman"/>
          <w:lang w:val="en-HK"/>
        </w:rPr>
        <w:t xml:space="preserve"> </w:t>
      </w:r>
    </w:p>
    <w:p w14:paraId="5E345C89"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Facts</w:t>
      </w:r>
      <w:r w:rsidRPr="001E6046">
        <w:rPr>
          <w:rFonts w:ascii="Times New Roman" w:hAnsi="Times New Roman"/>
          <w:lang w:val="en-HK"/>
        </w:rPr>
        <w:t xml:space="preserve">: The court assessed an interest subject to a trustee’s power or condition under s.31 of the </w:t>
      </w:r>
      <w:r w:rsidRPr="001E6046">
        <w:rPr>
          <w:rFonts w:ascii="Times New Roman" w:hAnsi="Times New Roman"/>
          <w:i/>
          <w:iCs/>
          <w:lang w:val="en-HK"/>
        </w:rPr>
        <w:t>Trustee Act 1925</w:t>
      </w:r>
      <w:r w:rsidRPr="001E6046">
        <w:rPr>
          <w:rFonts w:ascii="Times New Roman" w:hAnsi="Times New Roman"/>
          <w:lang w:val="en-HK"/>
        </w:rPr>
        <w:t xml:space="preserve">, not directly </w:t>
      </w:r>
      <w:r w:rsidRPr="001E6046">
        <w:rPr>
          <w:rFonts w:ascii="Times New Roman" w:hAnsi="Times New Roman"/>
          <w:i/>
          <w:iCs/>
          <w:lang w:val="en-HK"/>
        </w:rPr>
        <w:t>Saunders v Vautier</w:t>
      </w:r>
      <w:r w:rsidRPr="001E6046">
        <w:rPr>
          <w:rFonts w:ascii="Times New Roman" w:hAnsi="Times New Roman"/>
          <w:lang w:val="en-HK"/>
        </w:rPr>
        <w:t>.</w:t>
      </w:r>
    </w:p>
    <w:p w14:paraId="19CED5EE"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Held</w:t>
      </w:r>
      <w:r w:rsidRPr="001E6046">
        <w:rPr>
          <w:rFonts w:ascii="Times New Roman" w:hAnsi="Times New Roman"/>
          <w:lang w:val="en-HK"/>
        </w:rPr>
        <w:t>: Pennycuick V.-C. ruled that “absolute” ownership excludes interests defeasible by trustee action or conditions.</w:t>
      </w:r>
    </w:p>
    <w:p w14:paraId="2EF1BCFD"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Reasoning</w:t>
      </w:r>
      <w:r w:rsidRPr="001E6046">
        <w:rPr>
          <w:rFonts w:ascii="Times New Roman" w:hAnsi="Times New Roman"/>
          <w:lang w:val="en-HK"/>
        </w:rPr>
        <w:t>: An interest subject to alteration lacks the dominion required for absolute entitlement, suggesting a barrier to termination if trustee powers persist. The authors note this aligns with indefeasibility but highlight its context (statutory maintenance powers, not trust termination), questioning its relevance.</w:t>
      </w:r>
    </w:p>
    <w:p w14:paraId="0AEC123A"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Debate</w:t>
      </w:r>
      <w:r w:rsidRPr="001E6046">
        <w:rPr>
          <w:rFonts w:ascii="Times New Roman" w:hAnsi="Times New Roman"/>
          <w:lang w:val="en-HK"/>
        </w:rPr>
        <w:t xml:space="preserve">: If “absolute” interest is a prerequisite, </w:t>
      </w:r>
      <w:r w:rsidRPr="001E6046">
        <w:rPr>
          <w:rFonts w:ascii="Times New Roman" w:hAnsi="Times New Roman"/>
          <w:i/>
          <w:iCs/>
          <w:lang w:val="en-HK"/>
        </w:rPr>
        <w:t>Re Sharp</w:t>
      </w:r>
      <w:r w:rsidRPr="001E6046">
        <w:rPr>
          <w:rFonts w:ascii="Times New Roman" w:hAnsi="Times New Roman"/>
          <w:lang w:val="en-HK"/>
        </w:rPr>
        <w:t xml:space="preserve"> bolsters indefeasibility; however, this requirement remains unsettled.</w:t>
      </w:r>
    </w:p>
    <w:p w14:paraId="1D83E628"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Case Law: Goulding v James [1997] 2 All ER 239</w:t>
      </w:r>
      <w:r w:rsidRPr="001E6046">
        <w:rPr>
          <w:rFonts w:ascii="Times New Roman" w:hAnsi="Times New Roman"/>
          <w:lang w:val="en-HK"/>
        </w:rPr>
        <w:t xml:space="preserve"> </w:t>
      </w:r>
    </w:p>
    <w:p w14:paraId="68215103"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Facts</w:t>
      </w:r>
      <w:r w:rsidRPr="001E6046">
        <w:rPr>
          <w:rFonts w:ascii="Times New Roman" w:hAnsi="Times New Roman"/>
          <w:lang w:val="en-HK"/>
        </w:rPr>
        <w:t>: Beneficiaries sought to override a testator’s trust terms.</w:t>
      </w:r>
    </w:p>
    <w:p w14:paraId="612DE10A"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Held</w:t>
      </w:r>
      <w:r w:rsidRPr="001E6046">
        <w:rPr>
          <w:rFonts w:ascii="Times New Roman" w:hAnsi="Times New Roman"/>
          <w:lang w:val="en-HK"/>
        </w:rPr>
        <w:t xml:space="preserve">: The court upheld their right to terminate, affirming </w:t>
      </w:r>
      <w:r w:rsidRPr="001E6046">
        <w:rPr>
          <w:rFonts w:ascii="Times New Roman" w:hAnsi="Times New Roman"/>
          <w:i/>
          <w:iCs/>
          <w:lang w:val="en-HK"/>
        </w:rPr>
        <w:t>Saunders v Vautier</w:t>
      </w:r>
      <w:r w:rsidRPr="001E6046">
        <w:rPr>
          <w:rFonts w:ascii="Times New Roman" w:hAnsi="Times New Roman"/>
          <w:lang w:val="en-HK"/>
        </w:rPr>
        <w:t>.</w:t>
      </w:r>
    </w:p>
    <w:p w14:paraId="381F2DA0"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lastRenderedPageBreak/>
        <w:t>Reasoning</w:t>
      </w:r>
      <w:r w:rsidRPr="001E6046">
        <w:rPr>
          <w:rFonts w:ascii="Times New Roman" w:hAnsi="Times New Roman"/>
          <w:lang w:val="en-HK"/>
        </w:rPr>
        <w:t>: The rule recognizes beneficiaries’ proprietary rights to defeat settlor intent if they are sui juris and collectively entitled. This supports indefeasibility’s emphasis on absolute entitlement but contrasts with discretionary trust flexibility.</w:t>
      </w:r>
    </w:p>
    <w:p w14:paraId="1F2629AB"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Tension</w:t>
      </w:r>
      <w:r w:rsidRPr="001E6046">
        <w:rPr>
          <w:rFonts w:ascii="Times New Roman" w:hAnsi="Times New Roman"/>
          <w:lang w:val="en-HK"/>
        </w:rPr>
        <w:t>: The authors note this proprietary focus clashes with alternative views (below).</w:t>
      </w:r>
    </w:p>
    <w:p w14:paraId="16195718"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Case Law: Beck v Henley [2014] NSWCA 201 and CPT Custodian Pty Ltd v Commissioner of State Revenue [2005] HCA 53</w:t>
      </w:r>
      <w:r w:rsidRPr="001E6046">
        <w:rPr>
          <w:rFonts w:ascii="Times New Roman" w:hAnsi="Times New Roman"/>
          <w:lang w:val="en-HK"/>
        </w:rPr>
        <w:t xml:space="preserve"> </w:t>
      </w:r>
    </w:p>
    <w:p w14:paraId="652F029E"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Facts</w:t>
      </w:r>
      <w:r w:rsidRPr="001E6046">
        <w:rPr>
          <w:rFonts w:ascii="Times New Roman" w:hAnsi="Times New Roman"/>
          <w:lang w:val="en-HK"/>
        </w:rPr>
        <w:t>: Australian courts addressed discretionary trust termination.</w:t>
      </w:r>
    </w:p>
    <w:p w14:paraId="57844B80"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Held</w:t>
      </w:r>
      <w:r w:rsidRPr="001E6046">
        <w:rPr>
          <w:rFonts w:ascii="Times New Roman" w:hAnsi="Times New Roman"/>
          <w:lang w:val="en-HK"/>
        </w:rPr>
        <w:t>: Beneficiaries could terminate without indefeasible interests, based on trustee liability.</w:t>
      </w:r>
    </w:p>
    <w:p w14:paraId="0951611E"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Reasoning</w:t>
      </w:r>
      <w:r w:rsidRPr="001E6046">
        <w:rPr>
          <w:rFonts w:ascii="Times New Roman" w:hAnsi="Times New Roman"/>
          <w:lang w:val="en-HK"/>
        </w:rPr>
        <w:t>: The New South Wales Court of Appeal (</w:t>
      </w:r>
      <w:r w:rsidRPr="001E6046">
        <w:rPr>
          <w:rFonts w:ascii="Times New Roman" w:hAnsi="Times New Roman"/>
          <w:i/>
          <w:iCs/>
          <w:lang w:val="en-HK"/>
        </w:rPr>
        <w:t>Beck</w:t>
      </w:r>
      <w:r w:rsidRPr="001E6046">
        <w:rPr>
          <w:rFonts w:ascii="Times New Roman" w:hAnsi="Times New Roman"/>
          <w:lang w:val="en-HK"/>
        </w:rPr>
        <w:t>) and High Court (</w:t>
      </w:r>
      <w:r w:rsidRPr="001E6046">
        <w:rPr>
          <w:rFonts w:ascii="Times New Roman" w:hAnsi="Times New Roman"/>
          <w:i/>
          <w:iCs/>
          <w:lang w:val="en-HK"/>
        </w:rPr>
        <w:t>CPT Custodian</w:t>
      </w:r>
      <w:r w:rsidRPr="001E6046">
        <w:rPr>
          <w:rFonts w:ascii="Times New Roman" w:hAnsi="Times New Roman"/>
          <w:lang w:val="en-HK"/>
        </w:rPr>
        <w:t xml:space="preserve">) viewed the rule as a beneficiary power, not a proprietary right, imposing a duty on trustees to comply if all consent. This diverges from </w:t>
      </w:r>
      <w:r w:rsidRPr="001E6046">
        <w:rPr>
          <w:rFonts w:ascii="Times New Roman" w:hAnsi="Times New Roman"/>
          <w:i/>
          <w:iCs/>
          <w:lang w:val="en-HK"/>
        </w:rPr>
        <w:t>Goulding</w:t>
      </w:r>
      <w:r w:rsidRPr="001E6046">
        <w:rPr>
          <w:rFonts w:ascii="Times New Roman" w:hAnsi="Times New Roman"/>
          <w:lang w:val="en-HK"/>
        </w:rPr>
        <w:t xml:space="preserve">, suggesting discretionary objects need only be the sole persons entitled to due administration (Lewin, </w:t>
      </w:r>
      <w:r w:rsidRPr="001E6046">
        <w:rPr>
          <w:rFonts w:ascii="Times New Roman" w:hAnsi="Times New Roman"/>
          <w:i/>
          <w:iCs/>
          <w:lang w:val="en-HK"/>
        </w:rPr>
        <w:t>Lewin on Trusts</w:t>
      </w:r>
      <w:r w:rsidRPr="001E6046">
        <w:rPr>
          <w:rFonts w:ascii="Times New Roman" w:hAnsi="Times New Roman"/>
          <w:lang w:val="en-HK"/>
        </w:rPr>
        <w:t>, 2020).</w:t>
      </w:r>
    </w:p>
    <w:p w14:paraId="120779CB"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Implication</w:t>
      </w:r>
      <w:r w:rsidRPr="001E6046">
        <w:rPr>
          <w:rFonts w:ascii="Times New Roman" w:hAnsi="Times New Roman"/>
          <w:lang w:val="en-HK"/>
        </w:rPr>
        <w:t>: This challenges indefeasibility, supporting a temporal approach.</w:t>
      </w:r>
    </w:p>
    <w:p w14:paraId="43D81592"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Scholar’s Opinion</w:t>
      </w:r>
      <w:r w:rsidRPr="001E6046">
        <w:rPr>
          <w:rFonts w:ascii="Times New Roman" w:hAnsi="Times New Roman"/>
          <w:lang w:val="en-HK"/>
        </w:rPr>
        <w:t xml:space="preserve">: </w:t>
      </w:r>
    </w:p>
    <w:p w14:paraId="53C05E0D" w14:textId="77777777" w:rsidR="001E6046" w:rsidRPr="001E6046" w:rsidRDefault="001E6046" w:rsidP="001E6046">
      <w:pPr>
        <w:numPr>
          <w:ilvl w:val="1"/>
          <w:numId w:val="2"/>
        </w:numPr>
        <w:spacing w:after="100" w:afterAutospacing="1" w:line="360" w:lineRule="auto"/>
        <w:rPr>
          <w:rFonts w:ascii="Times New Roman" w:hAnsi="Times New Roman"/>
          <w:lang w:val="en-HK"/>
        </w:rPr>
      </w:pPr>
      <w:r w:rsidRPr="001E6046">
        <w:rPr>
          <w:rFonts w:ascii="Times New Roman" w:hAnsi="Times New Roman"/>
          <w:lang w:val="en-HK"/>
        </w:rPr>
        <w:t xml:space="preserve">Lewin historically argued that broad powers bar </w:t>
      </w:r>
      <w:r w:rsidRPr="001E6046">
        <w:rPr>
          <w:rFonts w:ascii="Times New Roman" w:hAnsi="Times New Roman"/>
          <w:i/>
          <w:iCs/>
          <w:lang w:val="en-HK"/>
        </w:rPr>
        <w:t>Saunders v Vautier</w:t>
      </w:r>
      <w:r w:rsidRPr="001E6046">
        <w:rPr>
          <w:rFonts w:ascii="Times New Roman" w:hAnsi="Times New Roman"/>
          <w:lang w:val="en-HK"/>
        </w:rPr>
        <w:t xml:space="preserve"> without consent of all potential objects, but now concedes uncertainty (Lewin, </w:t>
      </w:r>
      <w:r w:rsidRPr="001E6046">
        <w:rPr>
          <w:rFonts w:ascii="Times New Roman" w:hAnsi="Times New Roman"/>
          <w:i/>
          <w:iCs/>
          <w:lang w:val="en-HK"/>
        </w:rPr>
        <w:t>Lewin on Trusts</w:t>
      </w:r>
      <w:r w:rsidRPr="001E6046">
        <w:rPr>
          <w:rFonts w:ascii="Times New Roman" w:hAnsi="Times New Roman"/>
          <w:lang w:val="en-HK"/>
        </w:rPr>
        <w:t xml:space="preserve">, 2020). It also posits that discretionary objects’ lack of fixed interests does not preclude termination if they collectively hold the beneficial entitlement (Lewin, </w:t>
      </w:r>
      <w:r w:rsidRPr="001E6046">
        <w:rPr>
          <w:rFonts w:ascii="Times New Roman" w:hAnsi="Times New Roman"/>
          <w:i/>
          <w:iCs/>
          <w:lang w:val="en-HK"/>
        </w:rPr>
        <w:t>Lewin on Trusts</w:t>
      </w:r>
      <w:r w:rsidRPr="001E6046">
        <w:rPr>
          <w:rFonts w:ascii="Times New Roman" w:hAnsi="Times New Roman"/>
          <w:lang w:val="en-HK"/>
        </w:rPr>
        <w:t>, 2020).</w:t>
      </w:r>
    </w:p>
    <w:p w14:paraId="15E4F4AA" w14:textId="77777777" w:rsidR="001E6046" w:rsidRPr="001E6046" w:rsidRDefault="001E6046" w:rsidP="001E6046">
      <w:pPr>
        <w:numPr>
          <w:ilvl w:val="1"/>
          <w:numId w:val="2"/>
        </w:numPr>
        <w:spacing w:after="100" w:afterAutospacing="1" w:line="360" w:lineRule="auto"/>
        <w:rPr>
          <w:rFonts w:ascii="Times New Roman" w:hAnsi="Times New Roman"/>
          <w:lang w:val="en-HK"/>
        </w:rPr>
      </w:pPr>
      <w:r w:rsidRPr="001E6046">
        <w:rPr>
          <w:rFonts w:ascii="Times New Roman" w:hAnsi="Times New Roman"/>
          <w:lang w:val="en-HK"/>
        </w:rPr>
        <w:t xml:space="preserve">The authors critique indefeasibility, arguing it misreads </w:t>
      </w:r>
      <w:r w:rsidRPr="001E6046">
        <w:rPr>
          <w:rFonts w:ascii="Times New Roman" w:hAnsi="Times New Roman"/>
          <w:i/>
          <w:iCs/>
          <w:lang w:val="en-HK"/>
        </w:rPr>
        <w:t>Schmidt</w:t>
      </w:r>
      <w:r w:rsidRPr="001E6046">
        <w:rPr>
          <w:rFonts w:ascii="Times New Roman" w:hAnsi="Times New Roman"/>
          <w:lang w:val="en-HK"/>
        </w:rPr>
        <w:t xml:space="preserve"> and risks impractical outcomes (e.g., global standing to challenge trustees). They contrast </w:t>
      </w:r>
      <w:r w:rsidRPr="001E6046">
        <w:rPr>
          <w:rFonts w:ascii="Times New Roman" w:hAnsi="Times New Roman"/>
          <w:i/>
          <w:iCs/>
          <w:lang w:val="en-HK"/>
        </w:rPr>
        <w:t>Trafford</w:t>
      </w:r>
      <w:r w:rsidRPr="001E6046">
        <w:rPr>
          <w:rFonts w:ascii="Times New Roman" w:hAnsi="Times New Roman"/>
          <w:lang w:val="en-HK"/>
        </w:rPr>
        <w:t xml:space="preserve"> and </w:t>
      </w:r>
      <w:r w:rsidRPr="001E6046">
        <w:rPr>
          <w:rFonts w:ascii="Times New Roman" w:hAnsi="Times New Roman"/>
          <w:i/>
          <w:iCs/>
          <w:lang w:val="en-HK"/>
        </w:rPr>
        <w:t>Re Sharp</w:t>
      </w:r>
      <w:r w:rsidRPr="001E6046">
        <w:rPr>
          <w:rFonts w:ascii="Times New Roman" w:hAnsi="Times New Roman"/>
          <w:lang w:val="en-HK"/>
        </w:rPr>
        <w:t xml:space="preserve"> with </w:t>
      </w:r>
      <w:r w:rsidRPr="001E6046">
        <w:rPr>
          <w:rFonts w:ascii="Times New Roman" w:hAnsi="Times New Roman"/>
          <w:i/>
          <w:iCs/>
          <w:lang w:val="en-HK"/>
        </w:rPr>
        <w:t>Beck</w:t>
      </w:r>
      <w:r w:rsidRPr="001E6046">
        <w:rPr>
          <w:rFonts w:ascii="Times New Roman" w:hAnsi="Times New Roman"/>
          <w:lang w:val="en-HK"/>
        </w:rPr>
        <w:t>, highlighting unresolved tensions over the nature of required interests.</w:t>
      </w:r>
    </w:p>
    <w:p w14:paraId="0B8ACC5E"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Analysis</w:t>
      </w:r>
      <w:r w:rsidRPr="001E6046">
        <w:rPr>
          <w:rFonts w:ascii="Times New Roman" w:hAnsi="Times New Roman"/>
          <w:lang w:val="en-HK"/>
        </w:rPr>
        <w:t xml:space="preserve">: </w:t>
      </w:r>
    </w:p>
    <w:p w14:paraId="66CEE4DF"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lang w:val="en-HK"/>
        </w:rPr>
        <w:t>Two strands emerge: one requiring indefeasible interests (</w:t>
      </w:r>
      <w:r w:rsidRPr="001E6046">
        <w:rPr>
          <w:rFonts w:ascii="Times New Roman" w:hAnsi="Times New Roman"/>
          <w:i/>
          <w:iCs/>
          <w:lang w:val="en-HK"/>
        </w:rPr>
        <w:t>Goulding</w:t>
      </w:r>
      <w:r w:rsidRPr="001E6046">
        <w:rPr>
          <w:rFonts w:ascii="Times New Roman" w:hAnsi="Times New Roman"/>
          <w:lang w:val="en-HK"/>
        </w:rPr>
        <w:t xml:space="preserve">, </w:t>
      </w:r>
      <w:r w:rsidRPr="001E6046">
        <w:rPr>
          <w:rFonts w:ascii="Times New Roman" w:hAnsi="Times New Roman"/>
          <w:i/>
          <w:iCs/>
          <w:lang w:val="en-HK"/>
        </w:rPr>
        <w:t>Re Sharp</w:t>
      </w:r>
      <w:r w:rsidRPr="001E6046">
        <w:rPr>
          <w:rFonts w:ascii="Times New Roman" w:hAnsi="Times New Roman"/>
          <w:lang w:val="en-HK"/>
        </w:rPr>
        <w:t>), and another viewing the rule as a power (</w:t>
      </w:r>
      <w:r w:rsidRPr="001E6046">
        <w:rPr>
          <w:rFonts w:ascii="Times New Roman" w:hAnsi="Times New Roman"/>
          <w:i/>
          <w:iCs/>
          <w:lang w:val="en-HK"/>
        </w:rPr>
        <w:t>Beck</w:t>
      </w:r>
      <w:r w:rsidRPr="001E6046">
        <w:rPr>
          <w:rFonts w:ascii="Times New Roman" w:hAnsi="Times New Roman"/>
          <w:lang w:val="en-HK"/>
        </w:rPr>
        <w:t xml:space="preserve">, </w:t>
      </w:r>
      <w:r w:rsidRPr="001E6046">
        <w:rPr>
          <w:rFonts w:ascii="Times New Roman" w:hAnsi="Times New Roman"/>
          <w:i/>
          <w:iCs/>
          <w:lang w:val="en-HK"/>
        </w:rPr>
        <w:t>CPT Custodian</w:t>
      </w:r>
      <w:r w:rsidRPr="001E6046">
        <w:rPr>
          <w:rFonts w:ascii="Times New Roman" w:hAnsi="Times New Roman"/>
          <w:lang w:val="en-HK"/>
        </w:rPr>
        <w:t>). The authors find the former overly restrictive in massively discretionary trusts, where trustee powers dominate, and favor a resolution clarifying whether absolute entitlement is essential.</w:t>
      </w:r>
    </w:p>
    <w:p w14:paraId="12C5CDE6" w14:textId="4978B544" w:rsidR="001E6046" w:rsidRPr="001E6046" w:rsidRDefault="00E90432" w:rsidP="001E6046">
      <w:pPr>
        <w:spacing w:after="100" w:afterAutospacing="1" w:line="360" w:lineRule="auto"/>
        <w:rPr>
          <w:rFonts w:ascii="Times New Roman" w:hAnsi="Times New Roman"/>
          <w:lang w:val="en-HK"/>
        </w:rPr>
      </w:pPr>
      <w:r w:rsidRPr="00E90432">
        <w:rPr>
          <w:rFonts w:ascii="Times New Roman" w:hAnsi="Times New Roman"/>
          <w:noProof/>
          <w:lang w:val="en-HK"/>
          <w14:ligatures w14:val="standardContextual"/>
        </w:rPr>
        <w:lastRenderedPageBreak/>
        <w:pict w14:anchorId="36CEBAD6">
          <v:rect id="_x0000_i1028" alt="" style="width:451.3pt;height:.05pt;mso-width-percent:0;mso-height-percent:0;mso-width-percent:0;mso-height-percent:0" o:hralign="center" o:hrstd="t" o:hr="t" fillcolor="#a0a0a0" stroked="f"/>
        </w:pict>
      </w:r>
    </w:p>
    <w:p w14:paraId="20196817" w14:textId="77777777" w:rsidR="001E6046" w:rsidRPr="001E6046" w:rsidRDefault="001E6046" w:rsidP="001E6046">
      <w:pPr>
        <w:spacing w:after="100" w:afterAutospacing="1" w:line="360" w:lineRule="auto"/>
        <w:outlineLvl w:val="2"/>
        <w:rPr>
          <w:rFonts w:ascii="Times New Roman" w:hAnsi="Times New Roman"/>
          <w:b/>
          <w:bCs/>
          <w:lang w:val="en-HK"/>
        </w:rPr>
      </w:pPr>
      <w:r w:rsidRPr="001E6046">
        <w:rPr>
          <w:rFonts w:ascii="Times New Roman" w:hAnsi="Times New Roman"/>
          <w:b/>
          <w:bCs/>
          <w:lang w:val="en-HK"/>
        </w:rPr>
        <w:t>3. Settlor’s Intentions (pp. 24–25) – Detailed Analysis</w:t>
      </w:r>
    </w:p>
    <w:p w14:paraId="09BAF51A"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lang w:val="en-HK"/>
        </w:rPr>
        <w:t xml:space="preserve">This section investigates whether broad powers to add beneficiaries, particularly in “Red Cross” or “Black Hole” trusts, align with or undermine the settlor’s intentions when applying the rule in </w:t>
      </w:r>
      <w:r w:rsidRPr="001E6046">
        <w:rPr>
          <w:rFonts w:ascii="Times New Roman" w:hAnsi="Times New Roman"/>
          <w:i/>
          <w:iCs/>
          <w:lang w:val="en-HK"/>
        </w:rPr>
        <w:t>Saunders v Vautier</w:t>
      </w:r>
      <w:r w:rsidRPr="001E6046">
        <w:rPr>
          <w:rFonts w:ascii="Times New Roman" w:hAnsi="Times New Roman"/>
          <w:lang w:val="en-HK"/>
        </w:rPr>
        <w:t>. It questions the legitimacy of restricting beneficiary rights based on unexpressed intent and explores the implications for trust validity.</w:t>
      </w:r>
    </w:p>
    <w:p w14:paraId="6459A981"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Core Argument</w:t>
      </w:r>
      <w:r w:rsidRPr="001E6046">
        <w:rPr>
          <w:rFonts w:ascii="Times New Roman" w:hAnsi="Times New Roman"/>
          <w:lang w:val="en-HK"/>
        </w:rPr>
        <w:t xml:space="preserve">: </w:t>
      </w:r>
    </w:p>
    <w:p w14:paraId="5EC8A981"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lang w:val="en-HK"/>
        </w:rPr>
        <w:t xml:space="preserve">The indefeasibility approach often justifies barring termination by arguing it preserves settlor intent, especially in trusts designed to obscure true beneficiaries (e.g., Red Cross trusts). The authors challenge this, asserting that the rule in </w:t>
      </w:r>
      <w:r w:rsidRPr="001E6046">
        <w:rPr>
          <w:rFonts w:ascii="Times New Roman" w:hAnsi="Times New Roman"/>
          <w:i/>
          <w:iCs/>
          <w:lang w:val="en-HK"/>
        </w:rPr>
        <w:t>Saunders v Vautier</w:t>
      </w:r>
      <w:r w:rsidRPr="001E6046">
        <w:rPr>
          <w:rFonts w:ascii="Times New Roman" w:hAnsi="Times New Roman"/>
          <w:lang w:val="en-HK"/>
        </w:rPr>
        <w:t xml:space="preserve"> inherently overrides settlor intent, and reliance on unexpressed wishes risks categorizing trusts as shams.</w:t>
      </w:r>
    </w:p>
    <w:p w14:paraId="531BAC6E"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Red Cross and Black Hole Trusts</w:t>
      </w:r>
      <w:r w:rsidRPr="001E6046">
        <w:rPr>
          <w:rFonts w:ascii="Times New Roman" w:hAnsi="Times New Roman"/>
          <w:lang w:val="en-HK"/>
        </w:rPr>
        <w:t xml:space="preserve">: </w:t>
      </w:r>
    </w:p>
    <w:p w14:paraId="67B2C762"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Definition</w:t>
      </w:r>
      <w:r w:rsidRPr="001E6046">
        <w:rPr>
          <w:rFonts w:ascii="Times New Roman" w:hAnsi="Times New Roman"/>
          <w:lang w:val="en-HK"/>
        </w:rPr>
        <w:t>: Red Cross trusts name a charity (e.g., the Red Cross) as the sole strict beneficiary to satisfy the beneficiary principle, while granting trustees discretionary powers to distribute to specified persons or classes, guided by a letter of wishes. Black Hole trusts extend this, naming a charity but leaving the trustee with an unrestricted power to add anyone globally, revealing intended beneficiaries only upon exercise of the power.</w:t>
      </w:r>
    </w:p>
    <w:p w14:paraId="5097E91F"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Purpose</w:t>
      </w:r>
      <w:r w:rsidRPr="001E6046">
        <w:rPr>
          <w:rFonts w:ascii="Times New Roman" w:hAnsi="Times New Roman"/>
          <w:lang w:val="en-HK"/>
        </w:rPr>
        <w:t>: These structures anonymize beneficiaries and defer their identification, reflecting settlor intent outside the trust instrument.</w:t>
      </w:r>
    </w:p>
    <w:p w14:paraId="6ED72107"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Case Law: Rusnano Capital AG (in liquidation) v Molard International (PTC) Limited and Pullborough International Corp [2019] GRC 011 and [2019] GCA077]</w:t>
      </w:r>
      <w:r w:rsidRPr="001E6046">
        <w:rPr>
          <w:rFonts w:ascii="Times New Roman" w:hAnsi="Times New Roman"/>
          <w:lang w:val="en-HK"/>
        </w:rPr>
        <w:t xml:space="preserve"> </w:t>
      </w:r>
    </w:p>
    <w:p w14:paraId="4E1AF06B"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Facts</w:t>
      </w:r>
      <w:r w:rsidRPr="001E6046">
        <w:rPr>
          <w:rFonts w:ascii="Times New Roman" w:hAnsi="Times New Roman"/>
          <w:lang w:val="en-HK"/>
        </w:rPr>
        <w:t xml:space="preserve">: Rusnano, the sole existing beneficiary of the RNPharma Trust, sought termination under section 53(3) of the </w:t>
      </w:r>
      <w:r w:rsidRPr="001E6046">
        <w:rPr>
          <w:rFonts w:ascii="Times New Roman" w:hAnsi="Times New Roman"/>
          <w:i/>
          <w:iCs/>
          <w:lang w:val="en-HK"/>
        </w:rPr>
        <w:t>Trusts (Guernsey) Law, 2007</w:t>
      </w:r>
      <w:r w:rsidRPr="001E6046">
        <w:rPr>
          <w:rFonts w:ascii="Times New Roman" w:hAnsi="Times New Roman"/>
          <w:lang w:val="en-HK"/>
        </w:rPr>
        <w:t>. The trustee’s power to add beneficiaries globally was cited as a barrier, aligning with settlor intent to retain flexibility.</w:t>
      </w:r>
    </w:p>
    <w:p w14:paraId="7A8621D8"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Held</w:t>
      </w:r>
      <w:r w:rsidRPr="001E6046">
        <w:rPr>
          <w:rFonts w:ascii="Times New Roman" w:hAnsi="Times New Roman"/>
          <w:lang w:val="en-HK"/>
        </w:rPr>
        <w:t>: The Guernsey Royal Court and Court of Appeal allowed termination, ruling that potential objects of the power were not beneficiaries until added.</w:t>
      </w:r>
    </w:p>
    <w:p w14:paraId="06CD47AB"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lastRenderedPageBreak/>
        <w:t>Reasoning</w:t>
      </w:r>
      <w:r w:rsidRPr="001E6046">
        <w:rPr>
          <w:rFonts w:ascii="Times New Roman" w:hAnsi="Times New Roman"/>
          <w:lang w:val="en-HK"/>
        </w:rPr>
        <w:t>: At first instance, Deputy Bailiff McMahon noted that default beneficiaries (e.g., charities) could terminate Red Cross trusts before principal beneficiaries are added, potentially thwarting settlor intent. He suggested charities might refrain due to ignorance or strategic choice (e.g., preserving their role as defaults). The Court of Appeal acknowledged this vulnerability but was unperturbed, questioning the desirability of such trusts in Guernsey’s reputable financial context (¶43, [2019] GCA077).</w:t>
      </w:r>
    </w:p>
    <w:p w14:paraId="0C4329B1"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Implication</w:t>
      </w:r>
      <w:r w:rsidRPr="001E6046">
        <w:rPr>
          <w:rFonts w:ascii="Times New Roman" w:hAnsi="Times New Roman"/>
          <w:lang w:val="en-HK"/>
        </w:rPr>
        <w:t>: The decision prioritizes statutory clarity over settlor intent, exposing a tension in discretionary structures.</w:t>
      </w:r>
    </w:p>
    <w:p w14:paraId="07A3121E"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Scholar’s Opinion</w:t>
      </w:r>
      <w:r w:rsidRPr="001E6046">
        <w:rPr>
          <w:rFonts w:ascii="Times New Roman" w:hAnsi="Times New Roman"/>
          <w:lang w:val="en-HK"/>
        </w:rPr>
        <w:t xml:space="preserve">: </w:t>
      </w:r>
    </w:p>
    <w:p w14:paraId="15FABFD3" w14:textId="77777777" w:rsidR="001E6046" w:rsidRPr="001E6046" w:rsidRDefault="001E6046" w:rsidP="001E6046">
      <w:pPr>
        <w:numPr>
          <w:ilvl w:val="1"/>
          <w:numId w:val="3"/>
        </w:numPr>
        <w:spacing w:after="100" w:afterAutospacing="1" w:line="360" w:lineRule="auto"/>
        <w:rPr>
          <w:rFonts w:ascii="Times New Roman" w:hAnsi="Times New Roman"/>
          <w:lang w:val="en-HK"/>
        </w:rPr>
      </w:pPr>
      <w:r w:rsidRPr="001E6046">
        <w:rPr>
          <w:rFonts w:ascii="Times New Roman" w:hAnsi="Times New Roman"/>
          <w:lang w:val="en-HK"/>
        </w:rPr>
        <w:t xml:space="preserve">Lewin acknowledges that </w:t>
      </w:r>
      <w:r w:rsidRPr="001E6046">
        <w:rPr>
          <w:rFonts w:ascii="Times New Roman" w:hAnsi="Times New Roman"/>
          <w:i/>
          <w:iCs/>
          <w:lang w:val="en-HK"/>
        </w:rPr>
        <w:t>Saunders v Vautier</w:t>
      </w:r>
      <w:r w:rsidRPr="001E6046">
        <w:rPr>
          <w:rFonts w:ascii="Times New Roman" w:hAnsi="Times New Roman"/>
          <w:lang w:val="en-HK"/>
        </w:rPr>
        <w:t xml:space="preserve"> can defeat settlor intent, even when explicitly known (Lewin, </w:t>
      </w:r>
      <w:r w:rsidRPr="001E6046">
        <w:rPr>
          <w:rFonts w:ascii="Times New Roman" w:hAnsi="Times New Roman"/>
          <w:i/>
          <w:iCs/>
          <w:lang w:val="en-HK"/>
        </w:rPr>
        <w:t>Lewin on Trusts</w:t>
      </w:r>
      <w:r w:rsidRPr="001E6046">
        <w:rPr>
          <w:rFonts w:ascii="Times New Roman" w:hAnsi="Times New Roman"/>
          <w:lang w:val="en-HK"/>
        </w:rPr>
        <w:t xml:space="preserve">, 2020, 22-016). It further notes that only the trust instrument’s objective meaning matters, not subjective settlor intentions (Lewin, </w:t>
      </w:r>
      <w:r w:rsidRPr="001E6046">
        <w:rPr>
          <w:rFonts w:ascii="Times New Roman" w:hAnsi="Times New Roman"/>
          <w:i/>
          <w:iCs/>
          <w:lang w:val="en-HK"/>
        </w:rPr>
        <w:t>Lewin on Trusts</w:t>
      </w:r>
      <w:r w:rsidRPr="001E6046">
        <w:rPr>
          <w:rFonts w:ascii="Times New Roman" w:hAnsi="Times New Roman"/>
          <w:lang w:val="en-HK"/>
        </w:rPr>
        <w:t>, 2020, 7-004).</w:t>
      </w:r>
    </w:p>
    <w:p w14:paraId="4F9DBA99" w14:textId="77777777" w:rsidR="001E6046" w:rsidRPr="001E6046" w:rsidRDefault="001E6046" w:rsidP="001E6046">
      <w:pPr>
        <w:numPr>
          <w:ilvl w:val="1"/>
          <w:numId w:val="3"/>
        </w:numPr>
        <w:spacing w:after="100" w:afterAutospacing="1" w:line="360" w:lineRule="auto"/>
        <w:rPr>
          <w:rFonts w:ascii="Times New Roman" w:hAnsi="Times New Roman"/>
          <w:lang w:val="en-HK"/>
        </w:rPr>
      </w:pPr>
      <w:r w:rsidRPr="001E6046">
        <w:rPr>
          <w:rFonts w:ascii="Times New Roman" w:hAnsi="Times New Roman"/>
          <w:lang w:val="en-HK"/>
        </w:rPr>
        <w:t>The authors argue that preventing termination based on unexpressed intent (e.g., via letters of wishes) risks deeming a trust a sham, as it suggests the instrument misrepresents the settlor’s true purpose. Courts should not protect such arrangements, especially if they undermine beneficiary rights.</w:t>
      </w:r>
    </w:p>
    <w:p w14:paraId="710C5B37"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Legal Principles and Analysis</w:t>
      </w:r>
      <w:r w:rsidRPr="001E6046">
        <w:rPr>
          <w:rFonts w:ascii="Times New Roman" w:hAnsi="Times New Roman"/>
          <w:lang w:val="en-HK"/>
        </w:rPr>
        <w:t xml:space="preserve">: </w:t>
      </w:r>
    </w:p>
    <w:p w14:paraId="021452CE"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Sham Trusts</w:t>
      </w:r>
      <w:r w:rsidRPr="001E6046">
        <w:rPr>
          <w:rFonts w:ascii="Times New Roman" w:hAnsi="Times New Roman"/>
          <w:lang w:val="en-HK"/>
        </w:rPr>
        <w:t xml:space="preserve">: </w:t>
      </w:r>
      <w:r w:rsidRPr="001E6046">
        <w:rPr>
          <w:rFonts w:ascii="Times New Roman" w:hAnsi="Times New Roman"/>
          <w:b/>
          <w:bCs/>
          <w:lang w:val="en-HK"/>
        </w:rPr>
        <w:t>A trust is a sham if the instrument feigns an intent not shared by settlor and trustee.</w:t>
      </w:r>
      <w:r w:rsidRPr="001E6046">
        <w:rPr>
          <w:rFonts w:ascii="Times New Roman" w:hAnsi="Times New Roman"/>
          <w:lang w:val="en-HK"/>
        </w:rPr>
        <w:t xml:space="preserve"> Blocking a named beneficiary’s proprietary rights under </w:t>
      </w:r>
      <w:r w:rsidRPr="001E6046">
        <w:rPr>
          <w:rFonts w:ascii="Times New Roman" w:hAnsi="Times New Roman"/>
          <w:i/>
          <w:iCs/>
          <w:lang w:val="en-HK"/>
        </w:rPr>
        <w:t>Saunders v Vautier</w:t>
      </w:r>
      <w:r w:rsidRPr="001E6046">
        <w:rPr>
          <w:rFonts w:ascii="Times New Roman" w:hAnsi="Times New Roman"/>
          <w:lang w:val="en-HK"/>
        </w:rPr>
        <w:t xml:space="preserve"> for an unstated intent (e.g., favoring unnamed objects) could trigger this classification, as it implies a facade.</w:t>
      </w:r>
    </w:p>
    <w:p w14:paraId="60B96C0C"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Settlor Intent vs. Beneficiary Rights</w:t>
      </w:r>
      <w:r w:rsidRPr="001E6046">
        <w:rPr>
          <w:rFonts w:ascii="Times New Roman" w:hAnsi="Times New Roman"/>
          <w:lang w:val="en-HK"/>
        </w:rPr>
        <w:t xml:space="preserve">: The rule’s operation historically disregards settlor wishes once beneficiaries are entitled (e.g., </w:t>
      </w:r>
      <w:r w:rsidRPr="001E6046">
        <w:rPr>
          <w:rFonts w:ascii="Times New Roman" w:hAnsi="Times New Roman"/>
          <w:i/>
          <w:iCs/>
          <w:lang w:val="en-HK"/>
        </w:rPr>
        <w:t>Saunders v Vautier [1841] 4 Beav 115</w:t>
      </w:r>
      <w:r w:rsidRPr="001E6046">
        <w:rPr>
          <w:rFonts w:ascii="Times New Roman" w:hAnsi="Times New Roman"/>
          <w:lang w:val="en-HK"/>
        </w:rPr>
        <w:t>). The authors contend that Red Cross trusts’ reliance on trustee discretion to fulfill intent does not justify barring termination, as the charity’s legal entitlement remains paramount absent exercised powers.</w:t>
      </w:r>
    </w:p>
    <w:p w14:paraId="4472DF94"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lastRenderedPageBreak/>
        <w:t>Practical Concern</w:t>
      </w:r>
      <w:r w:rsidRPr="001E6046">
        <w:rPr>
          <w:rFonts w:ascii="Times New Roman" w:hAnsi="Times New Roman"/>
          <w:lang w:val="en-HK"/>
        </w:rPr>
        <w:t>: McMahon DB’s observation that charities may not act (due to ignorance or strategy) offers a pragmatic limit, but the authors see this as insufficient to uphold settlor intent over legal rights.</w:t>
      </w:r>
    </w:p>
    <w:p w14:paraId="05F80BBC"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Conclusion</w:t>
      </w:r>
      <w:r w:rsidRPr="001E6046">
        <w:rPr>
          <w:rFonts w:ascii="Times New Roman" w:hAnsi="Times New Roman"/>
          <w:lang w:val="en-HK"/>
        </w:rPr>
        <w:t>: The authors suggest that courts in England and Wales are unlikely to favor preserving settlor intent in such trusts over beneficiary autonomy, given the risk of sham findings and the rule’s established precedence. Guernsey’s acceptance of termination reflects a preference for certainty over obfuscation.</w:t>
      </w:r>
    </w:p>
    <w:p w14:paraId="17E6CC0B" w14:textId="77777777" w:rsidR="001E6046" w:rsidRPr="001E6046" w:rsidRDefault="00E90432" w:rsidP="001E6046">
      <w:pPr>
        <w:spacing w:line="360" w:lineRule="auto"/>
        <w:rPr>
          <w:rFonts w:ascii="Times New Roman" w:hAnsi="Times New Roman"/>
          <w:lang w:val="en-HK"/>
        </w:rPr>
      </w:pPr>
      <w:r w:rsidRPr="00E90432">
        <w:rPr>
          <w:rFonts w:ascii="Times New Roman" w:hAnsi="Times New Roman"/>
          <w:noProof/>
          <w:lang w:val="en-HK"/>
          <w14:ligatures w14:val="standardContextual"/>
        </w:rPr>
        <w:pict w14:anchorId="69EF6598">
          <v:rect id="_x0000_i1027" alt="" style="width:451.3pt;height:.05pt;mso-width-percent:0;mso-height-percent:0;mso-width-percent:0;mso-height-percent:0" o:hralign="center" o:hrstd="t" o:hr="t" fillcolor="#a0a0a0" stroked="f"/>
        </w:pict>
      </w:r>
    </w:p>
    <w:p w14:paraId="0C2E83F0" w14:textId="77777777" w:rsidR="001E6046" w:rsidRPr="001E6046" w:rsidRDefault="001E6046" w:rsidP="001E6046">
      <w:pPr>
        <w:spacing w:after="100" w:afterAutospacing="1" w:line="360" w:lineRule="auto"/>
        <w:outlineLvl w:val="2"/>
        <w:rPr>
          <w:rFonts w:ascii="Times New Roman" w:hAnsi="Times New Roman"/>
          <w:b/>
          <w:bCs/>
          <w:lang w:val="en-HK"/>
        </w:rPr>
      </w:pPr>
      <w:r w:rsidRPr="001E6046">
        <w:rPr>
          <w:rFonts w:ascii="Times New Roman" w:hAnsi="Times New Roman"/>
          <w:b/>
          <w:bCs/>
          <w:lang w:val="en-HK"/>
        </w:rPr>
        <w:t>4. Treatment in England and Wales and Beyond (pp. 25–26) – Detailed Analysis</w:t>
      </w:r>
    </w:p>
    <w:p w14:paraId="6F883BAB"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lang w:val="en-HK"/>
        </w:rPr>
        <w:t xml:space="preserve">This section contrasts the unsettled position in England and Wales with approaches in other jurisdictions, notably Jersey, and explores the “temporal approach” as an alternative to indefeasibility. It assesses how courts might determine the beneficiary class for </w:t>
      </w:r>
      <w:r w:rsidRPr="001E6046">
        <w:rPr>
          <w:rFonts w:ascii="Times New Roman" w:hAnsi="Times New Roman"/>
          <w:i/>
          <w:iCs/>
          <w:lang w:val="en-HK"/>
        </w:rPr>
        <w:t>Saunders v Vautier</w:t>
      </w:r>
      <w:r w:rsidRPr="001E6046">
        <w:rPr>
          <w:rFonts w:ascii="Times New Roman" w:hAnsi="Times New Roman"/>
          <w:lang w:val="en-HK"/>
        </w:rPr>
        <w:t xml:space="preserve"> termination in massively discretionary trusts.</w:t>
      </w:r>
    </w:p>
    <w:p w14:paraId="5865F2C6"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Core Issue in England and Wales</w:t>
      </w:r>
      <w:r w:rsidRPr="001E6046">
        <w:rPr>
          <w:rFonts w:ascii="Times New Roman" w:hAnsi="Times New Roman"/>
          <w:lang w:val="en-HK"/>
        </w:rPr>
        <w:t xml:space="preserve">: </w:t>
      </w:r>
    </w:p>
    <w:p w14:paraId="5A1F8619"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lang w:val="en-HK"/>
        </w:rPr>
        <w:t>The indefeasibility approach (barring termination due to open classes) lacks definitive authority, leaving uncertainty. The temporal approach, assessing the class at a specific moment, offers a potential resolution but awaits conclusive judicial endorsement.</w:t>
      </w:r>
    </w:p>
    <w:p w14:paraId="066843B4"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Case Law: Orb ARL v Ruhan [2015] EWHC 262 (Comm)</w:t>
      </w:r>
      <w:r w:rsidRPr="001E6046">
        <w:rPr>
          <w:rFonts w:ascii="Times New Roman" w:hAnsi="Times New Roman"/>
          <w:lang w:val="en-HK"/>
        </w:rPr>
        <w:t xml:space="preserve"> </w:t>
      </w:r>
    </w:p>
    <w:p w14:paraId="68FA02F7"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Facts</w:t>
      </w:r>
      <w:r w:rsidRPr="001E6046">
        <w:rPr>
          <w:rFonts w:ascii="Times New Roman" w:hAnsi="Times New Roman"/>
          <w:lang w:val="en-HK"/>
        </w:rPr>
        <w:t xml:space="preserve">: In a commercial dispute, the court considered a trust where trustees held a power to add beneficiaries. The issue was whether existing beneficiaries could terminate under </w:t>
      </w:r>
      <w:r w:rsidRPr="001E6046">
        <w:rPr>
          <w:rFonts w:ascii="Times New Roman" w:hAnsi="Times New Roman"/>
          <w:i/>
          <w:iCs/>
          <w:lang w:val="en-HK"/>
        </w:rPr>
        <w:t>Saunders v Vautier</w:t>
      </w:r>
      <w:r w:rsidRPr="001E6046">
        <w:rPr>
          <w:rFonts w:ascii="Times New Roman" w:hAnsi="Times New Roman"/>
          <w:lang w:val="en-HK"/>
        </w:rPr>
        <w:t>.</w:t>
      </w:r>
    </w:p>
    <w:p w14:paraId="5A50AEDF"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Held</w:t>
      </w:r>
      <w:r w:rsidRPr="001E6046">
        <w:rPr>
          <w:rFonts w:ascii="Times New Roman" w:hAnsi="Times New Roman"/>
          <w:lang w:val="en-HK"/>
        </w:rPr>
        <w:t>: Cooke J. found a “real prospect of success” in arguing the class was closed for termination purposes, despite the power, but did not rule definitively.</w:t>
      </w:r>
    </w:p>
    <w:p w14:paraId="6451857D"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Reasoning</w:t>
      </w:r>
      <w:r w:rsidRPr="001E6046">
        <w:rPr>
          <w:rFonts w:ascii="Times New Roman" w:hAnsi="Times New Roman"/>
          <w:lang w:val="en-HK"/>
        </w:rPr>
        <w:t>: The mere existence of a power to add beneficiaries did not inherently preclude a closed class at the time of the request. This tentative support for the temporal approach suggests that current beneficiaries, if ascertainable and consenting, might override future possibilities, aligning with practical administration over theoretical indefeasibility.</w:t>
      </w:r>
    </w:p>
    <w:p w14:paraId="267AFC81"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lastRenderedPageBreak/>
        <w:t>Significance</w:t>
      </w:r>
      <w:r w:rsidRPr="001E6046">
        <w:rPr>
          <w:rFonts w:ascii="Times New Roman" w:hAnsi="Times New Roman"/>
          <w:lang w:val="en-HK"/>
        </w:rPr>
        <w:t>: As the only direct English authority, it hints at flexibility but leaves the question open.</w:t>
      </w:r>
    </w:p>
    <w:p w14:paraId="5735B083"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Case Law: Mubarik v Mubarak [2008] JLR 430</w:t>
      </w:r>
      <w:r w:rsidRPr="001E6046">
        <w:rPr>
          <w:rFonts w:ascii="Times New Roman" w:hAnsi="Times New Roman"/>
          <w:lang w:val="en-HK"/>
        </w:rPr>
        <w:t xml:space="preserve"> </w:t>
      </w:r>
    </w:p>
    <w:p w14:paraId="41C16EA7"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Facts</w:t>
      </w:r>
      <w:r w:rsidRPr="001E6046">
        <w:rPr>
          <w:rFonts w:ascii="Times New Roman" w:hAnsi="Times New Roman"/>
          <w:lang w:val="en-HK"/>
        </w:rPr>
        <w:t xml:space="preserve">: Following English divorce proceedings, a wife obtained an order varying a Jersey trust from which her husband (settlor and power-holder) had excluded her. The Jersey Royal Court considered a variation under article 47 of the </w:t>
      </w:r>
      <w:r w:rsidRPr="001E6046">
        <w:rPr>
          <w:rFonts w:ascii="Times New Roman" w:hAnsi="Times New Roman"/>
          <w:i/>
          <w:iCs/>
          <w:lang w:val="en-HK"/>
        </w:rPr>
        <w:t>Trusts (Jersey) Law, 1984</w:t>
      </w:r>
      <w:r w:rsidRPr="001E6046">
        <w:rPr>
          <w:rFonts w:ascii="Times New Roman" w:hAnsi="Times New Roman"/>
          <w:lang w:val="en-HK"/>
        </w:rPr>
        <w:t>, despite the husband’s retained power to add or exclude beneficiaries.</w:t>
      </w:r>
    </w:p>
    <w:p w14:paraId="34BEC713"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Held</w:t>
      </w:r>
      <w:r w:rsidRPr="001E6046">
        <w:rPr>
          <w:rFonts w:ascii="Times New Roman" w:hAnsi="Times New Roman"/>
          <w:lang w:val="en-HK"/>
        </w:rPr>
        <w:t>: The court approved the variation with consent from adult beneficiaries and supplied consent for minors and unborns, rejecting the husband’s claim that the power barred action without consent from potential objects.</w:t>
      </w:r>
    </w:p>
    <w:p w14:paraId="15E7E58B"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Reasoning</w:t>
      </w:r>
      <w:r w:rsidRPr="001E6046">
        <w:rPr>
          <w:rFonts w:ascii="Times New Roman" w:hAnsi="Times New Roman"/>
          <w:lang w:val="en-HK"/>
        </w:rPr>
        <w:t xml:space="preserve">: McNeill JA held that a broad power of appointment (covering “all persons throughout the world”) does not require consent from unadded objects, as it is not fiduciary absent a defined class expecting consideration (¶113). The court treated the husband’s representations as consent, and statutory powers under article 47 bridged gaps for unascertained beneficiaries. This mirrors </w:t>
      </w:r>
      <w:r w:rsidRPr="001E6046">
        <w:rPr>
          <w:rFonts w:ascii="Times New Roman" w:hAnsi="Times New Roman"/>
          <w:i/>
          <w:iCs/>
          <w:lang w:val="en-HK"/>
        </w:rPr>
        <w:t>Saunders v Vautier</w:t>
      </w:r>
      <w:r w:rsidRPr="001E6046">
        <w:rPr>
          <w:rFonts w:ascii="Times New Roman" w:hAnsi="Times New Roman"/>
          <w:lang w:val="en-HK"/>
        </w:rPr>
        <w:t xml:space="preserve"> by prioritizing existing beneficiaries’ rights over hypothetical additions.</w:t>
      </w:r>
    </w:p>
    <w:p w14:paraId="7C5DBD77"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Relevance</w:t>
      </w:r>
      <w:r w:rsidRPr="001E6046">
        <w:rPr>
          <w:rFonts w:ascii="Times New Roman" w:hAnsi="Times New Roman"/>
          <w:lang w:val="en-HK"/>
        </w:rPr>
        <w:t>: The decision aligns with the temporal approach, treating the class as closed unless the power is exercised, offering persuasive guidance for England and Wales.</w:t>
      </w:r>
    </w:p>
    <w:p w14:paraId="333A725F"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Statute: Trusts (Jersey) Law, 1984, art 47</w:t>
      </w:r>
      <w:r w:rsidRPr="001E6046">
        <w:rPr>
          <w:rFonts w:ascii="Times New Roman" w:hAnsi="Times New Roman"/>
          <w:lang w:val="en-HK"/>
        </w:rPr>
        <w:t xml:space="preserve"> </w:t>
      </w:r>
    </w:p>
    <w:p w14:paraId="64426ED1"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Provision</w:t>
      </w:r>
      <w:r w:rsidRPr="001E6046">
        <w:rPr>
          <w:rFonts w:ascii="Times New Roman" w:hAnsi="Times New Roman"/>
          <w:lang w:val="en-HK"/>
        </w:rPr>
        <w:t xml:space="preserve">: Allows the court to approve trust variations with consent from adult beneficiaries and on behalf of minors, unborns, or unascertained persons (arts 47(1)(a), (c)). Described as a statutory extension of </w:t>
      </w:r>
      <w:r w:rsidRPr="001E6046">
        <w:rPr>
          <w:rFonts w:ascii="Times New Roman" w:hAnsi="Times New Roman"/>
          <w:i/>
          <w:iCs/>
          <w:lang w:val="en-HK"/>
        </w:rPr>
        <w:t>Saunders v Vautier</w:t>
      </w:r>
      <w:r w:rsidRPr="001E6046">
        <w:rPr>
          <w:rFonts w:ascii="Times New Roman" w:hAnsi="Times New Roman"/>
          <w:lang w:val="en-HK"/>
        </w:rPr>
        <w:t>’s consent principle (Goulding v James [1997] 2 All ER 239).</w:t>
      </w:r>
    </w:p>
    <w:p w14:paraId="63A22CA1"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Application</w:t>
      </w:r>
      <w:r w:rsidRPr="001E6046">
        <w:rPr>
          <w:rFonts w:ascii="Times New Roman" w:hAnsi="Times New Roman"/>
          <w:lang w:val="en-HK"/>
        </w:rPr>
        <w:t xml:space="preserve">: In </w:t>
      </w:r>
      <w:r w:rsidRPr="001E6046">
        <w:rPr>
          <w:rFonts w:ascii="Times New Roman" w:hAnsi="Times New Roman"/>
          <w:i/>
          <w:iCs/>
          <w:lang w:val="en-HK"/>
        </w:rPr>
        <w:t>Mubarik</w:t>
      </w:r>
      <w:r w:rsidRPr="001E6046">
        <w:rPr>
          <w:rFonts w:ascii="Times New Roman" w:hAnsi="Times New Roman"/>
          <w:lang w:val="en-HK"/>
        </w:rPr>
        <w:t>, it enabled variation despite a broad power, reinforcing that potential objects lack standing until added, a model absent in English statute but influential in common law debates.</w:t>
      </w:r>
    </w:p>
    <w:p w14:paraId="5F96FB1F"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Case Law: Goulding v James [1997] 2 All ER 239 (Referenced Contextually)</w:t>
      </w:r>
      <w:r w:rsidRPr="001E6046">
        <w:rPr>
          <w:rFonts w:ascii="Times New Roman" w:hAnsi="Times New Roman"/>
          <w:lang w:val="en-HK"/>
        </w:rPr>
        <w:t xml:space="preserve"> </w:t>
      </w:r>
    </w:p>
    <w:p w14:paraId="3E2CBDE9"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lastRenderedPageBreak/>
        <w:t>Facts</w:t>
      </w:r>
      <w:r w:rsidRPr="001E6046">
        <w:rPr>
          <w:rFonts w:ascii="Times New Roman" w:hAnsi="Times New Roman"/>
          <w:lang w:val="en-HK"/>
        </w:rPr>
        <w:t>: Beneficiaries sought to terminate a trust against the testator’s intent.</w:t>
      </w:r>
    </w:p>
    <w:p w14:paraId="557E71D4"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Held</w:t>
      </w:r>
      <w:r w:rsidRPr="001E6046">
        <w:rPr>
          <w:rFonts w:ascii="Times New Roman" w:hAnsi="Times New Roman"/>
          <w:lang w:val="en-HK"/>
        </w:rPr>
        <w:t xml:space="preserve">: The court upheld their right under </w:t>
      </w:r>
      <w:r w:rsidRPr="001E6046">
        <w:rPr>
          <w:rFonts w:ascii="Times New Roman" w:hAnsi="Times New Roman"/>
          <w:i/>
          <w:iCs/>
          <w:lang w:val="en-HK"/>
        </w:rPr>
        <w:t>Saunders v Vautier</w:t>
      </w:r>
      <w:r w:rsidRPr="001E6046">
        <w:rPr>
          <w:rFonts w:ascii="Times New Roman" w:hAnsi="Times New Roman"/>
          <w:lang w:val="en-HK"/>
        </w:rPr>
        <w:t>.</w:t>
      </w:r>
    </w:p>
    <w:p w14:paraId="6EE1B837"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Reasoning</w:t>
      </w:r>
      <w:r w:rsidRPr="001E6046">
        <w:rPr>
          <w:rFonts w:ascii="Times New Roman" w:hAnsi="Times New Roman"/>
          <w:lang w:val="en-HK"/>
        </w:rPr>
        <w:t xml:space="preserve">: The rule reflects proprietary rights overriding settlor intent, with statutory variations (e.g., </w:t>
      </w:r>
      <w:r w:rsidRPr="001E6046">
        <w:rPr>
          <w:rFonts w:ascii="Times New Roman" w:hAnsi="Times New Roman"/>
          <w:i/>
          <w:iCs/>
          <w:lang w:val="en-HK"/>
        </w:rPr>
        <w:t>Variation of Trusts Act 1958</w:t>
      </w:r>
      <w:r w:rsidRPr="001E6046">
        <w:rPr>
          <w:rFonts w:ascii="Times New Roman" w:hAnsi="Times New Roman"/>
          <w:lang w:val="en-HK"/>
        </w:rPr>
        <w:t xml:space="preserve">) extending this consent principle. Cited in </w:t>
      </w:r>
      <w:r w:rsidRPr="001E6046">
        <w:rPr>
          <w:rFonts w:ascii="Times New Roman" w:hAnsi="Times New Roman"/>
          <w:i/>
          <w:iCs/>
          <w:lang w:val="en-HK"/>
        </w:rPr>
        <w:t>Mubarik</w:t>
      </w:r>
      <w:r w:rsidRPr="001E6046">
        <w:rPr>
          <w:rFonts w:ascii="Times New Roman" w:hAnsi="Times New Roman"/>
          <w:lang w:val="en-HK"/>
        </w:rPr>
        <w:t xml:space="preserve"> to frame Jersey’s approach, it underscores beneficiary autonomy relevant to England.</w:t>
      </w:r>
    </w:p>
    <w:p w14:paraId="64650CE4"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Scholar’s Opinion</w:t>
      </w:r>
      <w:r w:rsidRPr="001E6046">
        <w:rPr>
          <w:rFonts w:ascii="Times New Roman" w:hAnsi="Times New Roman"/>
          <w:lang w:val="en-HK"/>
        </w:rPr>
        <w:t xml:space="preserve">: </w:t>
      </w:r>
    </w:p>
    <w:p w14:paraId="13AC6ADC" w14:textId="77777777" w:rsidR="001E6046" w:rsidRPr="001E6046" w:rsidRDefault="001E6046" w:rsidP="001E6046">
      <w:pPr>
        <w:numPr>
          <w:ilvl w:val="1"/>
          <w:numId w:val="4"/>
        </w:numPr>
        <w:spacing w:after="100" w:afterAutospacing="1" w:line="360" w:lineRule="auto"/>
        <w:rPr>
          <w:rFonts w:ascii="Times New Roman" w:hAnsi="Times New Roman"/>
          <w:lang w:val="en-HK"/>
        </w:rPr>
      </w:pPr>
      <w:r w:rsidRPr="001E6046">
        <w:rPr>
          <w:rFonts w:ascii="Times New Roman" w:hAnsi="Times New Roman"/>
          <w:lang w:val="en-HK"/>
        </w:rPr>
        <w:t xml:space="preserve">Beynon advocates the temporal approach, arguing that the class “crystallizes at any given point in time,” enabling termination by existing, ascertainable beneficiaries (Beynon, </w:t>
      </w:r>
      <w:r w:rsidRPr="001E6046">
        <w:rPr>
          <w:rFonts w:ascii="Times New Roman" w:hAnsi="Times New Roman"/>
          <w:i/>
          <w:iCs/>
          <w:lang w:val="en-HK"/>
        </w:rPr>
        <w:t>The rule in Saunders v Vautier: To the ‘residuary beneficiary’, the spoils?</w:t>
      </w:r>
      <w:r w:rsidRPr="001E6046">
        <w:rPr>
          <w:rFonts w:ascii="Times New Roman" w:hAnsi="Times New Roman"/>
          <w:lang w:val="en-HK"/>
        </w:rPr>
        <w:t>, 2019). This counters indefeasibility’s reliance on potential additions.</w:t>
      </w:r>
    </w:p>
    <w:p w14:paraId="588C4034" w14:textId="77777777" w:rsidR="001E6046" w:rsidRPr="001E6046" w:rsidRDefault="001E6046" w:rsidP="001E6046">
      <w:pPr>
        <w:numPr>
          <w:ilvl w:val="1"/>
          <w:numId w:val="4"/>
        </w:numPr>
        <w:spacing w:after="100" w:afterAutospacing="1" w:line="360" w:lineRule="auto"/>
        <w:rPr>
          <w:rFonts w:ascii="Times New Roman" w:hAnsi="Times New Roman"/>
          <w:lang w:val="en-HK"/>
        </w:rPr>
      </w:pPr>
      <w:r w:rsidRPr="001E6046">
        <w:rPr>
          <w:rFonts w:ascii="Times New Roman" w:hAnsi="Times New Roman"/>
          <w:lang w:val="en-HK"/>
        </w:rPr>
        <w:t xml:space="preserve">The authors note Jersey’s </w:t>
      </w:r>
      <w:r w:rsidRPr="001E6046">
        <w:rPr>
          <w:rFonts w:ascii="Times New Roman" w:hAnsi="Times New Roman"/>
          <w:i/>
          <w:iCs/>
          <w:lang w:val="en-HK"/>
        </w:rPr>
        <w:t>Mubarik</w:t>
      </w:r>
      <w:r w:rsidRPr="001E6046">
        <w:rPr>
          <w:rFonts w:ascii="Times New Roman" w:hAnsi="Times New Roman"/>
          <w:lang w:val="en-HK"/>
        </w:rPr>
        <w:t xml:space="preserve"> as persuasive, suggesting England and Wales could adopt a similar stance, though </w:t>
      </w:r>
      <w:r w:rsidRPr="001E6046">
        <w:rPr>
          <w:rFonts w:ascii="Times New Roman" w:hAnsi="Times New Roman"/>
          <w:i/>
          <w:iCs/>
          <w:lang w:val="en-HK"/>
        </w:rPr>
        <w:t>Orb</w:t>
      </w:r>
      <w:r w:rsidRPr="001E6046">
        <w:rPr>
          <w:rFonts w:ascii="Times New Roman" w:hAnsi="Times New Roman"/>
          <w:lang w:val="en-HK"/>
        </w:rPr>
        <w:t>’s tentative ruling leaves room for divergence.</w:t>
      </w:r>
    </w:p>
    <w:p w14:paraId="1787F345"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Comparative Analysis</w:t>
      </w:r>
      <w:r w:rsidRPr="001E6046">
        <w:rPr>
          <w:rFonts w:ascii="Times New Roman" w:hAnsi="Times New Roman"/>
          <w:lang w:val="en-HK"/>
        </w:rPr>
        <w:t xml:space="preserve">: </w:t>
      </w:r>
    </w:p>
    <w:p w14:paraId="558C5284"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England and Wales</w:t>
      </w:r>
      <w:r w:rsidRPr="001E6046">
        <w:rPr>
          <w:rFonts w:ascii="Times New Roman" w:hAnsi="Times New Roman"/>
          <w:lang w:val="en-HK"/>
        </w:rPr>
        <w:t xml:space="preserve">: </w:t>
      </w:r>
      <w:r w:rsidRPr="001E6046">
        <w:rPr>
          <w:rFonts w:ascii="Times New Roman" w:hAnsi="Times New Roman"/>
          <w:i/>
          <w:iCs/>
          <w:lang w:val="en-HK"/>
        </w:rPr>
        <w:t>Orb</w:t>
      </w:r>
      <w:r w:rsidRPr="001E6046">
        <w:rPr>
          <w:rFonts w:ascii="Times New Roman" w:hAnsi="Times New Roman"/>
          <w:lang w:val="en-HK"/>
        </w:rPr>
        <w:t xml:space="preserve"> suggests openness to the temporal approach, but no binding precedent exists. The </w:t>
      </w:r>
      <w:r w:rsidRPr="001E6046">
        <w:rPr>
          <w:rFonts w:ascii="Times New Roman" w:hAnsi="Times New Roman"/>
          <w:i/>
          <w:iCs/>
          <w:lang w:val="en-HK"/>
        </w:rPr>
        <w:t>Variation of Trusts Act 1958</w:t>
      </w:r>
      <w:r w:rsidRPr="001E6046">
        <w:rPr>
          <w:rFonts w:ascii="Times New Roman" w:hAnsi="Times New Roman"/>
          <w:lang w:val="en-HK"/>
        </w:rPr>
        <w:t xml:space="preserve"> parallels Jersey’s framework, hinting at judicial flexibility, yet common law uncertainty persists without Guernsey’s statutory clarity (</w:t>
      </w:r>
      <w:r w:rsidRPr="001E6046">
        <w:rPr>
          <w:rFonts w:ascii="Times New Roman" w:hAnsi="Times New Roman"/>
          <w:i/>
          <w:iCs/>
          <w:lang w:val="en-HK"/>
        </w:rPr>
        <w:t>Trusts (Guernsey) Law, 2007</w:t>
      </w:r>
      <w:r w:rsidRPr="001E6046">
        <w:rPr>
          <w:rFonts w:ascii="Times New Roman" w:hAnsi="Times New Roman"/>
          <w:lang w:val="en-HK"/>
        </w:rPr>
        <w:t>).</w:t>
      </w:r>
    </w:p>
    <w:p w14:paraId="0346717E"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Jersey</w:t>
      </w:r>
      <w:r w:rsidRPr="001E6046">
        <w:rPr>
          <w:rFonts w:ascii="Times New Roman" w:hAnsi="Times New Roman"/>
          <w:lang w:val="en-HK"/>
        </w:rPr>
        <w:t xml:space="preserve">: </w:t>
      </w:r>
      <w:r w:rsidRPr="001E6046">
        <w:rPr>
          <w:rFonts w:ascii="Times New Roman" w:hAnsi="Times New Roman"/>
          <w:i/>
          <w:iCs/>
          <w:lang w:val="en-HK"/>
        </w:rPr>
        <w:t>Mubarik</w:t>
      </w:r>
      <w:r w:rsidRPr="001E6046">
        <w:rPr>
          <w:rFonts w:ascii="Times New Roman" w:hAnsi="Times New Roman"/>
          <w:lang w:val="en-HK"/>
        </w:rPr>
        <w:t xml:space="preserve"> decisively favors the temporal view, treating unexercised powers as irrelevant to the class’s closure, bolstered by statute.</w:t>
      </w:r>
    </w:p>
    <w:p w14:paraId="407C9297"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Beyond</w:t>
      </w:r>
      <w:r w:rsidRPr="001E6046">
        <w:rPr>
          <w:rFonts w:ascii="Times New Roman" w:hAnsi="Times New Roman"/>
          <w:lang w:val="en-HK"/>
        </w:rPr>
        <w:t xml:space="preserve">: The authors imply common law jurisdictions relying on English principles (e.g., Australia, per </w:t>
      </w:r>
      <w:r w:rsidRPr="001E6046">
        <w:rPr>
          <w:rFonts w:ascii="Times New Roman" w:hAnsi="Times New Roman"/>
          <w:i/>
          <w:iCs/>
          <w:lang w:val="en-HK"/>
        </w:rPr>
        <w:t>Beck v Henley [2014] NSWCA 201</w:t>
      </w:r>
      <w:r w:rsidRPr="001E6046">
        <w:rPr>
          <w:rFonts w:ascii="Times New Roman" w:hAnsi="Times New Roman"/>
          <w:lang w:val="en-HK"/>
        </w:rPr>
        <w:t>) may lean toward flexibility, contrasting with Guernsey’s codified stance.</w:t>
      </w:r>
    </w:p>
    <w:p w14:paraId="06107DF5"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Conclusion</w:t>
      </w:r>
      <w:r w:rsidRPr="001E6046">
        <w:rPr>
          <w:rFonts w:ascii="Times New Roman" w:hAnsi="Times New Roman"/>
          <w:lang w:val="en-HK"/>
        </w:rPr>
        <w:t xml:space="preserve">: England and Wales lack a settled position, with </w:t>
      </w:r>
      <w:r w:rsidRPr="001E6046">
        <w:rPr>
          <w:rFonts w:ascii="Times New Roman" w:hAnsi="Times New Roman"/>
          <w:i/>
          <w:iCs/>
          <w:lang w:val="en-HK"/>
        </w:rPr>
        <w:t>Orb</w:t>
      </w:r>
      <w:r w:rsidRPr="001E6046">
        <w:rPr>
          <w:rFonts w:ascii="Times New Roman" w:hAnsi="Times New Roman"/>
          <w:lang w:val="en-HK"/>
        </w:rPr>
        <w:t xml:space="preserve"> offering a foothold for the temporal approach, bolstered by Jersey’s </w:t>
      </w:r>
      <w:r w:rsidRPr="001E6046">
        <w:rPr>
          <w:rFonts w:ascii="Times New Roman" w:hAnsi="Times New Roman"/>
          <w:i/>
          <w:iCs/>
          <w:lang w:val="en-HK"/>
        </w:rPr>
        <w:t>Mubarik</w:t>
      </w:r>
      <w:r w:rsidRPr="001E6046">
        <w:rPr>
          <w:rFonts w:ascii="Times New Roman" w:hAnsi="Times New Roman"/>
          <w:lang w:val="en-HK"/>
        </w:rPr>
        <w:t>. The authors favor this over indefeasibility, urging judicial or legislative resolution to align with practical trust administration.</w:t>
      </w:r>
    </w:p>
    <w:p w14:paraId="487E98FC" w14:textId="3BBFDA42" w:rsidR="001E6046" w:rsidRPr="001E6046" w:rsidRDefault="00E90432" w:rsidP="001E6046">
      <w:pPr>
        <w:spacing w:after="100" w:afterAutospacing="1" w:line="360" w:lineRule="auto"/>
        <w:rPr>
          <w:rFonts w:ascii="Times New Roman" w:hAnsi="Times New Roman"/>
          <w:lang w:val="en-HK"/>
        </w:rPr>
      </w:pPr>
      <w:r w:rsidRPr="00E90432">
        <w:rPr>
          <w:rFonts w:ascii="Times New Roman" w:hAnsi="Times New Roman"/>
          <w:noProof/>
          <w:lang w:val="en-HK"/>
          <w14:ligatures w14:val="standardContextual"/>
        </w:rPr>
        <w:pict w14:anchorId="4A24E03B">
          <v:rect id="_x0000_i1026" alt="" style="width:451.3pt;height:.05pt;mso-width-percent:0;mso-height-percent:0;mso-width-percent:0;mso-height-percent:0" o:hralign="center" o:hrstd="t" o:hr="t" fillcolor="#a0a0a0" stroked="f"/>
        </w:pict>
      </w:r>
    </w:p>
    <w:p w14:paraId="46E37E66" w14:textId="77777777" w:rsidR="001E6046" w:rsidRPr="001E6046" w:rsidRDefault="001E6046" w:rsidP="001E6046">
      <w:pPr>
        <w:spacing w:after="100" w:afterAutospacing="1" w:line="360" w:lineRule="auto"/>
        <w:outlineLvl w:val="2"/>
        <w:rPr>
          <w:rFonts w:ascii="Times New Roman" w:hAnsi="Times New Roman"/>
          <w:b/>
          <w:bCs/>
          <w:lang w:val="en-HK"/>
        </w:rPr>
      </w:pPr>
      <w:r w:rsidRPr="001E6046">
        <w:rPr>
          <w:rFonts w:ascii="Times New Roman" w:hAnsi="Times New Roman"/>
          <w:b/>
          <w:bCs/>
          <w:lang w:val="en-HK"/>
        </w:rPr>
        <w:lastRenderedPageBreak/>
        <w:t>5. Rusnano (pp. 26–27) – Detailed Analysis</w:t>
      </w:r>
    </w:p>
    <w:p w14:paraId="2074DAA9"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lang w:val="en-HK"/>
        </w:rPr>
        <w:t xml:space="preserve">This section analyzes the Guernsey case </w:t>
      </w:r>
      <w:r w:rsidRPr="001E6046">
        <w:rPr>
          <w:rFonts w:ascii="Times New Roman" w:hAnsi="Times New Roman"/>
          <w:i/>
          <w:iCs/>
          <w:lang w:val="en-HK"/>
        </w:rPr>
        <w:t>Molard International (PTC) &amp; Anor v Rusnano Capital AG (in liquidation)</w:t>
      </w:r>
      <w:r w:rsidRPr="001E6046">
        <w:rPr>
          <w:rFonts w:ascii="Times New Roman" w:hAnsi="Times New Roman"/>
          <w:lang w:val="en-HK"/>
        </w:rPr>
        <w:t xml:space="preserve"> [2019] GCA077, focusing on its statutory resolution of the rule in </w:t>
      </w:r>
      <w:r w:rsidRPr="001E6046">
        <w:rPr>
          <w:rFonts w:ascii="Times New Roman" w:hAnsi="Times New Roman"/>
          <w:i/>
          <w:iCs/>
          <w:lang w:val="en-HK"/>
        </w:rPr>
        <w:t>Saunders v Vautier</w:t>
      </w:r>
      <w:r w:rsidRPr="001E6046">
        <w:rPr>
          <w:rFonts w:ascii="Times New Roman" w:hAnsi="Times New Roman"/>
          <w:lang w:val="en-HK"/>
        </w:rPr>
        <w:t xml:space="preserve"> within a massively discretionary trust context. It highlights Guernsey’s legislative approach as a contrast to the common law uncertainty in England and Wales.</w:t>
      </w:r>
    </w:p>
    <w:p w14:paraId="3DF54370"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Case Law: Molard International (PTC) &amp; Anor v Rusnano Capital AG (in liquidation) [2019] GRC 011 and [2019] GCA077</w:t>
      </w:r>
      <w:r w:rsidRPr="001E6046">
        <w:rPr>
          <w:rFonts w:ascii="Times New Roman" w:hAnsi="Times New Roman"/>
          <w:lang w:val="en-HK"/>
        </w:rPr>
        <w:t xml:space="preserve"> </w:t>
      </w:r>
    </w:p>
    <w:p w14:paraId="0528E274"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Facts</w:t>
      </w:r>
      <w:r w:rsidRPr="001E6046">
        <w:rPr>
          <w:rFonts w:ascii="Times New Roman" w:hAnsi="Times New Roman"/>
          <w:lang w:val="en-HK"/>
        </w:rPr>
        <w:t xml:space="preserve">: Rusnano Capital AG, the sole existing beneficiary of the RNPharma Trust, applied to the Guernsey Royal Court under section 53(3) of the </w:t>
      </w:r>
      <w:r w:rsidRPr="001E6046">
        <w:rPr>
          <w:rFonts w:ascii="Times New Roman" w:hAnsi="Times New Roman"/>
          <w:i/>
          <w:iCs/>
          <w:lang w:val="en-HK"/>
        </w:rPr>
        <w:t>Trusts (Guernsey) Law, 2007</w:t>
      </w:r>
      <w:r w:rsidRPr="001E6046">
        <w:rPr>
          <w:rFonts w:ascii="Times New Roman" w:hAnsi="Times New Roman"/>
          <w:lang w:val="en-HK"/>
        </w:rPr>
        <w:t>, to terminate the trust and distribute its assets. The trustee, Molard International (PTC) Limited, opposed this, citing a discretionary power to add any person globally as a beneficiary, arguing that not all beneficiaries were “in existence and ascertained” due to this power. Rusnano was in liquidation, adding urgency to its claim.</w:t>
      </w:r>
    </w:p>
    <w:p w14:paraId="0C84298D"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Held</w:t>
      </w:r>
      <w:r w:rsidRPr="001E6046">
        <w:rPr>
          <w:rFonts w:ascii="Times New Roman" w:hAnsi="Times New Roman"/>
          <w:lang w:val="en-HK"/>
        </w:rPr>
        <w:t>: The Royal Court granted Rusnano’s application, and the Guernsey Court of Appeal upheld this decision, affirming that Rusnano, as the sole current beneficiary, could terminate the trust.</w:t>
      </w:r>
    </w:p>
    <w:p w14:paraId="453ABC8C"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Reasoning</w:t>
      </w:r>
      <w:r w:rsidRPr="001E6046">
        <w:rPr>
          <w:rFonts w:ascii="Times New Roman" w:hAnsi="Times New Roman"/>
          <w:lang w:val="en-HK"/>
        </w:rPr>
        <w:t xml:space="preserve">: </w:t>
      </w:r>
    </w:p>
    <w:p w14:paraId="796014C8" w14:textId="77777777" w:rsidR="001E6046" w:rsidRPr="001E6046" w:rsidRDefault="001E6046" w:rsidP="001E6046">
      <w:pPr>
        <w:numPr>
          <w:ilvl w:val="2"/>
          <w:numId w:val="5"/>
        </w:numPr>
        <w:spacing w:after="100" w:afterAutospacing="1" w:line="360" w:lineRule="auto"/>
        <w:rPr>
          <w:rFonts w:ascii="Times New Roman" w:hAnsi="Times New Roman"/>
          <w:lang w:val="en-HK"/>
        </w:rPr>
      </w:pPr>
      <w:r w:rsidRPr="001E6046">
        <w:rPr>
          <w:rFonts w:ascii="Times New Roman" w:hAnsi="Times New Roman"/>
          <w:i/>
          <w:iCs/>
          <w:lang w:val="en-HK"/>
        </w:rPr>
        <w:t>Royal Court (2019 GRC 011)</w:t>
      </w:r>
      <w:r w:rsidRPr="001E6046">
        <w:rPr>
          <w:rFonts w:ascii="Times New Roman" w:hAnsi="Times New Roman"/>
          <w:lang w:val="en-HK"/>
        </w:rPr>
        <w:t>: Deputy Bailiff McMahon interpreted section 53(3), which allows termination “where all the beneficiaries are in existence and have been ascertained” and none are minors or under legal disability. He ruled that “beneficiaries” refers only to those currently entitled under the trust instrument, not potential objects of an unexercised power. This relied on section 80(1)’s definition of a beneficiary as “a person entitled to benefit under a trust or in whose favour a power to distribute trust property may be exercised,” excluding mere possibilities until the power is acted upon.</w:t>
      </w:r>
    </w:p>
    <w:p w14:paraId="760A3942" w14:textId="77777777" w:rsidR="001E6046" w:rsidRPr="001E6046" w:rsidRDefault="001E6046" w:rsidP="001E6046">
      <w:pPr>
        <w:numPr>
          <w:ilvl w:val="2"/>
          <w:numId w:val="5"/>
        </w:numPr>
        <w:spacing w:after="100" w:afterAutospacing="1" w:line="360" w:lineRule="auto"/>
        <w:rPr>
          <w:rFonts w:ascii="Times New Roman" w:hAnsi="Times New Roman"/>
          <w:lang w:val="en-HK"/>
        </w:rPr>
      </w:pPr>
      <w:r w:rsidRPr="001E6046">
        <w:rPr>
          <w:rFonts w:ascii="Times New Roman" w:hAnsi="Times New Roman"/>
          <w:i/>
          <w:iCs/>
          <w:lang w:val="en-HK"/>
        </w:rPr>
        <w:t>Court of Appeal (2019 GCA077)</w:t>
      </w:r>
      <w:r w:rsidRPr="001E6046">
        <w:rPr>
          <w:rFonts w:ascii="Times New Roman" w:hAnsi="Times New Roman"/>
          <w:lang w:val="en-HK"/>
        </w:rPr>
        <w:t xml:space="preserve">: The appellate court affirmed this, emphasizing statutory interpretation over common law principles. It cited </w:t>
      </w:r>
      <w:r w:rsidRPr="001E6046">
        <w:rPr>
          <w:rFonts w:ascii="Times New Roman" w:hAnsi="Times New Roman"/>
          <w:i/>
          <w:iCs/>
          <w:lang w:val="en-HK"/>
        </w:rPr>
        <w:t>Re the Exeter Settlement [2010] JLR 169</w:t>
      </w:r>
      <w:r w:rsidRPr="001E6046">
        <w:rPr>
          <w:rFonts w:ascii="Times New Roman" w:hAnsi="Times New Roman"/>
          <w:lang w:val="en-HK"/>
        </w:rPr>
        <w:t xml:space="preserve"> (¶29–30), where Birt B distinguished beneficiaries (objects of a discretionary trust with enforceable rights) from potential objects of a power to add (who lack rights until added). The court rejected the trustee’s argument that “all beneficiaries” includes </w:t>
      </w:r>
      <w:r w:rsidRPr="001E6046">
        <w:rPr>
          <w:rFonts w:ascii="Times New Roman" w:hAnsi="Times New Roman"/>
          <w:lang w:val="en-HK"/>
        </w:rPr>
        <w:lastRenderedPageBreak/>
        <w:t xml:space="preserve">potential future additions, noting that the statute’s plain meaning and structure (e.g., section 52(c)’s explicit inclusion of future beneficiaries where intended) supported a narrower scope. The decision modified </w:t>
      </w:r>
      <w:r w:rsidRPr="001E6046">
        <w:rPr>
          <w:rFonts w:ascii="Times New Roman" w:hAnsi="Times New Roman"/>
          <w:i/>
          <w:iCs/>
          <w:lang w:val="en-HK"/>
        </w:rPr>
        <w:t>Saunders v Vautier</w:t>
      </w:r>
      <w:r w:rsidRPr="001E6046">
        <w:rPr>
          <w:rFonts w:ascii="Times New Roman" w:hAnsi="Times New Roman"/>
          <w:lang w:val="en-HK"/>
        </w:rPr>
        <w:t xml:space="preserve"> by codifying it with a precise beneficiary definition, bypassing common law debates about class closure.</w:t>
      </w:r>
    </w:p>
    <w:p w14:paraId="01439BE1"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Significance</w:t>
      </w:r>
      <w:r w:rsidRPr="001E6046">
        <w:rPr>
          <w:rFonts w:ascii="Times New Roman" w:hAnsi="Times New Roman"/>
          <w:lang w:val="en-HK"/>
        </w:rPr>
        <w:t>: The ruling clarified that in Guernsey, a broad power to add beneficiaries does not bar termination under section 53(3), providing a legislative solution absent in English law.</w:t>
      </w:r>
    </w:p>
    <w:p w14:paraId="19BFC6CE"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Statute: Trusts (Guernsey) Law, 2007</w:t>
      </w:r>
      <w:r w:rsidRPr="001E6046">
        <w:rPr>
          <w:rFonts w:ascii="Times New Roman" w:hAnsi="Times New Roman"/>
          <w:lang w:val="en-HK"/>
        </w:rPr>
        <w:t xml:space="preserve"> </w:t>
      </w:r>
    </w:p>
    <w:p w14:paraId="6D3A8BED" w14:textId="77777777" w:rsidR="001E6046" w:rsidRPr="001E6046" w:rsidRDefault="001E6046" w:rsidP="001E6046">
      <w:pPr>
        <w:numPr>
          <w:ilvl w:val="1"/>
          <w:numId w:val="5"/>
        </w:numPr>
        <w:spacing w:after="100" w:afterAutospacing="1" w:line="360" w:lineRule="auto"/>
        <w:rPr>
          <w:rFonts w:ascii="Times New Roman" w:hAnsi="Times New Roman"/>
          <w:lang w:val="en-HK"/>
        </w:rPr>
      </w:pPr>
      <w:r w:rsidRPr="001E6046">
        <w:rPr>
          <w:rFonts w:ascii="Times New Roman" w:hAnsi="Times New Roman"/>
          <w:i/>
          <w:iCs/>
          <w:lang w:val="en-HK"/>
        </w:rPr>
        <w:t>Section 53(3)</w:t>
      </w:r>
      <w:r w:rsidRPr="001E6046">
        <w:rPr>
          <w:rFonts w:ascii="Times New Roman" w:hAnsi="Times New Roman"/>
          <w:lang w:val="en-HK"/>
        </w:rPr>
        <w:t xml:space="preserve">: “Without prejudice to the powers of the Royal Court under subsection (4), and notwithstanding the terms of the trust, where all the beneficiaries are in existence and have been ascertained, and none is a minor or a person under legal disability, they may require the trustees to terminate the trust and distribute the trust property among them.” This codifies </w:t>
      </w:r>
      <w:r w:rsidRPr="001E6046">
        <w:rPr>
          <w:rFonts w:ascii="Times New Roman" w:hAnsi="Times New Roman"/>
          <w:i/>
          <w:iCs/>
          <w:lang w:val="en-HK"/>
        </w:rPr>
        <w:t>Saunders v Vautier</w:t>
      </w:r>
      <w:r w:rsidRPr="001E6046">
        <w:rPr>
          <w:rFonts w:ascii="Times New Roman" w:hAnsi="Times New Roman"/>
          <w:lang w:val="en-HK"/>
        </w:rPr>
        <w:t xml:space="preserve"> but limits its scope to existing, ascertainable beneficiaries.</w:t>
      </w:r>
    </w:p>
    <w:p w14:paraId="7A16E630" w14:textId="77777777" w:rsidR="001E6046" w:rsidRPr="001E6046" w:rsidRDefault="001E6046" w:rsidP="001E6046">
      <w:pPr>
        <w:numPr>
          <w:ilvl w:val="1"/>
          <w:numId w:val="5"/>
        </w:numPr>
        <w:spacing w:after="100" w:afterAutospacing="1" w:line="360" w:lineRule="auto"/>
        <w:rPr>
          <w:rFonts w:ascii="Times New Roman" w:hAnsi="Times New Roman"/>
          <w:lang w:val="en-HK"/>
        </w:rPr>
      </w:pPr>
      <w:r w:rsidRPr="001E6046">
        <w:rPr>
          <w:rFonts w:ascii="Times New Roman" w:hAnsi="Times New Roman"/>
          <w:i/>
          <w:iCs/>
          <w:lang w:val="en-HK"/>
        </w:rPr>
        <w:t>Section 80(1)</w:t>
      </w:r>
      <w:r w:rsidRPr="001E6046">
        <w:rPr>
          <w:rFonts w:ascii="Times New Roman" w:hAnsi="Times New Roman"/>
          <w:lang w:val="en-HK"/>
        </w:rPr>
        <w:t>: Defines a beneficiary as one currently entitled or an object of an exercised power, excluding potential appointees until action is taken.</w:t>
      </w:r>
    </w:p>
    <w:p w14:paraId="5B89B4D9" w14:textId="77777777" w:rsidR="001E6046" w:rsidRPr="001E6046" w:rsidRDefault="001E6046" w:rsidP="001E6046">
      <w:pPr>
        <w:numPr>
          <w:ilvl w:val="1"/>
          <w:numId w:val="5"/>
        </w:numPr>
        <w:spacing w:after="100" w:afterAutospacing="1" w:line="360" w:lineRule="auto"/>
        <w:rPr>
          <w:rFonts w:ascii="Times New Roman" w:hAnsi="Times New Roman"/>
          <w:lang w:val="en-HK"/>
        </w:rPr>
      </w:pPr>
      <w:r w:rsidRPr="001E6046">
        <w:rPr>
          <w:rFonts w:ascii="Times New Roman" w:hAnsi="Times New Roman"/>
          <w:i/>
          <w:iCs/>
          <w:lang w:val="en-HK"/>
        </w:rPr>
        <w:t>Section 52(c)</w:t>
      </w:r>
      <w:r w:rsidRPr="001E6046">
        <w:rPr>
          <w:rFonts w:ascii="Times New Roman" w:hAnsi="Times New Roman"/>
          <w:lang w:val="en-HK"/>
        </w:rPr>
        <w:t>: Provides for a resulting trust to the settlor if “there is no beneficiary and no person who can become a beneficiary in accordance with the terms of the trust,” showing legislative intent to distinguish existing from potential beneficiaries when required.</w:t>
      </w:r>
    </w:p>
    <w:p w14:paraId="4CEBDAF3"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Case Law: Re the Exeter Settlement [2010] JLR 169</w:t>
      </w:r>
      <w:r w:rsidRPr="001E6046">
        <w:rPr>
          <w:rFonts w:ascii="Times New Roman" w:hAnsi="Times New Roman"/>
          <w:lang w:val="en-HK"/>
        </w:rPr>
        <w:t xml:space="preserve"> </w:t>
      </w:r>
    </w:p>
    <w:p w14:paraId="0F3B6842"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Facts</w:t>
      </w:r>
      <w:r w:rsidRPr="001E6046">
        <w:rPr>
          <w:rFonts w:ascii="Times New Roman" w:hAnsi="Times New Roman"/>
          <w:lang w:val="en-HK"/>
        </w:rPr>
        <w:t>: A Jersey case addressing beneficiary status in a discretionary trust with a power to add.</w:t>
      </w:r>
    </w:p>
    <w:p w14:paraId="751B667E"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Held</w:t>
      </w:r>
      <w:r w:rsidRPr="001E6046">
        <w:rPr>
          <w:rFonts w:ascii="Times New Roman" w:hAnsi="Times New Roman"/>
          <w:lang w:val="en-HK"/>
        </w:rPr>
        <w:t>: Birt B ruled that objects of a power to add are not beneficiaries until the power is exercised.</w:t>
      </w:r>
    </w:p>
    <w:p w14:paraId="3737EAA8"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Reasoning</w:t>
      </w:r>
      <w:r w:rsidRPr="001E6046">
        <w:rPr>
          <w:rFonts w:ascii="Times New Roman" w:hAnsi="Times New Roman"/>
          <w:lang w:val="en-HK"/>
        </w:rPr>
        <w:t xml:space="preserve">: Beneficiaries have enforceable rights to trust benefits, whereas potential objects of a power lack such rights until added, possessing only a theoretical possibility. This underpinned </w:t>
      </w:r>
      <w:r w:rsidRPr="001E6046">
        <w:rPr>
          <w:rFonts w:ascii="Times New Roman" w:hAnsi="Times New Roman"/>
          <w:i/>
          <w:iCs/>
          <w:lang w:val="en-HK"/>
        </w:rPr>
        <w:t>Rusnano</w:t>
      </w:r>
      <w:r w:rsidRPr="001E6046">
        <w:rPr>
          <w:rFonts w:ascii="Times New Roman" w:hAnsi="Times New Roman"/>
          <w:lang w:val="en-HK"/>
        </w:rPr>
        <w:t>’s distinction, adopted by the Guernsey Court of Appeal.</w:t>
      </w:r>
    </w:p>
    <w:p w14:paraId="773204AC"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Context</w:t>
      </w:r>
      <w:r w:rsidRPr="001E6046">
        <w:rPr>
          <w:rFonts w:ascii="Times New Roman" w:hAnsi="Times New Roman"/>
          <w:lang w:val="en-HK"/>
        </w:rPr>
        <w:t>: Though a Jersey decision, its logic informed Guernsey’s statutory interpretation.</w:t>
      </w:r>
    </w:p>
    <w:p w14:paraId="54EA2BED"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lastRenderedPageBreak/>
        <w:t>Case Law: Bond v Equiom Trust (Guernsey) Limited (4 June 2018, Guernsey Judgment 24/2018)</w:t>
      </w:r>
      <w:r w:rsidRPr="001E6046">
        <w:rPr>
          <w:rFonts w:ascii="Times New Roman" w:hAnsi="Times New Roman"/>
          <w:lang w:val="en-HK"/>
        </w:rPr>
        <w:t xml:space="preserve"> </w:t>
      </w:r>
    </w:p>
    <w:p w14:paraId="36A3FD16"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Facts</w:t>
      </w:r>
      <w:r w:rsidRPr="001E6046">
        <w:rPr>
          <w:rFonts w:ascii="Times New Roman" w:hAnsi="Times New Roman"/>
          <w:lang w:val="en-HK"/>
        </w:rPr>
        <w:t xml:space="preserve">: A prior Guernsey case interpreting the </w:t>
      </w:r>
      <w:r w:rsidRPr="001E6046">
        <w:rPr>
          <w:rFonts w:ascii="Times New Roman" w:hAnsi="Times New Roman"/>
          <w:i/>
          <w:iCs/>
          <w:lang w:val="en-HK"/>
        </w:rPr>
        <w:t>Trusts (Guernsey) Law, 2007</w:t>
      </w:r>
      <w:r w:rsidRPr="001E6046">
        <w:rPr>
          <w:rFonts w:ascii="Times New Roman" w:hAnsi="Times New Roman"/>
          <w:lang w:val="en-HK"/>
        </w:rPr>
        <w:t>.</w:t>
      </w:r>
    </w:p>
    <w:p w14:paraId="4C31149A"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Held</w:t>
      </w:r>
      <w:r w:rsidRPr="001E6046">
        <w:rPr>
          <w:rFonts w:ascii="Times New Roman" w:hAnsi="Times New Roman"/>
          <w:lang w:val="en-HK"/>
        </w:rPr>
        <w:t xml:space="preserve">: The court recognized section 53(3) as a modification of </w:t>
      </w:r>
      <w:r w:rsidRPr="001E6046">
        <w:rPr>
          <w:rFonts w:ascii="Times New Roman" w:hAnsi="Times New Roman"/>
          <w:i/>
          <w:iCs/>
          <w:lang w:val="en-HK"/>
        </w:rPr>
        <w:t>Saunders v Vautier</w:t>
      </w:r>
      <w:r w:rsidRPr="001E6046">
        <w:rPr>
          <w:rFonts w:ascii="Times New Roman" w:hAnsi="Times New Roman"/>
          <w:lang w:val="en-HK"/>
        </w:rPr>
        <w:t>.</w:t>
      </w:r>
    </w:p>
    <w:p w14:paraId="11F02919"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Reasoning</w:t>
      </w:r>
      <w:r w:rsidRPr="001E6046">
        <w:rPr>
          <w:rFonts w:ascii="Times New Roman" w:hAnsi="Times New Roman"/>
          <w:lang w:val="en-HK"/>
        </w:rPr>
        <w:t xml:space="preserve">: Cited in </w:t>
      </w:r>
      <w:r w:rsidRPr="001E6046">
        <w:rPr>
          <w:rFonts w:ascii="Times New Roman" w:hAnsi="Times New Roman"/>
          <w:i/>
          <w:iCs/>
          <w:lang w:val="en-HK"/>
        </w:rPr>
        <w:t>Rusnano</w:t>
      </w:r>
      <w:r w:rsidRPr="001E6046">
        <w:rPr>
          <w:rFonts w:ascii="Times New Roman" w:hAnsi="Times New Roman"/>
          <w:lang w:val="en-HK"/>
        </w:rPr>
        <w:t xml:space="preserve"> (¶25), it established that the statute adapts common law principles to Guernsey’s framework, prioritizing legislative text over broader equitable doctrines.</w:t>
      </w:r>
    </w:p>
    <w:p w14:paraId="45654CB1"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Scholar’s Opinion</w:t>
      </w:r>
      <w:r w:rsidRPr="001E6046">
        <w:rPr>
          <w:rFonts w:ascii="Times New Roman" w:hAnsi="Times New Roman"/>
          <w:lang w:val="en-HK"/>
        </w:rPr>
        <w:t xml:space="preserve">: </w:t>
      </w:r>
    </w:p>
    <w:p w14:paraId="5A3C0D5F"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lang w:val="en-HK"/>
        </w:rPr>
        <w:t xml:space="preserve">The authors note that </w:t>
      </w:r>
      <w:r w:rsidRPr="001E6046">
        <w:rPr>
          <w:rFonts w:ascii="Times New Roman" w:hAnsi="Times New Roman"/>
          <w:i/>
          <w:iCs/>
          <w:lang w:val="en-HK"/>
        </w:rPr>
        <w:t>Rusnano</w:t>
      </w:r>
      <w:r w:rsidRPr="001E6046">
        <w:rPr>
          <w:rFonts w:ascii="Times New Roman" w:hAnsi="Times New Roman"/>
          <w:lang w:val="en-HK"/>
        </w:rPr>
        <w:t xml:space="preserve"> demonstrates how clear legislation can resolve common law uncertainties surrounding massively discretionary trusts (Morris and Clark-Jones, </w:t>
      </w:r>
      <w:r w:rsidRPr="001E6046">
        <w:rPr>
          <w:rFonts w:ascii="Times New Roman" w:hAnsi="Times New Roman"/>
          <w:i/>
          <w:iCs/>
          <w:lang w:val="en-HK"/>
        </w:rPr>
        <w:t>I’ve got the power</w:t>
      </w:r>
      <w:r w:rsidRPr="001E6046">
        <w:rPr>
          <w:rFonts w:ascii="Times New Roman" w:hAnsi="Times New Roman"/>
          <w:lang w:val="en-HK"/>
        </w:rPr>
        <w:t>, 2022). They contrast this with England and Wales, where no equivalent statute exists, leaving the rule’s application unsettled.</w:t>
      </w:r>
    </w:p>
    <w:p w14:paraId="4CD9E501"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Analysis</w:t>
      </w:r>
      <w:r w:rsidRPr="001E6046">
        <w:rPr>
          <w:rFonts w:ascii="Times New Roman" w:hAnsi="Times New Roman"/>
          <w:lang w:val="en-HK"/>
        </w:rPr>
        <w:t xml:space="preserve">: </w:t>
      </w:r>
    </w:p>
    <w:p w14:paraId="5E333BFE" w14:textId="77777777" w:rsidR="001E6046" w:rsidRPr="001E6046" w:rsidRDefault="001E6046" w:rsidP="001E6046">
      <w:pPr>
        <w:numPr>
          <w:ilvl w:val="1"/>
          <w:numId w:val="5"/>
        </w:numPr>
        <w:spacing w:after="100" w:afterAutospacing="1" w:line="360" w:lineRule="auto"/>
        <w:rPr>
          <w:rFonts w:ascii="Times New Roman" w:hAnsi="Times New Roman"/>
          <w:lang w:val="en-HK"/>
        </w:rPr>
      </w:pPr>
      <w:r w:rsidRPr="001E6046">
        <w:rPr>
          <w:rFonts w:ascii="Times New Roman" w:hAnsi="Times New Roman"/>
          <w:i/>
          <w:iCs/>
          <w:lang w:val="en-HK"/>
        </w:rPr>
        <w:t>Statutory vs. Common Law</w:t>
      </w:r>
      <w:r w:rsidRPr="001E6046">
        <w:rPr>
          <w:rFonts w:ascii="Times New Roman" w:hAnsi="Times New Roman"/>
          <w:lang w:val="en-HK"/>
        </w:rPr>
        <w:t xml:space="preserve">: </w:t>
      </w:r>
      <w:r w:rsidRPr="001E6046">
        <w:rPr>
          <w:rFonts w:ascii="Times New Roman" w:hAnsi="Times New Roman"/>
          <w:i/>
          <w:iCs/>
          <w:lang w:val="en-HK"/>
        </w:rPr>
        <w:t>Rusnano</w:t>
      </w:r>
      <w:r w:rsidRPr="001E6046">
        <w:rPr>
          <w:rFonts w:ascii="Times New Roman" w:hAnsi="Times New Roman"/>
          <w:lang w:val="en-HK"/>
        </w:rPr>
        <w:t xml:space="preserve"> is a case of statutory construction, not a direct precedent for English common law. It modifies </w:t>
      </w:r>
      <w:r w:rsidRPr="001E6046">
        <w:rPr>
          <w:rFonts w:ascii="Times New Roman" w:hAnsi="Times New Roman"/>
          <w:i/>
          <w:iCs/>
          <w:lang w:val="en-HK"/>
        </w:rPr>
        <w:t>Saunders v Vautier</w:t>
      </w:r>
      <w:r w:rsidRPr="001E6046">
        <w:rPr>
          <w:rFonts w:ascii="Times New Roman" w:hAnsi="Times New Roman"/>
          <w:lang w:val="en-HK"/>
        </w:rPr>
        <w:t xml:space="preserve"> by defining beneficiaries narrowly, avoiding debates over indefeasibility or temporality.</w:t>
      </w:r>
    </w:p>
    <w:p w14:paraId="6E9156F0" w14:textId="77777777" w:rsidR="001E6046" w:rsidRPr="001E6046" w:rsidRDefault="001E6046" w:rsidP="001E6046">
      <w:pPr>
        <w:numPr>
          <w:ilvl w:val="1"/>
          <w:numId w:val="5"/>
        </w:numPr>
        <w:spacing w:after="100" w:afterAutospacing="1" w:line="360" w:lineRule="auto"/>
        <w:rPr>
          <w:rFonts w:ascii="Times New Roman" w:hAnsi="Times New Roman"/>
          <w:lang w:val="en-HK"/>
        </w:rPr>
      </w:pPr>
      <w:r w:rsidRPr="001E6046">
        <w:rPr>
          <w:rFonts w:ascii="Times New Roman" w:hAnsi="Times New Roman"/>
          <w:i/>
          <w:iCs/>
          <w:lang w:val="en-HK"/>
        </w:rPr>
        <w:t>Practical Impact</w:t>
      </w:r>
      <w:r w:rsidRPr="001E6046">
        <w:rPr>
          <w:rFonts w:ascii="Times New Roman" w:hAnsi="Times New Roman"/>
          <w:lang w:val="en-HK"/>
        </w:rPr>
        <w:t>: The ruling allows a sole beneficiary like Rusnano to “scoop the pot” in trusts with unexercised powers, a clarity settlors can counter by drafting explicit protections (e.g., adding beneficiaries preemptively).</w:t>
      </w:r>
    </w:p>
    <w:p w14:paraId="58C122F5" w14:textId="77777777" w:rsidR="001E6046" w:rsidRPr="001E6046" w:rsidRDefault="00E90432" w:rsidP="001E6046">
      <w:pPr>
        <w:spacing w:line="360" w:lineRule="auto"/>
        <w:rPr>
          <w:rFonts w:ascii="Times New Roman" w:hAnsi="Times New Roman"/>
          <w:lang w:val="en-HK"/>
        </w:rPr>
      </w:pPr>
      <w:r w:rsidRPr="00E90432">
        <w:rPr>
          <w:rFonts w:ascii="Times New Roman" w:hAnsi="Times New Roman"/>
          <w:noProof/>
          <w:lang w:val="en-HK"/>
          <w14:ligatures w14:val="standardContextual"/>
        </w:rPr>
        <w:pict w14:anchorId="1EE4B43E">
          <v:rect id="_x0000_i1025" alt="" style="width:451.3pt;height:.05pt;mso-width-percent:0;mso-height-percent:0;mso-width-percent:0;mso-height-percent:0" o:hralign="center" o:hrstd="t" o:hr="t" fillcolor="#a0a0a0" stroked="f"/>
        </w:pict>
      </w:r>
    </w:p>
    <w:p w14:paraId="0466EEE5" w14:textId="77777777" w:rsidR="001E6046" w:rsidRPr="001E6046" w:rsidRDefault="001E6046" w:rsidP="001E6046">
      <w:pPr>
        <w:spacing w:after="100" w:afterAutospacing="1" w:line="360" w:lineRule="auto"/>
        <w:outlineLvl w:val="2"/>
        <w:rPr>
          <w:rFonts w:ascii="Times New Roman" w:hAnsi="Times New Roman"/>
          <w:b/>
          <w:bCs/>
          <w:lang w:val="en-HK"/>
        </w:rPr>
      </w:pPr>
      <w:r w:rsidRPr="001E6046">
        <w:rPr>
          <w:rFonts w:ascii="Times New Roman" w:hAnsi="Times New Roman"/>
          <w:b/>
          <w:bCs/>
          <w:lang w:val="en-HK"/>
        </w:rPr>
        <w:t>6. Consequences for Trusts (pp. 27–28) – Detailed Analysis</w:t>
      </w:r>
    </w:p>
    <w:p w14:paraId="7BE76B27"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lang w:val="en-HK"/>
        </w:rPr>
        <w:t xml:space="preserve">This section evaluates the implications of applying or not applying the rule in </w:t>
      </w:r>
      <w:r w:rsidRPr="001E6046">
        <w:rPr>
          <w:rFonts w:ascii="Times New Roman" w:hAnsi="Times New Roman"/>
          <w:i/>
          <w:iCs/>
          <w:lang w:val="en-HK"/>
        </w:rPr>
        <w:t>Saunders v Vautier</w:t>
      </w:r>
      <w:r w:rsidRPr="001E6046">
        <w:rPr>
          <w:rFonts w:ascii="Times New Roman" w:hAnsi="Times New Roman"/>
          <w:lang w:val="en-HK"/>
        </w:rPr>
        <w:t xml:space="preserve"> to trusts with broad powers to add beneficiaries, drawing on </w:t>
      </w:r>
      <w:r w:rsidRPr="001E6046">
        <w:rPr>
          <w:rFonts w:ascii="Times New Roman" w:hAnsi="Times New Roman"/>
          <w:i/>
          <w:iCs/>
          <w:lang w:val="en-HK"/>
        </w:rPr>
        <w:t>Rusnano</w:t>
      </w:r>
      <w:r w:rsidRPr="001E6046">
        <w:rPr>
          <w:rFonts w:ascii="Times New Roman" w:hAnsi="Times New Roman"/>
          <w:lang w:val="en-HK"/>
        </w:rPr>
        <w:t xml:space="preserve"> and broader trust principles. It weighs the balance between beneficiary autonomy and settlor control.</w:t>
      </w:r>
    </w:p>
    <w:p w14:paraId="7806BE8F"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Core Argument</w:t>
      </w:r>
      <w:r w:rsidRPr="001E6046">
        <w:rPr>
          <w:rFonts w:ascii="Times New Roman" w:hAnsi="Times New Roman"/>
          <w:lang w:val="en-HK"/>
        </w:rPr>
        <w:t xml:space="preserve">: </w:t>
      </w:r>
    </w:p>
    <w:p w14:paraId="35C97CD8"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lang w:val="en-HK"/>
        </w:rPr>
        <w:lastRenderedPageBreak/>
        <w:t xml:space="preserve">If the rule applies despite broad powers (per </w:t>
      </w:r>
      <w:r w:rsidRPr="001E6046">
        <w:rPr>
          <w:rFonts w:ascii="Times New Roman" w:hAnsi="Times New Roman"/>
          <w:i/>
          <w:iCs/>
          <w:lang w:val="en-HK"/>
        </w:rPr>
        <w:t>Rusnano</w:t>
      </w:r>
      <w:r w:rsidRPr="001E6046">
        <w:rPr>
          <w:rFonts w:ascii="Times New Roman" w:hAnsi="Times New Roman"/>
          <w:lang w:val="en-HK"/>
        </w:rPr>
        <w:t>), beneficiaries can terminate trusts, potentially undermining settlor intent but offering certainty. If it does not, settlors gain a mechanism to lock trusts against beneficiary action, raising fundamental questions about trust integrity.</w:t>
      </w:r>
    </w:p>
    <w:p w14:paraId="0DC73EEB"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Consequences if the Rule Applies</w:t>
      </w:r>
      <w:r w:rsidRPr="001E6046">
        <w:rPr>
          <w:rFonts w:ascii="Times New Roman" w:hAnsi="Times New Roman"/>
          <w:lang w:val="en-HK"/>
        </w:rPr>
        <w:t xml:space="preserve">: </w:t>
      </w:r>
    </w:p>
    <w:p w14:paraId="2FC565AF"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Case Law: Rusnano (supra)</w:t>
      </w:r>
      <w:r w:rsidRPr="001E6046">
        <w:rPr>
          <w:rFonts w:ascii="Times New Roman" w:hAnsi="Times New Roman"/>
          <w:lang w:val="en-HK"/>
        </w:rPr>
        <w:t xml:space="preserve">: </w:t>
      </w:r>
    </w:p>
    <w:p w14:paraId="42DAB9C6"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Reasoning (cont’d)</w:t>
      </w:r>
      <w:r w:rsidRPr="001E6046">
        <w:rPr>
          <w:rFonts w:ascii="Times New Roman" w:hAnsi="Times New Roman"/>
          <w:lang w:val="en-HK"/>
        </w:rPr>
        <w:t xml:space="preserve">: Birt J in the Court of Appeal noted that Red Cross trusts are “vulnerable to the theoretical risk” of a named charity terminating under section 53(3) (¶43, [2019] GCA077). He proposed two solutions: </w:t>
      </w:r>
    </w:p>
    <w:p w14:paraId="5C15BA8B" w14:textId="77777777" w:rsidR="001E6046" w:rsidRPr="001E6046" w:rsidRDefault="001E6046" w:rsidP="001E6046">
      <w:pPr>
        <w:numPr>
          <w:ilvl w:val="3"/>
          <w:numId w:val="6"/>
        </w:numPr>
        <w:spacing w:after="100" w:afterAutospacing="1" w:line="360" w:lineRule="auto"/>
        <w:rPr>
          <w:rFonts w:ascii="Times New Roman" w:hAnsi="Times New Roman"/>
          <w:lang w:val="en-HK"/>
        </w:rPr>
      </w:pPr>
      <w:r w:rsidRPr="001E6046">
        <w:rPr>
          <w:rFonts w:ascii="Times New Roman" w:hAnsi="Times New Roman"/>
          <w:lang w:val="en-HK"/>
        </w:rPr>
        <w:t>Trustees can add further beneficiaries before a termination demand, closing the class and aligning with settlor intent.</w:t>
      </w:r>
    </w:p>
    <w:p w14:paraId="48A249A0" w14:textId="77777777" w:rsidR="001E6046" w:rsidRPr="001E6046" w:rsidRDefault="001E6046" w:rsidP="001E6046">
      <w:pPr>
        <w:numPr>
          <w:ilvl w:val="3"/>
          <w:numId w:val="6"/>
        </w:numPr>
        <w:spacing w:after="100" w:afterAutospacing="1" w:line="360" w:lineRule="auto"/>
        <w:rPr>
          <w:rFonts w:ascii="Times New Roman" w:hAnsi="Times New Roman"/>
          <w:lang w:val="en-HK"/>
        </w:rPr>
      </w:pPr>
      <w:r w:rsidRPr="001E6046">
        <w:rPr>
          <w:rFonts w:ascii="Times New Roman" w:hAnsi="Times New Roman"/>
          <w:lang w:val="en-HK"/>
        </w:rPr>
        <w:t>Defining the class to include future issue (e.g., unborn descendants) prevents termination while such possibilities exist, as the class remains open.</w:t>
      </w:r>
    </w:p>
    <w:p w14:paraId="14EF64E1"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Implication</w:t>
      </w:r>
      <w:r w:rsidRPr="001E6046">
        <w:rPr>
          <w:rFonts w:ascii="Times New Roman" w:hAnsi="Times New Roman"/>
          <w:lang w:val="en-HK"/>
        </w:rPr>
        <w:t>: This empowers existing beneficiaries but allows settlors to mitigate risks through proactive drafting or amendments post-</w:t>
      </w:r>
      <w:r w:rsidRPr="001E6046">
        <w:rPr>
          <w:rFonts w:ascii="Times New Roman" w:hAnsi="Times New Roman"/>
          <w:i/>
          <w:iCs/>
          <w:lang w:val="en-HK"/>
        </w:rPr>
        <w:t>Rusnano</w:t>
      </w:r>
      <w:r w:rsidRPr="001E6046">
        <w:rPr>
          <w:rFonts w:ascii="Times New Roman" w:hAnsi="Times New Roman"/>
          <w:lang w:val="en-HK"/>
        </w:rPr>
        <w:t>.</w:t>
      </w:r>
    </w:p>
    <w:p w14:paraId="3EFDD8D7"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Practical Outcome</w:t>
      </w:r>
      <w:r w:rsidRPr="001E6046">
        <w:rPr>
          <w:rFonts w:ascii="Times New Roman" w:hAnsi="Times New Roman"/>
          <w:lang w:val="en-HK"/>
        </w:rPr>
        <w:t xml:space="preserve">: Trusts like RNPharma become terminable by a sole beneficiary (e.g., Rusnano), potentially distributing assets contrary to settlor plans (e.g., in Red Cross trusts). The authors see this as manageable, citing Guernsey’s experience (Morris and Clark-Jones, </w:t>
      </w:r>
      <w:r w:rsidRPr="001E6046">
        <w:rPr>
          <w:rFonts w:ascii="Times New Roman" w:hAnsi="Times New Roman"/>
          <w:i/>
          <w:iCs/>
          <w:lang w:val="en-HK"/>
        </w:rPr>
        <w:t>I’ve got the power</w:t>
      </w:r>
      <w:r w:rsidRPr="001E6046">
        <w:rPr>
          <w:rFonts w:ascii="Times New Roman" w:hAnsi="Times New Roman"/>
          <w:lang w:val="en-HK"/>
        </w:rPr>
        <w:t>, 2022).</w:t>
      </w:r>
    </w:p>
    <w:p w14:paraId="2B74866D"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Consequences if the Rule Does Not Apply</w:t>
      </w:r>
      <w:r w:rsidRPr="001E6046">
        <w:rPr>
          <w:rFonts w:ascii="Times New Roman" w:hAnsi="Times New Roman"/>
          <w:lang w:val="en-HK"/>
        </w:rPr>
        <w:t xml:space="preserve">: </w:t>
      </w:r>
    </w:p>
    <w:p w14:paraId="3055C0AA"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Theoretical Impact</w:t>
      </w:r>
      <w:r w:rsidRPr="001E6046">
        <w:rPr>
          <w:rFonts w:ascii="Times New Roman" w:hAnsi="Times New Roman"/>
          <w:lang w:val="en-HK"/>
        </w:rPr>
        <w:t xml:space="preserve">: A broad power to add beneficiaries would bar termination under </w:t>
      </w:r>
      <w:r w:rsidRPr="001E6046">
        <w:rPr>
          <w:rFonts w:ascii="Times New Roman" w:hAnsi="Times New Roman"/>
          <w:i/>
          <w:iCs/>
          <w:lang w:val="en-HK"/>
        </w:rPr>
        <w:t>Saunders v Vautier</w:t>
      </w:r>
      <w:r w:rsidRPr="001E6046">
        <w:rPr>
          <w:rFonts w:ascii="Times New Roman" w:hAnsi="Times New Roman"/>
          <w:lang w:val="en-HK"/>
        </w:rPr>
        <w:t>, as the class remains open (indefeasibility approach). This gives settlors a tool to ensure named beneficiaries (e.g., charities in Red Cross trusts) cannot act, preserving discretion for intended but unnamed beneficiaries.</w:t>
      </w:r>
    </w:p>
    <w:p w14:paraId="64CD1505"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Critique</w:t>
      </w:r>
      <w:r w:rsidRPr="001E6046">
        <w:rPr>
          <w:rFonts w:ascii="Times New Roman" w:hAnsi="Times New Roman"/>
          <w:lang w:val="en-HK"/>
        </w:rPr>
        <w:t xml:space="preserve">: The authors argue this creates a beneficiary “who is never intended to actually benefit from the trust, and who will never be able to enforce their rights,” undermining the </w:t>
      </w:r>
      <w:r w:rsidRPr="001E6046">
        <w:rPr>
          <w:rFonts w:ascii="Times New Roman" w:hAnsi="Times New Roman"/>
          <w:lang w:val="en-HK"/>
        </w:rPr>
        <w:lastRenderedPageBreak/>
        <w:t>essence of beneficiary status and trust integrity. A trust where legal entitlement is a fiction risks being a sham or losing its equitable foundation.</w:t>
      </w:r>
    </w:p>
    <w:p w14:paraId="2AAC43CC"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Example</w:t>
      </w:r>
      <w:r w:rsidRPr="001E6046">
        <w:rPr>
          <w:rFonts w:ascii="Times New Roman" w:hAnsi="Times New Roman"/>
          <w:lang w:val="en-HK"/>
        </w:rPr>
        <w:t>: In a Black Hole trust, a charity named as the sole beneficiary could be perpetually sidelined by an unexercised power, nullifying its role without trustee action, a structure the authors deem problematic.</w:t>
      </w:r>
    </w:p>
    <w:p w14:paraId="2DB1C0ED"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Scholar’s Opinion</w:t>
      </w:r>
      <w:r w:rsidRPr="001E6046">
        <w:rPr>
          <w:rFonts w:ascii="Times New Roman" w:hAnsi="Times New Roman"/>
          <w:lang w:val="en-HK"/>
        </w:rPr>
        <w:t xml:space="preserve">: </w:t>
      </w:r>
    </w:p>
    <w:p w14:paraId="17431972" w14:textId="77777777" w:rsidR="001E6046" w:rsidRPr="001E6046" w:rsidRDefault="001E6046" w:rsidP="001E6046">
      <w:pPr>
        <w:numPr>
          <w:ilvl w:val="1"/>
          <w:numId w:val="6"/>
        </w:numPr>
        <w:spacing w:after="100" w:afterAutospacing="1" w:line="360" w:lineRule="auto"/>
        <w:rPr>
          <w:rFonts w:ascii="Times New Roman" w:hAnsi="Times New Roman"/>
          <w:lang w:val="en-HK"/>
        </w:rPr>
      </w:pPr>
      <w:r w:rsidRPr="001E6046">
        <w:rPr>
          <w:rFonts w:ascii="Times New Roman" w:hAnsi="Times New Roman"/>
          <w:lang w:val="en-HK"/>
        </w:rPr>
        <w:t xml:space="preserve">Cumming et al. suggest that </w:t>
      </w:r>
      <w:r w:rsidRPr="001E6046">
        <w:rPr>
          <w:rFonts w:ascii="Times New Roman" w:hAnsi="Times New Roman"/>
          <w:i/>
          <w:iCs/>
          <w:lang w:val="en-HK"/>
        </w:rPr>
        <w:t>Rusnano</w:t>
      </w:r>
      <w:r w:rsidRPr="001E6046">
        <w:rPr>
          <w:rFonts w:ascii="Times New Roman" w:hAnsi="Times New Roman"/>
          <w:lang w:val="en-HK"/>
        </w:rPr>
        <w:t xml:space="preserve">’s clarity allows trust drafters to adapt, mitigating its consequences (Cumming et al., </w:t>
      </w:r>
      <w:r w:rsidRPr="001E6046">
        <w:rPr>
          <w:rFonts w:ascii="Times New Roman" w:hAnsi="Times New Roman"/>
          <w:i/>
          <w:iCs/>
          <w:lang w:val="en-HK"/>
        </w:rPr>
        <w:t>What’s in a name? That which we call a rose, By any other name would smell as sweet</w:t>
      </w:r>
      <w:r w:rsidRPr="001E6046">
        <w:rPr>
          <w:rFonts w:ascii="Times New Roman" w:hAnsi="Times New Roman"/>
          <w:lang w:val="en-HK"/>
        </w:rPr>
        <w:t>, 2019). They view Guernsey’s approach as a model for balancing flexibility and certainty.</w:t>
      </w:r>
    </w:p>
    <w:p w14:paraId="0433D99F" w14:textId="77777777" w:rsidR="001E6046" w:rsidRPr="001E6046" w:rsidRDefault="001E6046" w:rsidP="001E6046">
      <w:pPr>
        <w:numPr>
          <w:ilvl w:val="1"/>
          <w:numId w:val="6"/>
        </w:numPr>
        <w:spacing w:after="100" w:afterAutospacing="1" w:line="360" w:lineRule="auto"/>
        <w:rPr>
          <w:rFonts w:ascii="Times New Roman" w:hAnsi="Times New Roman"/>
          <w:lang w:val="en-HK"/>
        </w:rPr>
      </w:pPr>
      <w:r w:rsidRPr="001E6046">
        <w:rPr>
          <w:rFonts w:ascii="Times New Roman" w:hAnsi="Times New Roman"/>
          <w:lang w:val="en-HK"/>
        </w:rPr>
        <w:t xml:space="preserve">The authors echo this, noting that while termination risks exist, trustees can preempt them (e.g., by adding beneficiaries), preserving settlor intent within a clear legal framework (Morris and Clark-Jones, </w:t>
      </w:r>
      <w:r w:rsidRPr="001E6046">
        <w:rPr>
          <w:rFonts w:ascii="Times New Roman" w:hAnsi="Times New Roman"/>
          <w:i/>
          <w:iCs/>
          <w:lang w:val="en-HK"/>
        </w:rPr>
        <w:t>I’ve got the power</w:t>
      </w:r>
      <w:r w:rsidRPr="001E6046">
        <w:rPr>
          <w:rFonts w:ascii="Times New Roman" w:hAnsi="Times New Roman"/>
          <w:lang w:val="en-HK"/>
        </w:rPr>
        <w:t>, 2022).</w:t>
      </w:r>
    </w:p>
    <w:p w14:paraId="54306CDF"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Analysis</w:t>
      </w:r>
      <w:r w:rsidRPr="001E6046">
        <w:rPr>
          <w:rFonts w:ascii="Times New Roman" w:hAnsi="Times New Roman"/>
          <w:lang w:val="en-HK"/>
        </w:rPr>
        <w:t xml:space="preserve">: </w:t>
      </w:r>
    </w:p>
    <w:p w14:paraId="60CD851F"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Beneficiary Autonomy</w:t>
      </w:r>
      <w:r w:rsidRPr="001E6046">
        <w:rPr>
          <w:rFonts w:ascii="Times New Roman" w:hAnsi="Times New Roman"/>
          <w:lang w:val="en-HK"/>
        </w:rPr>
        <w:t xml:space="preserve">: Applying the rule enhances beneficiary power, as in </w:t>
      </w:r>
      <w:r w:rsidRPr="001E6046">
        <w:rPr>
          <w:rFonts w:ascii="Times New Roman" w:hAnsi="Times New Roman"/>
          <w:i/>
          <w:iCs/>
          <w:lang w:val="en-HK"/>
        </w:rPr>
        <w:t>Rusnano</w:t>
      </w:r>
      <w:r w:rsidRPr="001E6046">
        <w:rPr>
          <w:rFonts w:ascii="Times New Roman" w:hAnsi="Times New Roman"/>
          <w:lang w:val="en-HK"/>
        </w:rPr>
        <w:t xml:space="preserve">, aligning with </w:t>
      </w:r>
      <w:r w:rsidRPr="001E6046">
        <w:rPr>
          <w:rFonts w:ascii="Times New Roman" w:hAnsi="Times New Roman"/>
          <w:i/>
          <w:iCs/>
          <w:lang w:val="en-HK"/>
        </w:rPr>
        <w:t>Saunders v Vautier</w:t>
      </w:r>
      <w:r w:rsidRPr="001E6046">
        <w:rPr>
          <w:rFonts w:ascii="Times New Roman" w:hAnsi="Times New Roman"/>
          <w:lang w:val="en-HK"/>
        </w:rPr>
        <w:t>’s historical intent but challenging settlor control in discretionary trusts.</w:t>
      </w:r>
    </w:p>
    <w:p w14:paraId="4778D57F"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Settlor Protection</w:t>
      </w:r>
      <w:r w:rsidRPr="001E6046">
        <w:rPr>
          <w:rFonts w:ascii="Times New Roman" w:hAnsi="Times New Roman"/>
          <w:lang w:val="en-HK"/>
        </w:rPr>
        <w:t>: Barring the rule protects settlor designs, particularly in Red Cross or Black Hole trusts, but at the cost of beneficiary rights and trust coherence. The authors favor the former, arguing that trusts should not sustain illusory entitlements.</w:t>
      </w:r>
    </w:p>
    <w:p w14:paraId="01A33DCF" w14:textId="77777777"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i/>
          <w:iCs/>
          <w:lang w:val="en-HK"/>
        </w:rPr>
        <w:t>Drafting Solutions</w:t>
      </w:r>
      <w:r w:rsidRPr="001E6046">
        <w:rPr>
          <w:rFonts w:ascii="Times New Roman" w:hAnsi="Times New Roman"/>
          <w:lang w:val="en-HK"/>
        </w:rPr>
        <w:t>: Both outcomes allow settlors to adapt—adding beneficiaries to block termination if the rule applies, or leveraging powers to lock trusts if it does not—though the latter risks judicial scrutiny for sham status.</w:t>
      </w:r>
    </w:p>
    <w:p w14:paraId="5FA31907" w14:textId="43EBF80D" w:rsidR="001E6046" w:rsidRPr="001E6046" w:rsidRDefault="001E6046" w:rsidP="001E6046">
      <w:pPr>
        <w:spacing w:after="100" w:afterAutospacing="1" w:line="360" w:lineRule="auto"/>
        <w:rPr>
          <w:rFonts w:ascii="Times New Roman" w:hAnsi="Times New Roman"/>
          <w:lang w:val="en-HK"/>
        </w:rPr>
      </w:pPr>
      <w:r w:rsidRPr="001E6046">
        <w:rPr>
          <w:rFonts w:ascii="Times New Roman" w:hAnsi="Times New Roman"/>
          <w:b/>
          <w:bCs/>
          <w:lang w:val="en-HK"/>
        </w:rPr>
        <w:t>Conclusion</w:t>
      </w:r>
      <w:r w:rsidRPr="001E6046">
        <w:rPr>
          <w:rFonts w:ascii="Times New Roman" w:hAnsi="Times New Roman"/>
          <w:lang w:val="en-HK"/>
        </w:rPr>
        <w:t xml:space="preserve">: The authors prefer </w:t>
      </w:r>
      <w:r w:rsidRPr="001E6046">
        <w:rPr>
          <w:rFonts w:ascii="Times New Roman" w:hAnsi="Times New Roman"/>
          <w:i/>
          <w:iCs/>
          <w:lang w:val="en-HK"/>
        </w:rPr>
        <w:t>Rusnano</w:t>
      </w:r>
      <w:r w:rsidRPr="001E6046">
        <w:rPr>
          <w:rFonts w:ascii="Times New Roman" w:hAnsi="Times New Roman"/>
          <w:lang w:val="en-HK"/>
        </w:rPr>
        <w:t>’s approach for its certainty and adaptability, warning that indefeasibility’s consequences could destabilize trust law’s foundational principles. England and Wales, lacking such legislation, face ongoing uncertainty in resolving these tensions.</w:t>
      </w:r>
    </w:p>
    <w:p w14:paraId="0AAE308E" w14:textId="77777777" w:rsidR="001E6046" w:rsidRPr="001E6046" w:rsidRDefault="001E6046" w:rsidP="001E6046">
      <w:pPr>
        <w:spacing w:after="100" w:afterAutospacing="1" w:line="360" w:lineRule="auto"/>
        <w:rPr>
          <w:rFonts w:ascii="Times New Roman" w:hAnsi="Times New Roman"/>
          <w:lang w:val="en-HK"/>
        </w:rPr>
      </w:pPr>
    </w:p>
    <w:p w14:paraId="7288F709" w14:textId="77777777" w:rsidR="00CD39F1" w:rsidRPr="001E6046" w:rsidRDefault="00CD39F1" w:rsidP="001E6046">
      <w:pPr>
        <w:spacing w:line="360" w:lineRule="auto"/>
      </w:pPr>
    </w:p>
    <w:sectPr w:rsidR="00CD39F1" w:rsidRPr="001E60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186850"/>
    <w:multiLevelType w:val="multilevel"/>
    <w:tmpl w:val="586458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360"/>
        </w:tabs>
        <w:ind w:left="3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E4518C"/>
    <w:multiLevelType w:val="multilevel"/>
    <w:tmpl w:val="C9229B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C05E6"/>
    <w:multiLevelType w:val="multilevel"/>
    <w:tmpl w:val="296EC5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start w:val="1"/>
      <w:numFmt w:val="bullet"/>
      <w:lvlText w:val=""/>
      <w:lvlJc w:val="left"/>
      <w:pPr>
        <w:tabs>
          <w:tab w:val="num" w:pos="360"/>
        </w:tabs>
        <w:ind w:left="360" w:hanging="360"/>
      </w:pPr>
      <w:rPr>
        <w:rFonts w:ascii="Wingdings" w:hAnsi="Wingdings" w:hint="default"/>
        <w:sz w:val="20"/>
      </w:rPr>
    </w:lvl>
    <w:lvl w:ilvl="3">
      <w:start w:val="1"/>
      <w:numFmt w:val="bullet"/>
      <w:lvlText w:val=""/>
      <w:lvlJc w:val="left"/>
      <w:pPr>
        <w:tabs>
          <w:tab w:val="num" w:pos="644"/>
        </w:tabs>
        <w:ind w:left="644"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3C57B3"/>
    <w:multiLevelType w:val="multilevel"/>
    <w:tmpl w:val="69569A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D343DF"/>
    <w:multiLevelType w:val="multilevel"/>
    <w:tmpl w:val="41D044F0"/>
    <w:lvl w:ilvl="0">
      <w:start w:val="1"/>
      <w:numFmt w:val="decimal"/>
      <w:lvlText w:val="%1."/>
      <w:lvlJc w:val="left"/>
      <w:pPr>
        <w:ind w:left="360" w:hanging="360"/>
      </w:pPr>
      <w:rPr>
        <w:rFonts w:hint="default"/>
        <w:sz w:val="24"/>
        <w:szCs w:val="24"/>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7527201E"/>
    <w:multiLevelType w:val="multilevel"/>
    <w:tmpl w:val="71121C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360" w:hanging="360"/>
      </w:pPr>
      <w:rPr>
        <w:rFonts w:ascii="Symbol" w:hAnsi="Symbol"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62959">
    <w:abstractNumId w:val="4"/>
  </w:num>
  <w:num w:numId="2" w16cid:durableId="1764258341">
    <w:abstractNumId w:val="1"/>
  </w:num>
  <w:num w:numId="3" w16cid:durableId="1472745086">
    <w:abstractNumId w:val="3"/>
  </w:num>
  <w:num w:numId="4" w16cid:durableId="2133939846">
    <w:abstractNumId w:val="5"/>
  </w:num>
  <w:num w:numId="5" w16cid:durableId="51122788">
    <w:abstractNumId w:val="0"/>
  </w:num>
  <w:num w:numId="6" w16cid:durableId="5373981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CAC"/>
    <w:rsid w:val="000046A5"/>
    <w:rsid w:val="00012117"/>
    <w:rsid w:val="000147A9"/>
    <w:rsid w:val="00042755"/>
    <w:rsid w:val="0006107D"/>
    <w:rsid w:val="000623A3"/>
    <w:rsid w:val="00066D1D"/>
    <w:rsid w:val="000719DA"/>
    <w:rsid w:val="00094D65"/>
    <w:rsid w:val="000A2074"/>
    <w:rsid w:val="000A3F4D"/>
    <w:rsid w:val="000A64DA"/>
    <w:rsid w:val="000C4ABC"/>
    <w:rsid w:val="000C58D7"/>
    <w:rsid w:val="000E15ED"/>
    <w:rsid w:val="000F3F73"/>
    <w:rsid w:val="000F5868"/>
    <w:rsid w:val="00101CCF"/>
    <w:rsid w:val="00121A80"/>
    <w:rsid w:val="001372F7"/>
    <w:rsid w:val="00175AB8"/>
    <w:rsid w:val="0019260C"/>
    <w:rsid w:val="001A41D2"/>
    <w:rsid w:val="001B0E31"/>
    <w:rsid w:val="001D360C"/>
    <w:rsid w:val="001E2584"/>
    <w:rsid w:val="001E6046"/>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2BF1"/>
    <w:rsid w:val="002D715D"/>
    <w:rsid w:val="002E3864"/>
    <w:rsid w:val="002E46F2"/>
    <w:rsid w:val="002F06DE"/>
    <w:rsid w:val="002F1DB1"/>
    <w:rsid w:val="002F20B2"/>
    <w:rsid w:val="002F53C9"/>
    <w:rsid w:val="003048A0"/>
    <w:rsid w:val="0031138E"/>
    <w:rsid w:val="0031474F"/>
    <w:rsid w:val="00315815"/>
    <w:rsid w:val="0032656E"/>
    <w:rsid w:val="003278F5"/>
    <w:rsid w:val="00330665"/>
    <w:rsid w:val="00341960"/>
    <w:rsid w:val="00342A18"/>
    <w:rsid w:val="003435C9"/>
    <w:rsid w:val="00354C0D"/>
    <w:rsid w:val="00357561"/>
    <w:rsid w:val="00361344"/>
    <w:rsid w:val="0036177C"/>
    <w:rsid w:val="00361975"/>
    <w:rsid w:val="00376E23"/>
    <w:rsid w:val="0039416B"/>
    <w:rsid w:val="003A1271"/>
    <w:rsid w:val="003A5DF7"/>
    <w:rsid w:val="003B3510"/>
    <w:rsid w:val="003C116C"/>
    <w:rsid w:val="003D0CDD"/>
    <w:rsid w:val="003D710F"/>
    <w:rsid w:val="003E1CAA"/>
    <w:rsid w:val="003F66C5"/>
    <w:rsid w:val="0040210F"/>
    <w:rsid w:val="00412F9B"/>
    <w:rsid w:val="004222FD"/>
    <w:rsid w:val="004319FA"/>
    <w:rsid w:val="00442F56"/>
    <w:rsid w:val="0044616D"/>
    <w:rsid w:val="00474DD1"/>
    <w:rsid w:val="004751B5"/>
    <w:rsid w:val="0048097D"/>
    <w:rsid w:val="004816F7"/>
    <w:rsid w:val="0048175B"/>
    <w:rsid w:val="004829F2"/>
    <w:rsid w:val="004845CE"/>
    <w:rsid w:val="0049450A"/>
    <w:rsid w:val="004A553E"/>
    <w:rsid w:val="004B0B8B"/>
    <w:rsid w:val="004B1048"/>
    <w:rsid w:val="004D01FE"/>
    <w:rsid w:val="004D582C"/>
    <w:rsid w:val="004D5B1A"/>
    <w:rsid w:val="004E1930"/>
    <w:rsid w:val="004E458E"/>
    <w:rsid w:val="004F0E12"/>
    <w:rsid w:val="004F43CC"/>
    <w:rsid w:val="004F5A36"/>
    <w:rsid w:val="004F67E4"/>
    <w:rsid w:val="00505437"/>
    <w:rsid w:val="005120A1"/>
    <w:rsid w:val="00542B57"/>
    <w:rsid w:val="00545764"/>
    <w:rsid w:val="005525C9"/>
    <w:rsid w:val="00557B52"/>
    <w:rsid w:val="005743EA"/>
    <w:rsid w:val="005770A9"/>
    <w:rsid w:val="0058416B"/>
    <w:rsid w:val="00591130"/>
    <w:rsid w:val="00595357"/>
    <w:rsid w:val="005A1930"/>
    <w:rsid w:val="005A3C9C"/>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415E8"/>
    <w:rsid w:val="006425BE"/>
    <w:rsid w:val="00650543"/>
    <w:rsid w:val="00654D8B"/>
    <w:rsid w:val="00661136"/>
    <w:rsid w:val="00672197"/>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76CAC"/>
    <w:rsid w:val="00782575"/>
    <w:rsid w:val="0078776B"/>
    <w:rsid w:val="00796A93"/>
    <w:rsid w:val="007975B6"/>
    <w:rsid w:val="007B48C2"/>
    <w:rsid w:val="007C231D"/>
    <w:rsid w:val="007D07AB"/>
    <w:rsid w:val="007D68F0"/>
    <w:rsid w:val="007E1559"/>
    <w:rsid w:val="007E2E80"/>
    <w:rsid w:val="007E4AE6"/>
    <w:rsid w:val="007F776E"/>
    <w:rsid w:val="00816563"/>
    <w:rsid w:val="00830C88"/>
    <w:rsid w:val="00845A72"/>
    <w:rsid w:val="00845AB5"/>
    <w:rsid w:val="00850813"/>
    <w:rsid w:val="00861B11"/>
    <w:rsid w:val="008829C2"/>
    <w:rsid w:val="008A54BE"/>
    <w:rsid w:val="008B2AB5"/>
    <w:rsid w:val="008C7B0A"/>
    <w:rsid w:val="008D0642"/>
    <w:rsid w:val="008E43C2"/>
    <w:rsid w:val="008E745B"/>
    <w:rsid w:val="008F4EA7"/>
    <w:rsid w:val="008F5A10"/>
    <w:rsid w:val="00905ED0"/>
    <w:rsid w:val="0092269A"/>
    <w:rsid w:val="00931EAF"/>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114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0348"/>
    <w:rsid w:val="00B914E6"/>
    <w:rsid w:val="00B95747"/>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15E8"/>
    <w:rsid w:val="00D73E2C"/>
    <w:rsid w:val="00D76D14"/>
    <w:rsid w:val="00D9345A"/>
    <w:rsid w:val="00DA31CB"/>
    <w:rsid w:val="00DA3D31"/>
    <w:rsid w:val="00DA4488"/>
    <w:rsid w:val="00DB2E35"/>
    <w:rsid w:val="00DC0040"/>
    <w:rsid w:val="00DC0B7B"/>
    <w:rsid w:val="00DC228E"/>
    <w:rsid w:val="00DC495B"/>
    <w:rsid w:val="00DC7181"/>
    <w:rsid w:val="00DD5D40"/>
    <w:rsid w:val="00DD6F5C"/>
    <w:rsid w:val="00DD7881"/>
    <w:rsid w:val="00DE6C87"/>
    <w:rsid w:val="00E06E11"/>
    <w:rsid w:val="00E14A1A"/>
    <w:rsid w:val="00E14E1F"/>
    <w:rsid w:val="00E2730E"/>
    <w:rsid w:val="00E4366A"/>
    <w:rsid w:val="00E438AC"/>
    <w:rsid w:val="00E51987"/>
    <w:rsid w:val="00E53FD2"/>
    <w:rsid w:val="00E5689E"/>
    <w:rsid w:val="00E60DF5"/>
    <w:rsid w:val="00E64DD3"/>
    <w:rsid w:val="00E80D33"/>
    <w:rsid w:val="00E90432"/>
    <w:rsid w:val="00E9484C"/>
    <w:rsid w:val="00E95D8D"/>
    <w:rsid w:val="00EA6ED5"/>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1EB6"/>
    <w:rsid w:val="00F858D4"/>
    <w:rsid w:val="00FA0450"/>
    <w:rsid w:val="00FA4E8A"/>
    <w:rsid w:val="00FB2653"/>
    <w:rsid w:val="00FB5C49"/>
    <w:rsid w:val="00FC3A97"/>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EF0B0"/>
  <w15:chartTrackingRefBased/>
  <w15:docId w15:val="{5936FC09-54E9-B542-9BDB-A4C4D8056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776C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6C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6CA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6CA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76CA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76CA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6CA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6CA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6CA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CAC"/>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776CAC"/>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776CAC"/>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776CAC"/>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776CAC"/>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776CAC"/>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776CAC"/>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776CAC"/>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776CAC"/>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776C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CAC"/>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776CA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CAC"/>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776CA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76CAC"/>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776CAC"/>
    <w:pPr>
      <w:ind w:left="720"/>
      <w:contextualSpacing/>
    </w:pPr>
  </w:style>
  <w:style w:type="character" w:styleId="IntenseEmphasis">
    <w:name w:val="Intense Emphasis"/>
    <w:basedOn w:val="DefaultParagraphFont"/>
    <w:uiPriority w:val="21"/>
    <w:qFormat/>
    <w:rsid w:val="00776CAC"/>
    <w:rPr>
      <w:i/>
      <w:iCs/>
      <w:color w:val="2F5496" w:themeColor="accent1" w:themeShade="BF"/>
    </w:rPr>
  </w:style>
  <w:style w:type="paragraph" w:styleId="IntenseQuote">
    <w:name w:val="Intense Quote"/>
    <w:basedOn w:val="Normal"/>
    <w:next w:val="Normal"/>
    <w:link w:val="IntenseQuoteChar"/>
    <w:uiPriority w:val="30"/>
    <w:qFormat/>
    <w:rsid w:val="00776C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CAC"/>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776CAC"/>
    <w:rPr>
      <w:b/>
      <w:bCs/>
      <w:smallCaps/>
      <w:color w:val="2F5496" w:themeColor="accent1" w:themeShade="BF"/>
      <w:spacing w:val="5"/>
    </w:rPr>
  </w:style>
  <w:style w:type="paragraph" w:customStyle="1" w:styleId="break-words">
    <w:name w:val="break-words"/>
    <w:basedOn w:val="Normal"/>
    <w:rsid w:val="001E6046"/>
    <w:pPr>
      <w:spacing w:before="100" w:beforeAutospacing="1" w:after="100" w:afterAutospacing="1"/>
    </w:pPr>
    <w:rPr>
      <w:rFonts w:ascii="Times New Roman" w:hAnsi="Times New Roman"/>
      <w:lang w:val="en-HK"/>
    </w:rPr>
  </w:style>
  <w:style w:type="character" w:styleId="Emphasis">
    <w:name w:val="Emphasis"/>
    <w:basedOn w:val="DefaultParagraphFont"/>
    <w:uiPriority w:val="20"/>
    <w:qFormat/>
    <w:rsid w:val="001E6046"/>
    <w:rPr>
      <w:i/>
      <w:iCs/>
    </w:rPr>
  </w:style>
  <w:style w:type="character" w:styleId="Strong">
    <w:name w:val="Strong"/>
    <w:basedOn w:val="DefaultParagraphFont"/>
    <w:uiPriority w:val="22"/>
    <w:qFormat/>
    <w:rsid w:val="001E604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249407">
      <w:bodyDiv w:val="1"/>
      <w:marLeft w:val="0"/>
      <w:marRight w:val="0"/>
      <w:marTop w:val="0"/>
      <w:marBottom w:val="0"/>
      <w:divBdr>
        <w:top w:val="none" w:sz="0" w:space="0" w:color="auto"/>
        <w:left w:val="none" w:sz="0" w:space="0" w:color="auto"/>
        <w:bottom w:val="none" w:sz="0" w:space="0" w:color="auto"/>
        <w:right w:val="none" w:sz="0" w:space="0" w:color="auto"/>
      </w:divBdr>
      <w:divsChild>
        <w:div w:id="1124736956">
          <w:marLeft w:val="0"/>
          <w:marRight w:val="0"/>
          <w:marTop w:val="0"/>
          <w:marBottom w:val="0"/>
          <w:divBdr>
            <w:top w:val="none" w:sz="0" w:space="0" w:color="auto"/>
            <w:left w:val="none" w:sz="0" w:space="0" w:color="auto"/>
            <w:bottom w:val="none" w:sz="0" w:space="0" w:color="auto"/>
            <w:right w:val="none" w:sz="0" w:space="0" w:color="auto"/>
          </w:divBdr>
        </w:div>
      </w:divsChild>
    </w:div>
    <w:div w:id="293021651">
      <w:bodyDiv w:val="1"/>
      <w:marLeft w:val="0"/>
      <w:marRight w:val="0"/>
      <w:marTop w:val="0"/>
      <w:marBottom w:val="0"/>
      <w:divBdr>
        <w:top w:val="none" w:sz="0" w:space="0" w:color="auto"/>
        <w:left w:val="none" w:sz="0" w:space="0" w:color="auto"/>
        <w:bottom w:val="none" w:sz="0" w:space="0" w:color="auto"/>
        <w:right w:val="none" w:sz="0" w:space="0" w:color="auto"/>
      </w:divBdr>
      <w:divsChild>
        <w:div w:id="377358160">
          <w:marLeft w:val="0"/>
          <w:marRight w:val="0"/>
          <w:marTop w:val="0"/>
          <w:marBottom w:val="0"/>
          <w:divBdr>
            <w:top w:val="none" w:sz="0" w:space="0" w:color="auto"/>
            <w:left w:val="none" w:sz="0" w:space="0" w:color="auto"/>
            <w:bottom w:val="none" w:sz="0" w:space="0" w:color="auto"/>
            <w:right w:val="none" w:sz="0" w:space="0" w:color="auto"/>
          </w:divBdr>
        </w:div>
      </w:divsChild>
    </w:div>
    <w:div w:id="1654136453">
      <w:bodyDiv w:val="1"/>
      <w:marLeft w:val="0"/>
      <w:marRight w:val="0"/>
      <w:marTop w:val="0"/>
      <w:marBottom w:val="0"/>
      <w:divBdr>
        <w:top w:val="none" w:sz="0" w:space="0" w:color="auto"/>
        <w:left w:val="none" w:sz="0" w:space="0" w:color="auto"/>
        <w:bottom w:val="none" w:sz="0" w:space="0" w:color="auto"/>
        <w:right w:val="none" w:sz="0" w:space="0" w:color="auto"/>
      </w:divBdr>
      <w:divsChild>
        <w:div w:id="8210003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4415</Words>
  <Characters>25169</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2025-03-09T21:15:00Z</dcterms:created>
  <dcterms:modified xsi:type="dcterms:W3CDTF">2025-03-10T11:19:00Z</dcterms:modified>
</cp:coreProperties>
</file>