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5F0DA" w14:textId="23D3B6E6" w:rsidR="00F918C3" w:rsidRPr="00F918C3" w:rsidRDefault="00F918C3" w:rsidP="00F763AA">
      <w:pPr>
        <w:spacing w:after="240" w:line="360" w:lineRule="auto"/>
        <w:outlineLvl w:val="2"/>
        <w:rPr>
          <w:rFonts w:ascii="Times New Roman" w:hAnsi="Times New Roman"/>
          <w:b/>
          <w:bCs/>
          <w:lang w:val="en-HK"/>
        </w:rPr>
      </w:pPr>
      <w:r w:rsidRPr="00F918C3">
        <w:rPr>
          <w:rFonts w:ascii="Times New Roman" w:hAnsi="Times New Roman"/>
          <w:b/>
          <w:bCs/>
          <w:lang w:val="en-HK"/>
        </w:rPr>
        <w:t xml:space="preserve">1. Abstract </w:t>
      </w:r>
    </w:p>
    <w:p w14:paraId="02B5B38A"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lang w:val="en-HK"/>
        </w:rPr>
        <w:t xml:space="preserve">This section introduces the unexpected revival of the </w:t>
      </w:r>
      <w:r w:rsidRPr="00F918C3">
        <w:rPr>
          <w:rFonts w:ascii="Times New Roman" w:hAnsi="Times New Roman"/>
          <w:i/>
          <w:iCs/>
          <w:lang w:val="en-HK"/>
        </w:rPr>
        <w:t>Re Benjamin</w:t>
      </w:r>
      <w:r w:rsidRPr="00F918C3">
        <w:rPr>
          <w:rFonts w:ascii="Times New Roman" w:hAnsi="Times New Roman"/>
          <w:lang w:val="en-HK"/>
        </w:rPr>
        <w:t xml:space="preserve"> jurisdiction in the administration of insolvent financial institutions following the Lehman Brothers collapse. It questions whether this development rests on sound legal principles and adequately safeguards beneficiaries’ interests, setting the stage for the article’s critical examination.</w:t>
      </w:r>
    </w:p>
    <w:p w14:paraId="0FB56E88"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Core Thesis</w:t>
      </w:r>
      <w:r w:rsidRPr="00F918C3">
        <w:rPr>
          <w:rFonts w:ascii="Times New Roman" w:hAnsi="Times New Roman"/>
          <w:lang w:val="en-HK"/>
        </w:rPr>
        <w:t xml:space="preserve">: </w:t>
      </w:r>
    </w:p>
    <w:p w14:paraId="3E5E1021" w14:textId="77777777" w:rsidR="00F918C3" w:rsidRPr="00F763AA" w:rsidRDefault="00F918C3" w:rsidP="00F763AA">
      <w:pPr>
        <w:pStyle w:val="ListParagraph"/>
        <w:numPr>
          <w:ilvl w:val="0"/>
          <w:numId w:val="3"/>
        </w:numPr>
        <w:spacing w:after="240" w:line="360" w:lineRule="auto"/>
        <w:rPr>
          <w:rFonts w:ascii="Times New Roman" w:hAnsi="Times New Roman"/>
          <w:lang w:val="en-HK"/>
        </w:rPr>
      </w:pPr>
      <w:r w:rsidRPr="00F763AA">
        <w:rPr>
          <w:rFonts w:ascii="Times New Roman" w:hAnsi="Times New Roman"/>
          <w:lang w:val="en-HK"/>
        </w:rPr>
        <w:t xml:space="preserve">The </w:t>
      </w:r>
      <w:r w:rsidRPr="00F763AA">
        <w:rPr>
          <w:rFonts w:ascii="Times New Roman" w:hAnsi="Times New Roman"/>
          <w:i/>
          <w:iCs/>
          <w:lang w:val="en-HK"/>
        </w:rPr>
        <w:t>Re Benjamin</w:t>
      </w:r>
      <w:r w:rsidRPr="00F763AA">
        <w:rPr>
          <w:rFonts w:ascii="Times New Roman" w:hAnsi="Times New Roman"/>
          <w:lang w:val="en-HK"/>
        </w:rPr>
        <w:t xml:space="preserve"> jurisdiction, traditionally a practical tool for trustees facing evidentiary impossibilities, has been repurposed in modern insolvency contexts. Briggs queries whether this expansion aligns with trust law’s foundational principles or compromises beneficiaries’ rights for administrative convenience (Briggs, </w:t>
      </w:r>
      <w:r w:rsidRPr="00F763AA">
        <w:rPr>
          <w:rFonts w:ascii="Times New Roman" w:hAnsi="Times New Roman"/>
          <w:i/>
          <w:iCs/>
          <w:lang w:val="en-HK"/>
        </w:rPr>
        <w:t>Scope creep</w:t>
      </w:r>
      <w:r w:rsidRPr="00F763AA">
        <w:rPr>
          <w:rFonts w:ascii="Times New Roman" w:hAnsi="Times New Roman"/>
          <w:lang w:val="en-HK"/>
        </w:rPr>
        <w:t>, 2019).</w:t>
      </w:r>
    </w:p>
    <w:p w14:paraId="399D9FB9" w14:textId="77777777" w:rsidR="00F918C3" w:rsidRPr="00F763AA" w:rsidRDefault="00F918C3" w:rsidP="00F763AA">
      <w:pPr>
        <w:pStyle w:val="ListParagraph"/>
        <w:numPr>
          <w:ilvl w:val="0"/>
          <w:numId w:val="3"/>
        </w:numPr>
        <w:spacing w:after="240" w:line="360" w:lineRule="auto"/>
        <w:rPr>
          <w:rFonts w:ascii="Times New Roman" w:hAnsi="Times New Roman"/>
          <w:lang w:val="en-HK"/>
        </w:rPr>
      </w:pPr>
      <w:r w:rsidRPr="00F763AA">
        <w:rPr>
          <w:rFonts w:ascii="Times New Roman" w:hAnsi="Times New Roman"/>
          <w:lang w:val="en-HK"/>
        </w:rPr>
        <w:t xml:space="preserve">The Lehman Brothers collapse (2008) and subsequent financial failures </w:t>
      </w:r>
      <w:proofErr w:type="spellStart"/>
      <w:r w:rsidRPr="00F763AA">
        <w:rPr>
          <w:rFonts w:ascii="Times New Roman" w:hAnsi="Times New Roman"/>
          <w:lang w:val="en-HK"/>
        </w:rPr>
        <w:t>catalyzed</w:t>
      </w:r>
      <w:proofErr w:type="spellEnd"/>
      <w:r w:rsidRPr="00F763AA">
        <w:rPr>
          <w:rFonts w:ascii="Times New Roman" w:hAnsi="Times New Roman"/>
          <w:lang w:val="en-HK"/>
        </w:rPr>
        <w:t xml:space="preserve"> this shift, applying </w:t>
      </w:r>
      <w:r w:rsidRPr="00F763AA">
        <w:rPr>
          <w:rFonts w:ascii="Times New Roman" w:hAnsi="Times New Roman"/>
          <w:i/>
          <w:iCs/>
          <w:lang w:val="en-HK"/>
        </w:rPr>
        <w:t>Benjamin</w:t>
      </w:r>
      <w:r w:rsidRPr="00F763AA">
        <w:rPr>
          <w:rFonts w:ascii="Times New Roman" w:hAnsi="Times New Roman"/>
          <w:lang w:val="en-HK"/>
        </w:rPr>
        <w:t xml:space="preserve">-style orders to complex client money trusts under regulatory frameworks like the </w:t>
      </w:r>
      <w:r w:rsidRPr="00F763AA">
        <w:rPr>
          <w:rFonts w:ascii="Times New Roman" w:hAnsi="Times New Roman"/>
          <w:i/>
          <w:iCs/>
          <w:lang w:val="en-HK"/>
        </w:rPr>
        <w:t>Client Assets Sourcebook (CASS)</w:t>
      </w:r>
      <w:r w:rsidRPr="00F763AA">
        <w:rPr>
          <w:rFonts w:ascii="Times New Roman" w:hAnsi="Times New Roman"/>
          <w:lang w:val="en-HK"/>
        </w:rPr>
        <w:t>.</w:t>
      </w:r>
    </w:p>
    <w:p w14:paraId="6F055EF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Case Law: Re Benjamin [1902] 1 Ch 723</w:t>
      </w:r>
      <w:r w:rsidRPr="00F918C3">
        <w:rPr>
          <w:rFonts w:ascii="Times New Roman" w:hAnsi="Times New Roman"/>
          <w:lang w:val="en-HK"/>
        </w:rPr>
        <w:t xml:space="preserve"> </w:t>
      </w:r>
    </w:p>
    <w:p w14:paraId="3C18ECA4"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Facts</w:t>
      </w:r>
      <w:r w:rsidRPr="00F918C3">
        <w:rPr>
          <w:rFonts w:ascii="Times New Roman" w:hAnsi="Times New Roman"/>
          <w:lang w:val="en-HK"/>
        </w:rPr>
        <w:t xml:space="preserve">: Executors of David Benjamin’s estate faced uncertainty about whether certain beneficiaries (potential legatees) were alive or traceable. The will directed distribution among a class, but exhaustive searches were impractical due to cost and lack of evidence. The executors sought court authorization to distribute the estate assuming these beneficiaries were deceased or </w:t>
      </w:r>
      <w:proofErr w:type="spellStart"/>
      <w:r w:rsidRPr="00F918C3">
        <w:rPr>
          <w:rFonts w:ascii="Times New Roman" w:hAnsi="Times New Roman"/>
          <w:lang w:val="en-HK"/>
        </w:rPr>
        <w:t>nonexistent</w:t>
      </w:r>
      <w:proofErr w:type="spellEnd"/>
      <w:r w:rsidRPr="00F918C3">
        <w:rPr>
          <w:rFonts w:ascii="Times New Roman" w:hAnsi="Times New Roman"/>
          <w:lang w:val="en-HK"/>
        </w:rPr>
        <w:t>.</w:t>
      </w:r>
    </w:p>
    <w:p w14:paraId="233B315D"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Held</w:t>
      </w:r>
      <w:r w:rsidRPr="00F918C3">
        <w:rPr>
          <w:rFonts w:ascii="Times New Roman" w:hAnsi="Times New Roman"/>
          <w:lang w:val="en-HK"/>
        </w:rPr>
        <w:t>: Farwell J granted the order, allowing distribution on the assumed facts without definitively resolving them.</w:t>
      </w:r>
    </w:p>
    <w:p w14:paraId="30E171D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Reasoning</w:t>
      </w:r>
      <w:r w:rsidRPr="00F918C3">
        <w:rPr>
          <w:rFonts w:ascii="Times New Roman" w:hAnsi="Times New Roman"/>
          <w:lang w:val="en-HK"/>
        </w:rPr>
        <w:t xml:space="preserve">: The court recognized the “practical impossibility of proof” as the basis for intervention. Full investigation would deplete the estate disproportionately, justifying a protective order for trustees. The ruling did not determine facts or bind parties; it merely shielded trustees from breach of trust claims if assumptions </w:t>
      </w:r>
      <w:proofErr w:type="spellStart"/>
      <w:r w:rsidRPr="00F918C3">
        <w:rPr>
          <w:rFonts w:ascii="Times New Roman" w:hAnsi="Times New Roman"/>
          <w:lang w:val="en-HK"/>
        </w:rPr>
        <w:t>proved</w:t>
      </w:r>
      <w:proofErr w:type="spellEnd"/>
      <w:r w:rsidRPr="00F918C3">
        <w:rPr>
          <w:rFonts w:ascii="Times New Roman" w:hAnsi="Times New Roman"/>
          <w:lang w:val="en-HK"/>
        </w:rPr>
        <w:t xml:space="preserve"> incorrect. This established the </w:t>
      </w:r>
      <w:r w:rsidRPr="00F918C3">
        <w:rPr>
          <w:rFonts w:ascii="Times New Roman" w:hAnsi="Times New Roman"/>
          <w:i/>
          <w:iCs/>
          <w:lang w:val="en-HK"/>
        </w:rPr>
        <w:t>Benjamin</w:t>
      </w:r>
      <w:r w:rsidRPr="00F918C3">
        <w:rPr>
          <w:rFonts w:ascii="Times New Roman" w:hAnsi="Times New Roman"/>
          <w:lang w:val="en-HK"/>
        </w:rPr>
        <w:t xml:space="preserve"> jurisdiction for situations where evidence is unattainable due to expense or logistical barriers.</w:t>
      </w:r>
    </w:p>
    <w:p w14:paraId="53D8E94C"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lastRenderedPageBreak/>
        <w:t>Context</w:t>
      </w:r>
      <w:r w:rsidRPr="00F918C3">
        <w:rPr>
          <w:rFonts w:ascii="Times New Roman" w:hAnsi="Times New Roman"/>
          <w:lang w:val="en-HK"/>
        </w:rPr>
        <w:t>: Examples cited include presuming a person predeceased the testator, is beyond child-bearing age, or that no further class members exist—scenarios rooted in administrative necessity rather than substantive dispute.</w:t>
      </w:r>
    </w:p>
    <w:p w14:paraId="437AD82F"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Statute: Administration of Justice Act 1985, s 48</w:t>
      </w:r>
      <w:r w:rsidRPr="00F918C3">
        <w:rPr>
          <w:rFonts w:ascii="Times New Roman" w:hAnsi="Times New Roman"/>
          <w:lang w:val="en-HK"/>
        </w:rPr>
        <w:t xml:space="preserve"> </w:t>
      </w:r>
    </w:p>
    <w:p w14:paraId="5AC4592A"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Provision</w:t>
      </w:r>
      <w:r w:rsidRPr="00F918C3">
        <w:rPr>
          <w:rFonts w:ascii="Times New Roman" w:hAnsi="Times New Roman"/>
          <w:lang w:val="en-HK"/>
        </w:rPr>
        <w:t>: Permits the court to authorize trustees to act on counsel’s opinion regarding trust administration, provided it is satisfied the opinion is reasonable and protects trustees from liability.</w:t>
      </w:r>
    </w:p>
    <w:p w14:paraId="399D952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Purpose</w:t>
      </w:r>
      <w:r w:rsidRPr="00F918C3">
        <w:rPr>
          <w:rFonts w:ascii="Times New Roman" w:hAnsi="Times New Roman"/>
          <w:lang w:val="en-HK"/>
        </w:rPr>
        <w:t xml:space="preserve">: Like </w:t>
      </w:r>
      <w:r w:rsidRPr="00F918C3">
        <w:rPr>
          <w:rFonts w:ascii="Times New Roman" w:hAnsi="Times New Roman"/>
          <w:i/>
          <w:iCs/>
          <w:lang w:val="en-HK"/>
        </w:rPr>
        <w:t>Re Benjamin</w:t>
      </w:r>
      <w:r w:rsidRPr="00F918C3">
        <w:rPr>
          <w:rFonts w:ascii="Times New Roman" w:hAnsi="Times New Roman"/>
          <w:lang w:val="en-HK"/>
        </w:rPr>
        <w:t>, it offers a procedural safeguard without adjudicating underlying facts, applicable when trustees face uncertainty (e.g., beneficiary status) and seek legal cover for distributions.</w:t>
      </w:r>
    </w:p>
    <w:p w14:paraId="6D6F9411"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Comparison</w:t>
      </w:r>
      <w:r w:rsidRPr="00F918C3">
        <w:rPr>
          <w:rFonts w:ascii="Times New Roman" w:hAnsi="Times New Roman"/>
          <w:lang w:val="en-HK"/>
        </w:rPr>
        <w:t xml:space="preserve">: Briggs notes its similarity to </w:t>
      </w:r>
      <w:r w:rsidRPr="00F918C3">
        <w:rPr>
          <w:rFonts w:ascii="Times New Roman" w:hAnsi="Times New Roman"/>
          <w:i/>
          <w:iCs/>
          <w:lang w:val="en-HK"/>
        </w:rPr>
        <w:t>Benjamin</w:t>
      </w:r>
      <w:r w:rsidRPr="00F918C3">
        <w:rPr>
          <w:rFonts w:ascii="Times New Roman" w:hAnsi="Times New Roman"/>
          <w:lang w:val="en-HK"/>
        </w:rPr>
        <w:t xml:space="preserve"> orders, both being non-determinative and focused on trustee protection, though s 48 relies on formal legal advice rather than judicial assumptions (Briggs, </w:t>
      </w:r>
      <w:r w:rsidRPr="00F918C3">
        <w:rPr>
          <w:rFonts w:ascii="Times New Roman" w:hAnsi="Times New Roman"/>
          <w:i/>
          <w:iCs/>
          <w:lang w:val="en-HK"/>
        </w:rPr>
        <w:t>Scope creep</w:t>
      </w:r>
      <w:r w:rsidRPr="00F918C3">
        <w:rPr>
          <w:rFonts w:ascii="Times New Roman" w:hAnsi="Times New Roman"/>
          <w:lang w:val="en-HK"/>
        </w:rPr>
        <w:t>, 2019).</w:t>
      </w:r>
    </w:p>
    <w:p w14:paraId="6C903208"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Traditional Principles</w:t>
      </w:r>
      <w:r w:rsidRPr="00F918C3">
        <w:rPr>
          <w:rFonts w:ascii="Times New Roman" w:hAnsi="Times New Roman"/>
          <w:lang w:val="en-HK"/>
        </w:rPr>
        <w:t xml:space="preserve">: </w:t>
      </w:r>
    </w:p>
    <w:p w14:paraId="72DC3F49"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Practicality</w:t>
      </w:r>
      <w:r w:rsidRPr="00F918C3">
        <w:rPr>
          <w:rFonts w:ascii="Times New Roman" w:hAnsi="Times New Roman"/>
          <w:lang w:val="en-HK"/>
        </w:rPr>
        <w:t>: The jurisdiction addresses situations where proving facts (e.g., a beneficiary’s survival) is infeasible due to cost, time, or evidentiary gaps, not disputes over entitlement.</w:t>
      </w:r>
    </w:p>
    <w:p w14:paraId="0674C065"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Protection, Not Determination</w:t>
      </w:r>
      <w:r w:rsidRPr="00F918C3">
        <w:rPr>
          <w:rFonts w:ascii="Times New Roman" w:hAnsi="Times New Roman"/>
          <w:lang w:val="en-HK"/>
        </w:rPr>
        <w:t>: Orders shield trustees but preserve beneficiaries’ rights to reclaim assets if assumptions fail, distinguishing it from final judgments.</w:t>
      </w:r>
    </w:p>
    <w:p w14:paraId="48059352"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Scope Limitation</w:t>
      </w:r>
      <w:r w:rsidRPr="00F918C3">
        <w:rPr>
          <w:rFonts w:ascii="Times New Roman" w:hAnsi="Times New Roman"/>
          <w:lang w:val="en-HK"/>
        </w:rPr>
        <w:t>: Historically, it avoids contested issues, focusing on logistical hurdles.</w:t>
      </w:r>
    </w:p>
    <w:p w14:paraId="18F1863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Modern Revival</w:t>
      </w:r>
      <w:r w:rsidRPr="00F918C3">
        <w:rPr>
          <w:rFonts w:ascii="Times New Roman" w:hAnsi="Times New Roman"/>
          <w:lang w:val="en-HK"/>
        </w:rPr>
        <w:t xml:space="preserve">: </w:t>
      </w:r>
    </w:p>
    <w:p w14:paraId="04B67BCB"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Context</w:t>
      </w:r>
      <w:r w:rsidRPr="00F918C3">
        <w:rPr>
          <w:rFonts w:ascii="Times New Roman" w:hAnsi="Times New Roman"/>
          <w:lang w:val="en-HK"/>
        </w:rPr>
        <w:t xml:space="preserve">: Post-2008 financial crises, particularly Lehman Brothers, saw client money held under </w:t>
      </w:r>
      <w:r w:rsidRPr="00F918C3">
        <w:rPr>
          <w:rFonts w:ascii="Times New Roman" w:hAnsi="Times New Roman"/>
          <w:i/>
          <w:iCs/>
          <w:lang w:val="en-HK"/>
        </w:rPr>
        <w:t>CASS</w:t>
      </w:r>
      <w:r w:rsidRPr="00F918C3">
        <w:rPr>
          <w:rFonts w:ascii="Times New Roman" w:hAnsi="Times New Roman"/>
          <w:lang w:val="en-HK"/>
        </w:rPr>
        <w:t xml:space="preserve"> rules (trust-based) entangled in massive insolvency proceedings. Traditional </w:t>
      </w:r>
      <w:r w:rsidRPr="00F918C3">
        <w:rPr>
          <w:rFonts w:ascii="Times New Roman" w:hAnsi="Times New Roman"/>
          <w:i/>
          <w:iCs/>
          <w:lang w:val="en-HK"/>
        </w:rPr>
        <w:t>Benjamin</w:t>
      </w:r>
      <w:r w:rsidRPr="00F918C3">
        <w:rPr>
          <w:rFonts w:ascii="Times New Roman" w:hAnsi="Times New Roman"/>
          <w:lang w:val="en-HK"/>
        </w:rPr>
        <w:t xml:space="preserve"> applications waned with improved tracing technology, but insolvency’s scale and complexity revived it.</w:t>
      </w:r>
    </w:p>
    <w:p w14:paraId="67B7DABC"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Shift</w:t>
      </w:r>
      <w:r w:rsidRPr="00F918C3">
        <w:rPr>
          <w:rFonts w:ascii="Times New Roman" w:hAnsi="Times New Roman"/>
          <w:lang w:val="en-HK"/>
        </w:rPr>
        <w:t xml:space="preserve">: Courts now apply </w:t>
      </w:r>
      <w:r w:rsidRPr="00F918C3">
        <w:rPr>
          <w:rFonts w:ascii="Times New Roman" w:hAnsi="Times New Roman"/>
          <w:i/>
          <w:iCs/>
          <w:lang w:val="en-HK"/>
        </w:rPr>
        <w:t>Benjamin</w:t>
      </w:r>
      <w:r w:rsidRPr="00F918C3">
        <w:rPr>
          <w:rFonts w:ascii="Times New Roman" w:hAnsi="Times New Roman"/>
          <w:lang w:val="en-HK"/>
        </w:rPr>
        <w:t xml:space="preserve">-style relief to authorize distributions despite known but unresolved claims, a departure Briggs critiques as potentially unprincipled (Briggs, </w:t>
      </w:r>
      <w:r w:rsidRPr="00F918C3">
        <w:rPr>
          <w:rFonts w:ascii="Times New Roman" w:hAnsi="Times New Roman"/>
          <w:i/>
          <w:iCs/>
          <w:lang w:val="en-HK"/>
        </w:rPr>
        <w:t>Scope creep</w:t>
      </w:r>
      <w:r w:rsidRPr="00F918C3">
        <w:rPr>
          <w:rFonts w:ascii="Times New Roman" w:hAnsi="Times New Roman"/>
          <w:lang w:val="en-HK"/>
        </w:rPr>
        <w:t>, 2019).</w:t>
      </w:r>
    </w:p>
    <w:p w14:paraId="134F3CC9"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lastRenderedPageBreak/>
        <w:t>Scholar’s Opinion</w:t>
      </w:r>
      <w:r w:rsidRPr="00F918C3">
        <w:rPr>
          <w:rFonts w:ascii="Times New Roman" w:hAnsi="Times New Roman"/>
          <w:lang w:val="en-HK"/>
        </w:rPr>
        <w:t xml:space="preserve">: </w:t>
      </w:r>
    </w:p>
    <w:p w14:paraId="61DBA05E"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lang w:val="en-HK"/>
        </w:rPr>
        <w:t xml:space="preserve">Briggs questions whether this “new and unexpected lease of life” adheres to </w:t>
      </w:r>
      <w:r w:rsidRPr="00F918C3">
        <w:rPr>
          <w:rFonts w:ascii="Times New Roman" w:hAnsi="Times New Roman"/>
          <w:i/>
          <w:iCs/>
          <w:lang w:val="en-HK"/>
        </w:rPr>
        <w:t>Re Benjamin</w:t>
      </w:r>
      <w:r w:rsidRPr="00F918C3">
        <w:rPr>
          <w:rFonts w:ascii="Times New Roman" w:hAnsi="Times New Roman"/>
          <w:lang w:val="en-HK"/>
        </w:rPr>
        <w:t xml:space="preserve">’s original intent or sacrifices beneficiary protections for cost-efficiency. He frames the article’s inquiry: does judicial practice sufficiently balance administrative needs with equitable duties? (Briggs, </w:t>
      </w:r>
      <w:r w:rsidRPr="00F918C3">
        <w:rPr>
          <w:rFonts w:ascii="Times New Roman" w:hAnsi="Times New Roman"/>
          <w:i/>
          <w:iCs/>
          <w:lang w:val="en-HK"/>
        </w:rPr>
        <w:t>Scope creep</w:t>
      </w:r>
      <w:r w:rsidRPr="00F918C3">
        <w:rPr>
          <w:rFonts w:ascii="Times New Roman" w:hAnsi="Times New Roman"/>
          <w:lang w:val="en-HK"/>
        </w:rPr>
        <w:t>, 2019).</w:t>
      </w:r>
    </w:p>
    <w:p w14:paraId="41A41C93"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Analysis</w:t>
      </w:r>
      <w:r w:rsidRPr="00F918C3">
        <w:rPr>
          <w:rFonts w:ascii="Times New Roman" w:hAnsi="Times New Roman"/>
          <w:lang w:val="en-HK"/>
        </w:rPr>
        <w:t xml:space="preserve">: </w:t>
      </w:r>
    </w:p>
    <w:p w14:paraId="4FE918DB"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lang w:val="en-HK"/>
        </w:rPr>
        <w:t xml:space="preserve">The abstract signals a tension between practicality and principle. Traditional </w:t>
      </w:r>
      <w:r w:rsidRPr="00F918C3">
        <w:rPr>
          <w:rFonts w:ascii="Times New Roman" w:hAnsi="Times New Roman"/>
          <w:i/>
          <w:iCs/>
          <w:lang w:val="en-HK"/>
        </w:rPr>
        <w:t>Benjamin</w:t>
      </w:r>
      <w:r w:rsidRPr="00F918C3">
        <w:rPr>
          <w:rFonts w:ascii="Times New Roman" w:hAnsi="Times New Roman"/>
          <w:lang w:val="en-HK"/>
        </w:rPr>
        <w:t xml:space="preserve"> orders mitigated trustee risk in clear-cut impossibilities, but their extension to insolvency—where claims are disputed or ignored—raises fairness concerns, a theme Briggs explores further.</w:t>
      </w:r>
    </w:p>
    <w:p w14:paraId="3C6B6126" w14:textId="77777777" w:rsidR="00F918C3" w:rsidRPr="00F918C3" w:rsidRDefault="00F96148" w:rsidP="00F763AA">
      <w:pPr>
        <w:spacing w:after="240" w:line="360" w:lineRule="auto"/>
        <w:rPr>
          <w:rFonts w:ascii="Times New Roman" w:hAnsi="Times New Roman"/>
          <w:lang w:val="en-HK"/>
        </w:rPr>
      </w:pPr>
      <w:r w:rsidRPr="00F96148">
        <w:rPr>
          <w:rFonts w:ascii="Times New Roman" w:hAnsi="Times New Roman"/>
          <w:noProof/>
          <w:lang w:val="en-HK"/>
          <w14:ligatures w14:val="standardContextual"/>
        </w:rPr>
        <w:pict w14:anchorId="5D385FF4">
          <v:rect id="_x0000_i1028" alt="" style="width:451.3pt;height:.05pt;mso-width-percent:0;mso-height-percent:0;mso-width-percent:0;mso-height-percent:0" o:hralign="center" o:hrstd="t" o:hr="t" fillcolor="#a0a0a0" stroked="f"/>
        </w:pict>
      </w:r>
    </w:p>
    <w:p w14:paraId="7E7AD59A" w14:textId="2C7D6465" w:rsidR="00F918C3" w:rsidRPr="00F918C3" w:rsidRDefault="00F918C3" w:rsidP="00F763AA">
      <w:pPr>
        <w:spacing w:after="240" w:line="360" w:lineRule="auto"/>
        <w:outlineLvl w:val="2"/>
        <w:rPr>
          <w:rFonts w:ascii="Times New Roman" w:hAnsi="Times New Roman"/>
          <w:b/>
          <w:bCs/>
          <w:lang w:val="en-HK"/>
        </w:rPr>
      </w:pPr>
      <w:r w:rsidRPr="00F918C3">
        <w:rPr>
          <w:rFonts w:ascii="Times New Roman" w:hAnsi="Times New Roman"/>
          <w:b/>
          <w:bCs/>
          <w:lang w:val="en-HK"/>
        </w:rPr>
        <w:t xml:space="preserve">2. Traditional Scope of Re Benjamin Jurisdiction </w:t>
      </w:r>
    </w:p>
    <w:p w14:paraId="49617D3D"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lang w:val="en-HK"/>
        </w:rPr>
        <w:t xml:space="preserve">This section delineates the established boundaries of the </w:t>
      </w:r>
      <w:r w:rsidRPr="00F918C3">
        <w:rPr>
          <w:rFonts w:ascii="Times New Roman" w:hAnsi="Times New Roman"/>
          <w:i/>
          <w:iCs/>
          <w:lang w:val="en-HK"/>
        </w:rPr>
        <w:t>Re Benjamin</w:t>
      </w:r>
      <w:r w:rsidRPr="00F918C3">
        <w:rPr>
          <w:rFonts w:ascii="Times New Roman" w:hAnsi="Times New Roman"/>
          <w:lang w:val="en-HK"/>
        </w:rPr>
        <w:t xml:space="preserve"> jurisdiction, emphasizing its role as a trustee safeguard in cases of practical impossibility, not a tool for resolving disputes or extinguishing rights. It contrasts this with modern trends.</w:t>
      </w:r>
    </w:p>
    <w:p w14:paraId="3C0E769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Core Principles</w:t>
      </w:r>
      <w:r w:rsidRPr="00F918C3">
        <w:rPr>
          <w:rFonts w:ascii="Times New Roman" w:hAnsi="Times New Roman"/>
          <w:lang w:val="en-HK"/>
        </w:rPr>
        <w:t xml:space="preserve">: </w:t>
      </w:r>
    </w:p>
    <w:p w14:paraId="11E821C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Purpose</w:t>
      </w:r>
      <w:r w:rsidRPr="00F918C3">
        <w:rPr>
          <w:rFonts w:ascii="Times New Roman" w:hAnsi="Times New Roman"/>
          <w:lang w:val="en-HK"/>
        </w:rPr>
        <w:t xml:space="preserve">: The jurisdiction authorizes trustees to act on assumed facts (e.g., a beneficiary’s death or absence) without court determination, based on “evidence of the practical impossibility of proof” (Briggs, </w:t>
      </w:r>
      <w:r w:rsidRPr="00F918C3">
        <w:rPr>
          <w:rFonts w:ascii="Times New Roman" w:hAnsi="Times New Roman"/>
          <w:i/>
          <w:iCs/>
          <w:lang w:val="en-HK"/>
        </w:rPr>
        <w:t>Scope creep</w:t>
      </w:r>
      <w:r w:rsidRPr="00F918C3">
        <w:rPr>
          <w:rFonts w:ascii="Times New Roman" w:hAnsi="Times New Roman"/>
          <w:lang w:val="en-HK"/>
        </w:rPr>
        <w:t>, 2019).</w:t>
      </w:r>
    </w:p>
    <w:p w14:paraId="11647523"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Non-Binding Nature</w:t>
      </w:r>
      <w:r w:rsidRPr="00F918C3">
        <w:rPr>
          <w:rFonts w:ascii="Times New Roman" w:hAnsi="Times New Roman"/>
          <w:lang w:val="en-HK"/>
        </w:rPr>
        <w:t>: Orders protect trustees from breach of trust claims but do not adjudicate facts or bind beneficiaries, preserving their rights to pursue assets later.</w:t>
      </w:r>
    </w:p>
    <w:p w14:paraId="55EE68C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Case Law: Re Benjamin [1902] 1 Ch 723 (supra)</w:t>
      </w:r>
      <w:r w:rsidRPr="00F918C3">
        <w:rPr>
          <w:rFonts w:ascii="Times New Roman" w:hAnsi="Times New Roman"/>
          <w:lang w:val="en-HK"/>
        </w:rPr>
        <w:t xml:space="preserve"> </w:t>
      </w:r>
    </w:p>
    <w:p w14:paraId="36366273"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Reasoning (cont’d)</w:t>
      </w:r>
      <w:r w:rsidRPr="00F918C3">
        <w:rPr>
          <w:rFonts w:ascii="Times New Roman" w:hAnsi="Times New Roman"/>
          <w:lang w:val="en-HK"/>
        </w:rPr>
        <w:t>: Farwell J emphasized cost and feasibility—searching for beneficiaries across uncertain jurisdictions or proving survival decades later risked exhausting the estate. The order was a pragmatic fix, not a legal conclusion, applicable to scenarios like missing heirs or closed classes.</w:t>
      </w:r>
    </w:p>
    <w:p w14:paraId="5F6BAC8B"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lastRenderedPageBreak/>
        <w:t>Examples</w:t>
      </w:r>
      <w:r w:rsidRPr="00F918C3">
        <w:rPr>
          <w:rFonts w:ascii="Times New Roman" w:hAnsi="Times New Roman"/>
          <w:lang w:val="en-HK"/>
        </w:rPr>
        <w:t>: Presuming a legatee predeceased the testator (avoiding survivorship inquiries), a woman is post-child-bearing (closing contingent interests), or no further class members exist (simplifying distribution).</w:t>
      </w:r>
    </w:p>
    <w:p w14:paraId="40C7375F"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Case Law: Re Green’s Will Trust [1985] 3 All ER 455</w:t>
      </w:r>
      <w:r w:rsidRPr="00F918C3">
        <w:rPr>
          <w:rFonts w:ascii="Times New Roman" w:hAnsi="Times New Roman"/>
          <w:lang w:val="en-HK"/>
        </w:rPr>
        <w:t xml:space="preserve"> </w:t>
      </w:r>
    </w:p>
    <w:p w14:paraId="35A4206A"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Facts</w:t>
      </w:r>
      <w:r w:rsidRPr="00F918C3">
        <w:rPr>
          <w:rFonts w:ascii="Times New Roman" w:hAnsi="Times New Roman"/>
          <w:lang w:val="en-HK"/>
        </w:rPr>
        <w:t>: Trustees of a will trust sought to distribute assets, assuming a beneficiary had died, as no evidence of survival emerged despite reasonable efforts. The beneficiary’s whereabouts were unknown, and further investigation was costly.</w:t>
      </w:r>
    </w:p>
    <w:p w14:paraId="747C415F"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Held</w:t>
      </w:r>
      <w:r w:rsidRPr="00F918C3">
        <w:rPr>
          <w:rFonts w:ascii="Times New Roman" w:hAnsi="Times New Roman"/>
          <w:lang w:val="en-HK"/>
        </w:rPr>
        <w:t xml:space="preserve">: The court issued a </w:t>
      </w:r>
      <w:r w:rsidRPr="00F918C3">
        <w:rPr>
          <w:rFonts w:ascii="Times New Roman" w:hAnsi="Times New Roman"/>
          <w:i/>
          <w:iCs/>
          <w:lang w:val="en-HK"/>
        </w:rPr>
        <w:t>Benjamin</w:t>
      </w:r>
      <w:r w:rsidRPr="00F918C3">
        <w:rPr>
          <w:rFonts w:ascii="Times New Roman" w:hAnsi="Times New Roman"/>
          <w:lang w:val="en-HK"/>
        </w:rPr>
        <w:t xml:space="preserve"> order, authorizing distribution on the assumption of death.</w:t>
      </w:r>
    </w:p>
    <w:p w14:paraId="5DE4C28F"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Reasoning</w:t>
      </w:r>
      <w:r w:rsidRPr="00F918C3">
        <w:rPr>
          <w:rFonts w:ascii="Times New Roman" w:hAnsi="Times New Roman"/>
          <w:lang w:val="en-HK"/>
        </w:rPr>
        <w:t xml:space="preserve">: The order protected trustees from liability if the assumption proved wrong, without altering the trust’s legal structure. It rested on practicality—exhaustive searches were disproportionate to the estate’s value—and maintained the beneficiary’s equitable rights to reclaim assets if alive. This reinforced </w:t>
      </w:r>
      <w:r w:rsidRPr="00F918C3">
        <w:rPr>
          <w:rFonts w:ascii="Times New Roman" w:hAnsi="Times New Roman"/>
          <w:i/>
          <w:iCs/>
          <w:lang w:val="en-HK"/>
        </w:rPr>
        <w:t>Benjamin</w:t>
      </w:r>
      <w:r w:rsidRPr="00F918C3">
        <w:rPr>
          <w:rFonts w:ascii="Times New Roman" w:hAnsi="Times New Roman"/>
          <w:lang w:val="en-HK"/>
        </w:rPr>
        <w:t>’s limited, protective scope.</w:t>
      </w:r>
    </w:p>
    <w:p w14:paraId="2C08DB1E"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Significance</w:t>
      </w:r>
      <w:r w:rsidRPr="00F918C3">
        <w:rPr>
          <w:rFonts w:ascii="Times New Roman" w:hAnsi="Times New Roman"/>
          <w:lang w:val="en-HK"/>
        </w:rPr>
        <w:t>: It clarified that the jurisdiction does not resolve factual disputes but mitigates trustee risk in uncertain, logistically challenging cases.</w:t>
      </w:r>
    </w:p>
    <w:p w14:paraId="6ACAC857"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Case Law: Re Evans [1999] 2 All ER 777</w:t>
      </w:r>
      <w:r w:rsidRPr="00F918C3">
        <w:rPr>
          <w:rFonts w:ascii="Times New Roman" w:hAnsi="Times New Roman"/>
          <w:lang w:val="en-HK"/>
        </w:rPr>
        <w:t xml:space="preserve"> </w:t>
      </w:r>
    </w:p>
    <w:p w14:paraId="0074A58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Facts</w:t>
      </w:r>
      <w:r w:rsidRPr="00F918C3">
        <w:rPr>
          <w:rFonts w:ascii="Times New Roman" w:hAnsi="Times New Roman"/>
          <w:lang w:val="en-HK"/>
        </w:rPr>
        <w:t xml:space="preserve">: A </w:t>
      </w:r>
      <w:r w:rsidRPr="00F918C3">
        <w:rPr>
          <w:rFonts w:ascii="Times New Roman" w:hAnsi="Times New Roman"/>
          <w:i/>
          <w:iCs/>
          <w:lang w:val="en-HK"/>
        </w:rPr>
        <w:t>Benjamin</w:t>
      </w:r>
      <w:r w:rsidRPr="00F918C3">
        <w:rPr>
          <w:rFonts w:ascii="Times New Roman" w:hAnsi="Times New Roman"/>
          <w:lang w:val="en-HK"/>
        </w:rPr>
        <w:t xml:space="preserve"> order allowed distribution assuming a beneficiary’s death. Years later, the beneficiary reappeared, seeking their share from recipients.</w:t>
      </w:r>
    </w:p>
    <w:p w14:paraId="15FEB929"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Held</w:t>
      </w:r>
      <w:r w:rsidRPr="00F918C3">
        <w:rPr>
          <w:rFonts w:ascii="Times New Roman" w:hAnsi="Times New Roman"/>
          <w:lang w:val="en-HK"/>
        </w:rPr>
        <w:t xml:space="preserve">: The court upheld the beneficiary’s right to a </w:t>
      </w:r>
      <w:r w:rsidRPr="00F918C3">
        <w:rPr>
          <w:rFonts w:ascii="Times New Roman" w:hAnsi="Times New Roman"/>
          <w:i/>
          <w:iCs/>
          <w:lang w:val="en-HK"/>
        </w:rPr>
        <w:t>Re Diplock</w:t>
      </w:r>
      <w:r w:rsidRPr="00F918C3">
        <w:rPr>
          <w:rFonts w:ascii="Times New Roman" w:hAnsi="Times New Roman"/>
          <w:lang w:val="en-HK"/>
        </w:rPr>
        <w:t xml:space="preserve"> action, allowing tracing into recipients’ hands.</w:t>
      </w:r>
    </w:p>
    <w:p w14:paraId="68120534"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Reasoning</w:t>
      </w:r>
      <w:r w:rsidRPr="00F918C3">
        <w:rPr>
          <w:rFonts w:ascii="Times New Roman" w:hAnsi="Times New Roman"/>
          <w:lang w:val="en-HK"/>
        </w:rPr>
        <w:t xml:space="preserve">: The original order shielded trustees but did not extinguish the beneficiary’s interest. As volunteers (not purchasers for value), recipients remained liable to return the assets, affirming that </w:t>
      </w:r>
      <w:r w:rsidRPr="00F918C3">
        <w:rPr>
          <w:rFonts w:ascii="Times New Roman" w:hAnsi="Times New Roman"/>
          <w:i/>
          <w:iCs/>
          <w:lang w:val="en-HK"/>
        </w:rPr>
        <w:t>Benjamin</w:t>
      </w:r>
      <w:r w:rsidRPr="00F918C3">
        <w:rPr>
          <w:rFonts w:ascii="Times New Roman" w:hAnsi="Times New Roman"/>
          <w:lang w:val="en-HK"/>
        </w:rPr>
        <w:t xml:space="preserve"> orders preserve, rather than destroy, equitable rights. This underscores the jurisdiction’s non-determinative nature.</w:t>
      </w:r>
    </w:p>
    <w:p w14:paraId="165E80C9"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Implication</w:t>
      </w:r>
      <w:r w:rsidRPr="00F918C3">
        <w:rPr>
          <w:rFonts w:ascii="Times New Roman" w:hAnsi="Times New Roman"/>
          <w:lang w:val="en-HK"/>
        </w:rPr>
        <w:t>: Beneficiaries retain remedies, ensuring the order’s impact is procedural, not substantive.</w:t>
      </w:r>
    </w:p>
    <w:p w14:paraId="427F5591"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 xml:space="preserve">Case Law: </w:t>
      </w:r>
      <w:proofErr w:type="spellStart"/>
      <w:r w:rsidRPr="00F918C3">
        <w:rPr>
          <w:rFonts w:ascii="Times New Roman" w:hAnsi="Times New Roman"/>
          <w:b/>
          <w:bCs/>
          <w:lang w:val="en-HK"/>
        </w:rPr>
        <w:t>Greenwold</w:t>
      </w:r>
      <w:proofErr w:type="spellEnd"/>
      <w:r w:rsidRPr="00F918C3">
        <w:rPr>
          <w:rFonts w:ascii="Times New Roman" w:hAnsi="Times New Roman"/>
          <w:b/>
          <w:bCs/>
          <w:lang w:val="en-HK"/>
        </w:rPr>
        <w:t xml:space="preserve"> v Pike [2007] EWHC 2202 (Ch)</w:t>
      </w:r>
      <w:r w:rsidRPr="00F918C3">
        <w:rPr>
          <w:rFonts w:ascii="Times New Roman" w:hAnsi="Times New Roman"/>
          <w:lang w:val="en-HK"/>
        </w:rPr>
        <w:t xml:space="preserve"> </w:t>
      </w:r>
    </w:p>
    <w:p w14:paraId="2A027E82"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lastRenderedPageBreak/>
        <w:t>Facts</w:t>
      </w:r>
      <w:r w:rsidRPr="00F918C3">
        <w:rPr>
          <w:rFonts w:ascii="Times New Roman" w:hAnsi="Times New Roman"/>
          <w:lang w:val="en-HK"/>
        </w:rPr>
        <w:t xml:space="preserve">: Trustees applied for a </w:t>
      </w:r>
      <w:r w:rsidRPr="00F918C3">
        <w:rPr>
          <w:rFonts w:ascii="Times New Roman" w:hAnsi="Times New Roman"/>
          <w:i/>
          <w:iCs/>
          <w:lang w:val="en-HK"/>
        </w:rPr>
        <w:t>Benjamin</w:t>
      </w:r>
      <w:r w:rsidRPr="00F918C3">
        <w:rPr>
          <w:rFonts w:ascii="Times New Roman" w:hAnsi="Times New Roman"/>
          <w:lang w:val="en-HK"/>
        </w:rPr>
        <w:t xml:space="preserve"> order amid potential disputes over beneficiary entitlement, where some parties contested others’ rights.</w:t>
      </w:r>
    </w:p>
    <w:p w14:paraId="3CBC0B1B"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Held</w:t>
      </w:r>
      <w:r w:rsidRPr="00F918C3">
        <w:rPr>
          <w:rFonts w:ascii="Times New Roman" w:hAnsi="Times New Roman"/>
          <w:lang w:val="en-HK"/>
        </w:rPr>
        <w:t>: The court declined broad use, urging restriction to non-contentious cases.</w:t>
      </w:r>
    </w:p>
    <w:p w14:paraId="1502E86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Reasoning</w:t>
      </w:r>
      <w:r w:rsidRPr="00F918C3">
        <w:rPr>
          <w:rFonts w:ascii="Times New Roman" w:hAnsi="Times New Roman"/>
          <w:lang w:val="en-HK"/>
        </w:rPr>
        <w:t xml:space="preserve">: The jurisdiction suits genuine uncertainty (e.g., missing persons), not active disputes. Where substantial conflicts exist, </w:t>
      </w:r>
      <w:r w:rsidRPr="00F918C3">
        <w:rPr>
          <w:rFonts w:ascii="Times New Roman" w:hAnsi="Times New Roman"/>
          <w:i/>
          <w:iCs/>
          <w:lang w:val="en-HK"/>
        </w:rPr>
        <w:t>Benjamin</w:t>
      </w:r>
      <w:r w:rsidRPr="00F918C3">
        <w:rPr>
          <w:rFonts w:ascii="Times New Roman" w:hAnsi="Times New Roman"/>
          <w:lang w:val="en-HK"/>
        </w:rPr>
        <w:t xml:space="preserve"> risks overreach, potentially prejudicing parties without full adjudication. The court encouraged restraint, aligning with traditional limits.</w:t>
      </w:r>
    </w:p>
    <w:p w14:paraId="2B9A3F83"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Guidance</w:t>
      </w:r>
      <w:r w:rsidRPr="00F918C3">
        <w:rPr>
          <w:rFonts w:ascii="Times New Roman" w:hAnsi="Times New Roman"/>
          <w:lang w:val="en-HK"/>
        </w:rPr>
        <w:t xml:space="preserve">: Trustees should avoid </w:t>
      </w:r>
      <w:r w:rsidRPr="00F918C3">
        <w:rPr>
          <w:rFonts w:ascii="Times New Roman" w:hAnsi="Times New Roman"/>
          <w:i/>
          <w:iCs/>
          <w:lang w:val="en-HK"/>
        </w:rPr>
        <w:t>Benjamin</w:t>
      </w:r>
      <w:r w:rsidRPr="00F918C3">
        <w:rPr>
          <w:rFonts w:ascii="Times New Roman" w:hAnsi="Times New Roman"/>
          <w:lang w:val="en-HK"/>
        </w:rPr>
        <w:t xml:space="preserve"> or s 48 applications where disputes are “substantial,” preserving its role as a last resort for logistical impasses.</w:t>
      </w:r>
    </w:p>
    <w:p w14:paraId="57834FBE"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Statute: Administration of Justice Act 1985, s 48</w:t>
      </w:r>
      <w:r w:rsidRPr="00F918C3">
        <w:rPr>
          <w:rFonts w:ascii="Times New Roman" w:hAnsi="Times New Roman"/>
          <w:lang w:val="en-HK"/>
        </w:rPr>
        <w:t xml:space="preserve"> </w:t>
      </w:r>
    </w:p>
    <w:p w14:paraId="63970CFB"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Application</w:t>
      </w:r>
      <w:r w:rsidRPr="00F918C3">
        <w:rPr>
          <w:rFonts w:ascii="Times New Roman" w:hAnsi="Times New Roman"/>
          <w:lang w:val="en-HK"/>
        </w:rPr>
        <w:t xml:space="preserve">: Trustees can seek court approval to follow counsel’s opinion, paralleling </w:t>
      </w:r>
      <w:r w:rsidRPr="00F918C3">
        <w:rPr>
          <w:rFonts w:ascii="Times New Roman" w:hAnsi="Times New Roman"/>
          <w:i/>
          <w:iCs/>
          <w:lang w:val="en-HK"/>
        </w:rPr>
        <w:t>Benjamin</w:t>
      </w:r>
      <w:r w:rsidRPr="00F918C3">
        <w:rPr>
          <w:rFonts w:ascii="Times New Roman" w:hAnsi="Times New Roman"/>
          <w:lang w:val="en-HK"/>
        </w:rPr>
        <w:t>’s protective function. For example, if counsel opines a beneficiary is likely deceased, trustees act accordingly with immunity.</w:t>
      </w:r>
    </w:p>
    <w:p w14:paraId="34D9D4AC"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Limit</w:t>
      </w:r>
      <w:r w:rsidRPr="00F918C3">
        <w:rPr>
          <w:rFonts w:ascii="Times New Roman" w:hAnsi="Times New Roman"/>
          <w:lang w:val="en-HK"/>
        </w:rPr>
        <w:t xml:space="preserve">: Like </w:t>
      </w:r>
      <w:r w:rsidRPr="00F918C3">
        <w:rPr>
          <w:rFonts w:ascii="Times New Roman" w:hAnsi="Times New Roman"/>
          <w:i/>
          <w:iCs/>
          <w:lang w:val="en-HK"/>
        </w:rPr>
        <w:t>Benjamin</w:t>
      </w:r>
      <w:r w:rsidRPr="00F918C3">
        <w:rPr>
          <w:rFonts w:ascii="Times New Roman" w:hAnsi="Times New Roman"/>
          <w:lang w:val="en-HK"/>
        </w:rPr>
        <w:t xml:space="preserve">, it avoids fact-finding, focusing on trustee safety, and is discouraged in disputed scenarios per </w:t>
      </w:r>
      <w:proofErr w:type="spellStart"/>
      <w:r w:rsidRPr="00F918C3">
        <w:rPr>
          <w:rFonts w:ascii="Times New Roman" w:hAnsi="Times New Roman"/>
          <w:i/>
          <w:iCs/>
          <w:lang w:val="en-HK"/>
        </w:rPr>
        <w:t>Greenwold</w:t>
      </w:r>
      <w:proofErr w:type="spellEnd"/>
      <w:r w:rsidRPr="00F918C3">
        <w:rPr>
          <w:rFonts w:ascii="Times New Roman" w:hAnsi="Times New Roman"/>
          <w:lang w:val="en-HK"/>
        </w:rPr>
        <w:t>.</w:t>
      </w:r>
    </w:p>
    <w:p w14:paraId="23C09C02"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Statute: Presumption of Death Act 2013</w:t>
      </w:r>
      <w:r w:rsidRPr="00F918C3">
        <w:rPr>
          <w:rFonts w:ascii="Times New Roman" w:hAnsi="Times New Roman"/>
          <w:lang w:val="en-HK"/>
        </w:rPr>
        <w:t xml:space="preserve"> </w:t>
      </w:r>
    </w:p>
    <w:p w14:paraId="2F2DC42E"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Provision</w:t>
      </w:r>
      <w:r w:rsidRPr="00F918C3">
        <w:rPr>
          <w:rFonts w:ascii="Times New Roman" w:hAnsi="Times New Roman"/>
          <w:lang w:val="en-HK"/>
        </w:rPr>
        <w:t xml:space="preserve">: Allows courts to declare a person legally dead after reasonable inquiries, offering finality (e.g., binding estates) unlike </w:t>
      </w:r>
      <w:r w:rsidRPr="00F918C3">
        <w:rPr>
          <w:rFonts w:ascii="Times New Roman" w:hAnsi="Times New Roman"/>
          <w:i/>
          <w:iCs/>
          <w:lang w:val="en-HK"/>
        </w:rPr>
        <w:t>Benjamin</w:t>
      </w:r>
      <w:r w:rsidRPr="00F918C3">
        <w:rPr>
          <w:rFonts w:ascii="Times New Roman" w:hAnsi="Times New Roman"/>
          <w:lang w:val="en-HK"/>
        </w:rPr>
        <w:t>’s assumptions.</w:t>
      </w:r>
    </w:p>
    <w:p w14:paraId="09CBEF2F"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Relevance</w:t>
      </w:r>
      <w:r w:rsidRPr="00F918C3">
        <w:rPr>
          <w:rFonts w:ascii="Times New Roman" w:hAnsi="Times New Roman"/>
          <w:lang w:val="en-HK"/>
        </w:rPr>
        <w:t xml:space="preserve">: Briggs notes its convenience over </w:t>
      </w:r>
      <w:r w:rsidRPr="00F918C3">
        <w:rPr>
          <w:rFonts w:ascii="Times New Roman" w:hAnsi="Times New Roman"/>
          <w:i/>
          <w:iCs/>
          <w:lang w:val="en-HK"/>
        </w:rPr>
        <w:t>Benjamin</w:t>
      </w:r>
      <w:r w:rsidRPr="00F918C3">
        <w:rPr>
          <w:rFonts w:ascii="Times New Roman" w:hAnsi="Times New Roman"/>
          <w:lang w:val="en-HK"/>
        </w:rPr>
        <w:t xml:space="preserve"> orders in modern contexts, as technology (e.g., tracing agents) reduces “genuinely missing” beneficiaries, narrowing traditional applications (Briggs, </w:t>
      </w:r>
      <w:r w:rsidRPr="00F918C3">
        <w:rPr>
          <w:rFonts w:ascii="Times New Roman" w:hAnsi="Times New Roman"/>
          <w:i/>
          <w:iCs/>
          <w:lang w:val="en-HK"/>
        </w:rPr>
        <w:t>Scope creep</w:t>
      </w:r>
      <w:r w:rsidRPr="00F918C3">
        <w:rPr>
          <w:rFonts w:ascii="Times New Roman" w:hAnsi="Times New Roman"/>
          <w:lang w:val="en-HK"/>
        </w:rPr>
        <w:t>, 2019).</w:t>
      </w:r>
    </w:p>
    <w:p w14:paraId="6FA382B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Scholar’s Opinion</w:t>
      </w:r>
      <w:r w:rsidRPr="00F918C3">
        <w:rPr>
          <w:rFonts w:ascii="Times New Roman" w:hAnsi="Times New Roman"/>
          <w:lang w:val="en-HK"/>
        </w:rPr>
        <w:t xml:space="preserve">: </w:t>
      </w:r>
    </w:p>
    <w:p w14:paraId="6EDA7980" w14:textId="77777777" w:rsidR="00F918C3" w:rsidRPr="00F918C3" w:rsidRDefault="00F918C3" w:rsidP="00F763AA">
      <w:pPr>
        <w:numPr>
          <w:ilvl w:val="1"/>
          <w:numId w:val="2"/>
        </w:numPr>
        <w:spacing w:after="240" w:line="360" w:lineRule="auto"/>
        <w:rPr>
          <w:rFonts w:ascii="Times New Roman" w:hAnsi="Times New Roman"/>
          <w:lang w:val="en-HK"/>
        </w:rPr>
      </w:pPr>
      <w:r w:rsidRPr="00F918C3">
        <w:rPr>
          <w:rFonts w:ascii="Times New Roman" w:hAnsi="Times New Roman"/>
          <w:lang w:val="en-HK"/>
        </w:rPr>
        <w:t xml:space="preserve">Briggs observes that technological advances (e.g., databases, tracing services) diminish </w:t>
      </w:r>
      <w:r w:rsidRPr="00F918C3">
        <w:rPr>
          <w:rFonts w:ascii="Times New Roman" w:hAnsi="Times New Roman"/>
          <w:i/>
          <w:iCs/>
          <w:lang w:val="en-HK"/>
        </w:rPr>
        <w:t>Benjamin</w:t>
      </w:r>
      <w:r w:rsidRPr="00F918C3">
        <w:rPr>
          <w:rFonts w:ascii="Times New Roman" w:hAnsi="Times New Roman"/>
          <w:lang w:val="en-HK"/>
        </w:rPr>
        <w:t xml:space="preserve">’s relevance for missing beneficiaries, as locating individuals is now feasible. He contrasts this with its historical necessity, suggesting its obscurity until insolvency revived it (Briggs, </w:t>
      </w:r>
      <w:r w:rsidRPr="00F918C3">
        <w:rPr>
          <w:rFonts w:ascii="Times New Roman" w:hAnsi="Times New Roman"/>
          <w:i/>
          <w:iCs/>
          <w:lang w:val="en-HK"/>
        </w:rPr>
        <w:t>Scope creep</w:t>
      </w:r>
      <w:r w:rsidRPr="00F918C3">
        <w:rPr>
          <w:rFonts w:ascii="Times New Roman" w:hAnsi="Times New Roman"/>
          <w:lang w:val="en-HK"/>
        </w:rPr>
        <w:t>, 2019).</w:t>
      </w:r>
    </w:p>
    <w:p w14:paraId="4E74073B" w14:textId="77777777" w:rsidR="00F918C3" w:rsidRPr="00F918C3" w:rsidRDefault="00F918C3" w:rsidP="00F763AA">
      <w:pPr>
        <w:numPr>
          <w:ilvl w:val="1"/>
          <w:numId w:val="2"/>
        </w:numPr>
        <w:spacing w:after="240" w:line="360" w:lineRule="auto"/>
        <w:rPr>
          <w:rFonts w:ascii="Times New Roman" w:hAnsi="Times New Roman"/>
          <w:lang w:val="en-HK"/>
        </w:rPr>
      </w:pPr>
      <w:r w:rsidRPr="00F918C3">
        <w:rPr>
          <w:rFonts w:ascii="Times New Roman" w:hAnsi="Times New Roman"/>
          <w:lang w:val="en-HK"/>
        </w:rPr>
        <w:lastRenderedPageBreak/>
        <w:t xml:space="preserve">Lewin aligns with this, noting </w:t>
      </w:r>
      <w:r w:rsidRPr="00F918C3">
        <w:rPr>
          <w:rFonts w:ascii="Times New Roman" w:hAnsi="Times New Roman"/>
          <w:i/>
          <w:iCs/>
          <w:lang w:val="en-HK"/>
        </w:rPr>
        <w:t>Benjamin</w:t>
      </w:r>
      <w:r w:rsidRPr="00F918C3">
        <w:rPr>
          <w:rFonts w:ascii="Times New Roman" w:hAnsi="Times New Roman"/>
          <w:lang w:val="en-HK"/>
        </w:rPr>
        <w:t xml:space="preserve">’s focus on practicality, not rights alteration (Lewin, </w:t>
      </w:r>
      <w:r w:rsidRPr="00F918C3">
        <w:rPr>
          <w:rFonts w:ascii="Times New Roman" w:hAnsi="Times New Roman"/>
          <w:i/>
          <w:iCs/>
          <w:lang w:val="en-HK"/>
        </w:rPr>
        <w:t>Lewin on Trusts</w:t>
      </w:r>
      <w:r w:rsidRPr="00F918C3">
        <w:rPr>
          <w:rFonts w:ascii="Times New Roman" w:hAnsi="Times New Roman"/>
          <w:lang w:val="en-HK"/>
        </w:rPr>
        <w:t>, 2020, contributor Briggs).</w:t>
      </w:r>
    </w:p>
    <w:p w14:paraId="54463348"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b/>
          <w:bCs/>
          <w:lang w:val="en-HK"/>
        </w:rPr>
        <w:t>Analysis</w:t>
      </w:r>
      <w:r w:rsidRPr="00F918C3">
        <w:rPr>
          <w:rFonts w:ascii="Times New Roman" w:hAnsi="Times New Roman"/>
          <w:lang w:val="en-HK"/>
        </w:rPr>
        <w:t xml:space="preserve">: </w:t>
      </w:r>
    </w:p>
    <w:p w14:paraId="242A2A9F"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Scope</w:t>
      </w:r>
      <w:r w:rsidRPr="00F918C3">
        <w:rPr>
          <w:rFonts w:ascii="Times New Roman" w:hAnsi="Times New Roman"/>
          <w:lang w:val="en-HK"/>
        </w:rPr>
        <w:t xml:space="preserve">: Traditionally, </w:t>
      </w:r>
      <w:r w:rsidRPr="00F918C3">
        <w:rPr>
          <w:rFonts w:ascii="Times New Roman" w:hAnsi="Times New Roman"/>
          <w:i/>
          <w:iCs/>
          <w:lang w:val="en-HK"/>
        </w:rPr>
        <w:t>Benjamin</w:t>
      </w:r>
      <w:r w:rsidRPr="00F918C3">
        <w:rPr>
          <w:rFonts w:ascii="Times New Roman" w:hAnsi="Times New Roman"/>
          <w:lang w:val="en-HK"/>
        </w:rPr>
        <w:t xml:space="preserve"> addressed logistical barriers (e.g., war, distance, cost), not contested claims. Cases like </w:t>
      </w:r>
      <w:r w:rsidRPr="00F918C3">
        <w:rPr>
          <w:rFonts w:ascii="Times New Roman" w:hAnsi="Times New Roman"/>
          <w:i/>
          <w:iCs/>
          <w:lang w:val="en-HK"/>
        </w:rPr>
        <w:t>Green’s</w:t>
      </w:r>
      <w:r w:rsidRPr="00F918C3">
        <w:rPr>
          <w:rFonts w:ascii="Times New Roman" w:hAnsi="Times New Roman"/>
          <w:lang w:val="en-HK"/>
        </w:rPr>
        <w:t xml:space="preserve"> and </w:t>
      </w:r>
      <w:r w:rsidRPr="00F918C3">
        <w:rPr>
          <w:rFonts w:ascii="Times New Roman" w:hAnsi="Times New Roman"/>
          <w:i/>
          <w:iCs/>
          <w:lang w:val="en-HK"/>
        </w:rPr>
        <w:t>Evans</w:t>
      </w:r>
      <w:r w:rsidRPr="00F918C3">
        <w:rPr>
          <w:rFonts w:ascii="Times New Roman" w:hAnsi="Times New Roman"/>
          <w:lang w:val="en-HK"/>
        </w:rPr>
        <w:t xml:space="preserve"> show its protective intent—trustees act without fear, beneficiaries retain remedies.</w:t>
      </w:r>
    </w:p>
    <w:p w14:paraId="00B1EAF6" w14:textId="77777777" w:rsidR="00F918C3" w:rsidRPr="00F918C3" w:rsidRDefault="00F918C3" w:rsidP="00F763AA">
      <w:pPr>
        <w:spacing w:after="240" w:line="360" w:lineRule="auto"/>
        <w:rPr>
          <w:rFonts w:ascii="Times New Roman" w:hAnsi="Times New Roman"/>
          <w:lang w:val="en-HK"/>
        </w:rPr>
      </w:pPr>
      <w:r w:rsidRPr="00F918C3">
        <w:rPr>
          <w:rFonts w:ascii="Times New Roman" w:hAnsi="Times New Roman"/>
          <w:i/>
          <w:iCs/>
          <w:lang w:val="en-HK"/>
        </w:rPr>
        <w:t>Limits</w:t>
      </w:r>
      <w:r w:rsidRPr="00F918C3">
        <w:rPr>
          <w:rFonts w:ascii="Times New Roman" w:hAnsi="Times New Roman"/>
          <w:lang w:val="en-HK"/>
        </w:rPr>
        <w:t xml:space="preserve">: </w:t>
      </w:r>
      <w:proofErr w:type="spellStart"/>
      <w:r w:rsidRPr="00F918C3">
        <w:rPr>
          <w:rFonts w:ascii="Times New Roman" w:hAnsi="Times New Roman"/>
          <w:i/>
          <w:iCs/>
          <w:lang w:val="en-HK"/>
        </w:rPr>
        <w:t>Greenwold</w:t>
      </w:r>
      <w:proofErr w:type="spellEnd"/>
      <w:r w:rsidRPr="00F918C3">
        <w:rPr>
          <w:rFonts w:ascii="Times New Roman" w:hAnsi="Times New Roman"/>
          <w:lang w:val="en-HK"/>
        </w:rPr>
        <w:t xml:space="preserve"> reinforces restraint, avoiding misuse in disputes, while the </w:t>
      </w:r>
      <w:r w:rsidRPr="00F918C3">
        <w:rPr>
          <w:rFonts w:ascii="Times New Roman" w:hAnsi="Times New Roman"/>
          <w:i/>
          <w:iCs/>
          <w:lang w:val="en-HK"/>
        </w:rPr>
        <w:t>Presumption of Death Act</w:t>
      </w:r>
      <w:r w:rsidRPr="00F918C3">
        <w:rPr>
          <w:rFonts w:ascii="Times New Roman" w:hAnsi="Times New Roman"/>
          <w:lang w:val="en-HK"/>
        </w:rPr>
        <w:t xml:space="preserve"> offers a modern alternative, reducing </w:t>
      </w:r>
      <w:r w:rsidRPr="00F918C3">
        <w:rPr>
          <w:rFonts w:ascii="Times New Roman" w:hAnsi="Times New Roman"/>
          <w:i/>
          <w:iCs/>
          <w:lang w:val="en-HK"/>
        </w:rPr>
        <w:t>Benjamin</w:t>
      </w:r>
      <w:r w:rsidRPr="00F918C3">
        <w:rPr>
          <w:rFonts w:ascii="Times New Roman" w:hAnsi="Times New Roman"/>
          <w:lang w:val="en-HK"/>
        </w:rPr>
        <w:t>’s scope.</w:t>
      </w:r>
    </w:p>
    <w:p w14:paraId="448F80A3" w14:textId="77777777" w:rsidR="00F918C3" w:rsidRPr="00F763AA" w:rsidRDefault="00F918C3" w:rsidP="00F763AA">
      <w:pPr>
        <w:spacing w:after="240" w:line="360" w:lineRule="auto"/>
        <w:rPr>
          <w:rFonts w:ascii="Times New Roman" w:hAnsi="Times New Roman"/>
          <w:lang w:val="en-HK"/>
        </w:rPr>
      </w:pPr>
      <w:r w:rsidRPr="00F918C3">
        <w:rPr>
          <w:rFonts w:ascii="Times New Roman" w:hAnsi="Times New Roman"/>
          <w:i/>
          <w:iCs/>
          <w:lang w:val="en-HK"/>
        </w:rPr>
        <w:t>Transition</w:t>
      </w:r>
      <w:r w:rsidRPr="00F918C3">
        <w:rPr>
          <w:rFonts w:ascii="Times New Roman" w:hAnsi="Times New Roman"/>
          <w:lang w:val="en-HK"/>
        </w:rPr>
        <w:t>: Briggs sets up the shift to insolvency, where scale and complexity stretch these principles beyond their original design, a critique developed later.</w:t>
      </w:r>
    </w:p>
    <w:p w14:paraId="7B9201FF" w14:textId="2B63A05B" w:rsidR="00E20375" w:rsidRPr="00F763AA" w:rsidRDefault="00F96148" w:rsidP="00F763AA">
      <w:pPr>
        <w:spacing w:after="240" w:line="360" w:lineRule="auto"/>
        <w:rPr>
          <w:rFonts w:ascii="Times New Roman" w:hAnsi="Times New Roman"/>
          <w:lang w:val="en-HK"/>
        </w:rPr>
      </w:pPr>
      <w:r w:rsidRPr="00F96148">
        <w:rPr>
          <w:rFonts w:ascii="Times New Roman" w:hAnsi="Times New Roman"/>
          <w:noProof/>
          <w:lang w:val="en-HK"/>
          <w14:ligatures w14:val="standardContextual"/>
        </w:rPr>
        <w:pict w14:anchorId="280B7B2F">
          <v:rect id="_x0000_i1027" alt="" style="width:451.3pt;height:.05pt;mso-width-percent:0;mso-height-percent:0;mso-width-percent:0;mso-height-percent:0" o:hralign="center" o:hrstd="t" o:hr="t" fillcolor="#a0a0a0" stroked="f"/>
        </w:pict>
      </w:r>
    </w:p>
    <w:p w14:paraId="13C0470A" w14:textId="4159C8E9" w:rsidR="00E20375" w:rsidRPr="00E20375" w:rsidRDefault="00E20375" w:rsidP="00F763AA">
      <w:pPr>
        <w:spacing w:after="240" w:line="360" w:lineRule="auto"/>
        <w:outlineLvl w:val="2"/>
        <w:rPr>
          <w:rFonts w:ascii="Times New Roman" w:hAnsi="Times New Roman"/>
          <w:b/>
          <w:bCs/>
          <w:lang w:val="en-HK"/>
        </w:rPr>
      </w:pPr>
      <w:r w:rsidRPr="00E20375">
        <w:rPr>
          <w:rFonts w:ascii="Times New Roman" w:hAnsi="Times New Roman"/>
          <w:b/>
          <w:bCs/>
          <w:lang w:val="en-HK"/>
        </w:rPr>
        <w:t xml:space="preserve">3. Application in Insolvent Financial Institutions </w:t>
      </w:r>
    </w:p>
    <w:p w14:paraId="52720E72"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lang w:val="en-HK"/>
        </w:rPr>
        <w:t xml:space="preserve">This section examines the revival and adaptation of the </w:t>
      </w:r>
      <w:r w:rsidRPr="00E20375">
        <w:rPr>
          <w:rFonts w:ascii="Times New Roman" w:hAnsi="Times New Roman"/>
          <w:i/>
          <w:iCs/>
          <w:lang w:val="en-HK"/>
        </w:rPr>
        <w:t>Re Benjamin</w:t>
      </w:r>
      <w:r w:rsidRPr="00E20375">
        <w:rPr>
          <w:rFonts w:ascii="Times New Roman" w:hAnsi="Times New Roman"/>
          <w:lang w:val="en-HK"/>
        </w:rPr>
        <w:t xml:space="preserve"> jurisdiction in the administration of insolvent financial institutions following the Lehman Brothers collapse in 2008. It explores how the </w:t>
      </w:r>
      <w:r w:rsidRPr="00E20375">
        <w:rPr>
          <w:rFonts w:ascii="Times New Roman" w:hAnsi="Times New Roman"/>
          <w:i/>
          <w:iCs/>
          <w:lang w:val="en-HK"/>
        </w:rPr>
        <w:t>Client Assets Sourcebook (CASS)</w:t>
      </w:r>
      <w:r w:rsidRPr="00E20375">
        <w:rPr>
          <w:rFonts w:ascii="Times New Roman" w:hAnsi="Times New Roman"/>
          <w:lang w:val="en-HK"/>
        </w:rPr>
        <w:t xml:space="preserve"> framework and special administration regimes have stretched this jurisdiction to address the practical challenges of distributing pooled client funds, highlighting a shift from its traditional scope.</w:t>
      </w:r>
    </w:p>
    <w:p w14:paraId="7CA104A6"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Contextual Background</w:t>
      </w:r>
      <w:r w:rsidRPr="00E20375">
        <w:rPr>
          <w:rFonts w:ascii="Times New Roman" w:hAnsi="Times New Roman"/>
          <w:lang w:val="en-HK"/>
        </w:rPr>
        <w:t xml:space="preserve">: </w:t>
      </w:r>
    </w:p>
    <w:p w14:paraId="483C6152"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lang w:val="en-HK"/>
        </w:rPr>
        <w:t xml:space="preserve">The collapse of Lehman Brothers and similar institutions exposed vulnerabilities in client money protection under regulatory trust frameworks. The </w:t>
      </w:r>
      <w:r w:rsidRPr="00E20375">
        <w:rPr>
          <w:rFonts w:ascii="Times New Roman" w:hAnsi="Times New Roman"/>
          <w:i/>
          <w:iCs/>
          <w:lang w:val="en-HK"/>
        </w:rPr>
        <w:t>Re Benjamin</w:t>
      </w:r>
      <w:r w:rsidRPr="00E20375">
        <w:rPr>
          <w:rFonts w:ascii="Times New Roman" w:hAnsi="Times New Roman"/>
          <w:lang w:val="en-HK"/>
        </w:rPr>
        <w:t xml:space="preserve"> jurisdiction, historically used for missing beneficiaries, found new relevance in managing the massive scale and complexity of insolvency proceedings (Briggs, </w:t>
      </w:r>
      <w:r w:rsidRPr="00E20375">
        <w:rPr>
          <w:rFonts w:ascii="Times New Roman" w:hAnsi="Times New Roman"/>
          <w:i/>
          <w:iCs/>
          <w:lang w:val="en-HK"/>
        </w:rPr>
        <w:t>Scope creep</w:t>
      </w:r>
      <w:r w:rsidRPr="00E20375">
        <w:rPr>
          <w:rFonts w:ascii="Times New Roman" w:hAnsi="Times New Roman"/>
          <w:lang w:val="en-HK"/>
        </w:rPr>
        <w:t>, 2019).</w:t>
      </w:r>
    </w:p>
    <w:p w14:paraId="4F6E5AC8"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lang w:val="en-HK"/>
        </w:rPr>
        <w:t>This section bridges the traditional scope (practical impossibility) with modern applications, where administrative efficiency often overshadows beneficiary rights.</w:t>
      </w:r>
    </w:p>
    <w:p w14:paraId="579D9C3F"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Statute: Client Assets Sourcebook (CASS), Rules 7.7.2 R and 7A</w:t>
      </w:r>
      <w:r w:rsidRPr="00E20375">
        <w:rPr>
          <w:rFonts w:ascii="Times New Roman" w:hAnsi="Times New Roman"/>
          <w:lang w:val="en-HK"/>
        </w:rPr>
        <w:t xml:space="preserve"> </w:t>
      </w:r>
    </w:p>
    <w:p w14:paraId="548004D0" w14:textId="77777777" w:rsidR="00E20375" w:rsidRPr="00E20375" w:rsidRDefault="00E20375" w:rsidP="00F763AA">
      <w:pPr>
        <w:numPr>
          <w:ilvl w:val="1"/>
          <w:numId w:val="4"/>
        </w:numPr>
        <w:spacing w:after="240" w:line="360" w:lineRule="auto"/>
        <w:rPr>
          <w:rFonts w:ascii="Times New Roman" w:hAnsi="Times New Roman"/>
          <w:lang w:val="en-HK"/>
        </w:rPr>
      </w:pPr>
      <w:r w:rsidRPr="00E20375">
        <w:rPr>
          <w:rFonts w:ascii="Times New Roman" w:hAnsi="Times New Roman"/>
          <w:i/>
          <w:iCs/>
          <w:lang w:val="en-HK"/>
        </w:rPr>
        <w:t>CASS 7.7.2 R</w:t>
      </w:r>
      <w:r w:rsidRPr="00E20375">
        <w:rPr>
          <w:rFonts w:ascii="Times New Roman" w:hAnsi="Times New Roman"/>
          <w:lang w:val="en-HK"/>
        </w:rPr>
        <w:t xml:space="preserve">: </w:t>
      </w:r>
    </w:p>
    <w:p w14:paraId="4E4576EE" w14:textId="77777777" w:rsidR="00E20375" w:rsidRPr="00E20375" w:rsidRDefault="00E20375" w:rsidP="00F763AA">
      <w:pPr>
        <w:numPr>
          <w:ilvl w:val="2"/>
          <w:numId w:val="4"/>
        </w:numPr>
        <w:spacing w:after="240" w:line="360" w:lineRule="auto"/>
        <w:rPr>
          <w:rFonts w:ascii="Times New Roman" w:hAnsi="Times New Roman"/>
          <w:lang w:val="en-HK"/>
        </w:rPr>
      </w:pPr>
      <w:r w:rsidRPr="00E20375">
        <w:rPr>
          <w:rFonts w:ascii="Times New Roman" w:hAnsi="Times New Roman"/>
          <w:i/>
          <w:iCs/>
          <w:lang w:val="en-HK"/>
        </w:rPr>
        <w:lastRenderedPageBreak/>
        <w:t>Text (Relevant Parts)</w:t>
      </w:r>
      <w:r w:rsidRPr="00E20375">
        <w:rPr>
          <w:rFonts w:ascii="Times New Roman" w:hAnsi="Times New Roman"/>
          <w:lang w:val="en-HK"/>
        </w:rPr>
        <w:t>: “A firm receives and holds client money as trustee ... on the following terms: (1) for the purposes of and on the terms of the client money rules and the client money distribution rules; (2) subject to (4) for the clients ... for whom that money is held, according to their respective interests in it; (4) for the payment of the costs properly attributable to the distribution of the client money ... following the failure of the firm; (5) after all valid claims and costs ... have been met, for the firm itself.”</w:t>
      </w:r>
    </w:p>
    <w:p w14:paraId="59F05A5B" w14:textId="77777777" w:rsidR="00E20375" w:rsidRPr="00E20375" w:rsidRDefault="00E20375" w:rsidP="00F763AA">
      <w:pPr>
        <w:numPr>
          <w:ilvl w:val="2"/>
          <w:numId w:val="4"/>
        </w:numPr>
        <w:spacing w:after="240" w:line="360" w:lineRule="auto"/>
        <w:rPr>
          <w:rFonts w:ascii="Times New Roman" w:hAnsi="Times New Roman"/>
          <w:lang w:val="en-HK"/>
        </w:rPr>
      </w:pPr>
      <w:r w:rsidRPr="00E20375">
        <w:rPr>
          <w:rFonts w:ascii="Times New Roman" w:hAnsi="Times New Roman"/>
          <w:i/>
          <w:iCs/>
          <w:lang w:val="en-HK"/>
        </w:rPr>
        <w:t>Purpose</w:t>
      </w:r>
      <w:r w:rsidRPr="00E20375">
        <w:rPr>
          <w:rFonts w:ascii="Times New Roman" w:hAnsi="Times New Roman"/>
          <w:lang w:val="en-HK"/>
        </w:rPr>
        <w:t>: Establishes a statutory trust over client money held by regulated firms (e.g., stockbrokers), prioritizing client interests, then distribution costs, with any surplus reverting to the firm.</w:t>
      </w:r>
    </w:p>
    <w:p w14:paraId="74C7435A" w14:textId="77777777" w:rsidR="00E20375" w:rsidRPr="00E20375" w:rsidRDefault="00E20375" w:rsidP="00F763AA">
      <w:pPr>
        <w:numPr>
          <w:ilvl w:val="1"/>
          <w:numId w:val="4"/>
        </w:numPr>
        <w:spacing w:after="240" w:line="360" w:lineRule="auto"/>
        <w:rPr>
          <w:rFonts w:ascii="Times New Roman" w:hAnsi="Times New Roman"/>
          <w:lang w:val="en-HK"/>
        </w:rPr>
      </w:pPr>
      <w:r w:rsidRPr="00E20375">
        <w:rPr>
          <w:rFonts w:ascii="Times New Roman" w:hAnsi="Times New Roman"/>
          <w:i/>
          <w:iCs/>
          <w:lang w:val="en-HK"/>
        </w:rPr>
        <w:t>CASS 7A (Client Money Distribution Rules)</w:t>
      </w:r>
      <w:r w:rsidRPr="00E20375">
        <w:rPr>
          <w:rFonts w:ascii="Times New Roman" w:hAnsi="Times New Roman"/>
          <w:lang w:val="en-HK"/>
        </w:rPr>
        <w:t xml:space="preserve">: </w:t>
      </w:r>
    </w:p>
    <w:p w14:paraId="1B6FBBEC" w14:textId="77777777" w:rsidR="00E20375" w:rsidRPr="00E20375" w:rsidRDefault="00E20375" w:rsidP="00F763AA">
      <w:pPr>
        <w:numPr>
          <w:ilvl w:val="2"/>
          <w:numId w:val="4"/>
        </w:numPr>
        <w:spacing w:after="240" w:line="360" w:lineRule="auto"/>
        <w:rPr>
          <w:rFonts w:ascii="Times New Roman" w:hAnsi="Times New Roman"/>
          <w:lang w:val="en-HK"/>
        </w:rPr>
      </w:pPr>
      <w:r w:rsidRPr="00E20375">
        <w:rPr>
          <w:rFonts w:ascii="Times New Roman" w:hAnsi="Times New Roman"/>
          <w:i/>
          <w:iCs/>
          <w:lang w:val="en-HK"/>
        </w:rPr>
        <w:t>Mechanism</w:t>
      </w:r>
      <w:r w:rsidRPr="00E20375">
        <w:rPr>
          <w:rFonts w:ascii="Times New Roman" w:hAnsi="Times New Roman"/>
          <w:lang w:val="en-HK"/>
        </w:rPr>
        <w:t>: Triggered by a firm’s failure (e.g., via a Financial Services Authority supervisory notice), client money is pooled, replacing individual entitlements with proportional claims on the pool. Trustees (or administrators) must distribute “so that each client receives a sum which is rateable to that client’s money entitlement” per CASS 7A.2.5R.</w:t>
      </w:r>
    </w:p>
    <w:p w14:paraId="288919B0" w14:textId="77777777" w:rsidR="00E20375" w:rsidRPr="00E20375" w:rsidRDefault="00E20375" w:rsidP="00F763AA">
      <w:pPr>
        <w:numPr>
          <w:ilvl w:val="2"/>
          <w:numId w:val="4"/>
        </w:numPr>
        <w:spacing w:after="240" w:line="360" w:lineRule="auto"/>
        <w:rPr>
          <w:rFonts w:ascii="Times New Roman" w:hAnsi="Times New Roman"/>
          <w:lang w:val="en-HK"/>
        </w:rPr>
      </w:pPr>
      <w:r w:rsidRPr="00E20375">
        <w:rPr>
          <w:rFonts w:ascii="Times New Roman" w:hAnsi="Times New Roman"/>
          <w:i/>
          <w:iCs/>
          <w:lang w:val="en-HK"/>
        </w:rPr>
        <w:t>Process</w:t>
      </w:r>
      <w:r w:rsidRPr="00E20375">
        <w:rPr>
          <w:rFonts w:ascii="Times New Roman" w:hAnsi="Times New Roman"/>
          <w:lang w:val="en-HK"/>
        </w:rPr>
        <w:t xml:space="preserve">: Upon insolvency, directors typically seek an investment bank special administration order under the </w:t>
      </w:r>
      <w:r w:rsidRPr="00E20375">
        <w:rPr>
          <w:rFonts w:ascii="Times New Roman" w:hAnsi="Times New Roman"/>
          <w:i/>
          <w:iCs/>
          <w:lang w:val="en-HK"/>
        </w:rPr>
        <w:t>Investment Bank Special Administration Regulations 2011</w:t>
      </w:r>
      <w:r w:rsidRPr="00E20375">
        <w:rPr>
          <w:rFonts w:ascii="Times New Roman" w:hAnsi="Times New Roman"/>
          <w:lang w:val="en-HK"/>
        </w:rPr>
        <w:t>, appointing administrators to execute this distribution.</w:t>
      </w:r>
    </w:p>
    <w:p w14:paraId="2EAB3D52" w14:textId="77777777" w:rsidR="00E20375" w:rsidRPr="00E20375" w:rsidRDefault="00E20375" w:rsidP="00F763AA">
      <w:pPr>
        <w:numPr>
          <w:ilvl w:val="1"/>
          <w:numId w:val="4"/>
        </w:numPr>
        <w:spacing w:after="240" w:line="360" w:lineRule="auto"/>
        <w:rPr>
          <w:rFonts w:ascii="Times New Roman" w:hAnsi="Times New Roman"/>
          <w:lang w:val="en-HK"/>
        </w:rPr>
      </w:pPr>
      <w:r w:rsidRPr="00E20375">
        <w:rPr>
          <w:rFonts w:ascii="Times New Roman" w:hAnsi="Times New Roman"/>
          <w:i/>
          <w:iCs/>
          <w:lang w:val="en-HK"/>
        </w:rPr>
        <w:t>Significance</w:t>
      </w:r>
      <w:r w:rsidRPr="00E20375">
        <w:rPr>
          <w:rFonts w:ascii="Times New Roman" w:hAnsi="Times New Roman"/>
          <w:lang w:val="en-HK"/>
        </w:rPr>
        <w:t xml:space="preserve">: The trust structure aims to protect client funds, but insolvency disrupts this, necessitating practical solutions like </w:t>
      </w:r>
      <w:r w:rsidRPr="00E20375">
        <w:rPr>
          <w:rFonts w:ascii="Times New Roman" w:hAnsi="Times New Roman"/>
          <w:i/>
          <w:iCs/>
          <w:lang w:val="en-HK"/>
        </w:rPr>
        <w:t>Benjamin</w:t>
      </w:r>
      <w:r w:rsidRPr="00E20375">
        <w:rPr>
          <w:rFonts w:ascii="Times New Roman" w:hAnsi="Times New Roman"/>
          <w:lang w:val="en-HK"/>
        </w:rPr>
        <w:t>-style orders.</w:t>
      </w:r>
    </w:p>
    <w:p w14:paraId="7A5C3818" w14:textId="77777777" w:rsidR="00E20375" w:rsidRPr="00E20375" w:rsidRDefault="00E20375" w:rsidP="00F763AA">
      <w:pPr>
        <w:numPr>
          <w:ilvl w:val="0"/>
          <w:numId w:val="5"/>
        </w:numPr>
        <w:spacing w:after="240" w:line="360" w:lineRule="auto"/>
        <w:rPr>
          <w:rFonts w:ascii="Times New Roman" w:hAnsi="Times New Roman"/>
          <w:lang w:val="en-HK"/>
        </w:rPr>
      </w:pPr>
      <w:r w:rsidRPr="00E20375">
        <w:rPr>
          <w:rFonts w:ascii="Times New Roman" w:hAnsi="Times New Roman"/>
          <w:b/>
          <w:bCs/>
          <w:lang w:val="en-HK"/>
        </w:rPr>
        <w:t>Case Law: Lehman Brothers International (Europe) (In Administration) [2009] EWHC 3228 (Ch)</w:t>
      </w:r>
      <w:r w:rsidRPr="00E20375">
        <w:rPr>
          <w:rFonts w:ascii="Times New Roman" w:hAnsi="Times New Roman"/>
          <w:lang w:val="en-HK"/>
        </w:rPr>
        <w:t xml:space="preserve"> </w:t>
      </w:r>
    </w:p>
    <w:p w14:paraId="3EE0F199"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Lehman Brothers’ collapse left a client money pool of $2.16 billion against claims exceeding $3 billion. Administrators grappled with identifying and distributing funds under CASS rules amidst unprecedented complexity—numerous clients, global transactions, and incomplete records.</w:t>
      </w:r>
    </w:p>
    <w:p w14:paraId="56A13E3E"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Held</w:t>
      </w:r>
      <w:r w:rsidRPr="00E20375">
        <w:rPr>
          <w:rFonts w:ascii="Times New Roman" w:hAnsi="Times New Roman"/>
          <w:lang w:val="en-HK"/>
        </w:rPr>
        <w:t>: Briggs J described the CASS scheme’s objectives but acknowledged its failure to deliver full recovery.</w:t>
      </w:r>
    </w:p>
    <w:p w14:paraId="02DDAB31"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lastRenderedPageBreak/>
        <w:t>Reasoning</w:t>
      </w:r>
      <w:r w:rsidRPr="00E20375">
        <w:rPr>
          <w:rFonts w:ascii="Times New Roman" w:hAnsi="Times New Roman"/>
          <w:lang w:val="en-HK"/>
        </w:rPr>
        <w:t xml:space="preserve">: In an “ideal world,” CASS ensures client money remains separate and fully recoverable. However, Lehman’s “imperfect and hugely complex real world” led to a “spectacular” shortfall. The court did not issue a </w:t>
      </w:r>
      <w:r w:rsidRPr="00E20375">
        <w:rPr>
          <w:rFonts w:ascii="Times New Roman" w:hAnsi="Times New Roman"/>
          <w:i/>
          <w:iCs/>
          <w:lang w:val="en-HK"/>
        </w:rPr>
        <w:t>Benjamin</w:t>
      </w:r>
      <w:r w:rsidRPr="00E20375">
        <w:rPr>
          <w:rFonts w:ascii="Times New Roman" w:hAnsi="Times New Roman"/>
          <w:lang w:val="en-HK"/>
        </w:rPr>
        <w:t xml:space="preserve"> order here but highlighted the need for practical mechanisms to address such scale, setting the stage for later judicial encouragement.</w:t>
      </w:r>
    </w:p>
    <w:p w14:paraId="0CFD220A"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Context</w:t>
      </w:r>
      <w:r w:rsidRPr="00E20375">
        <w:rPr>
          <w:rFonts w:ascii="Times New Roman" w:hAnsi="Times New Roman"/>
          <w:lang w:val="en-HK"/>
        </w:rPr>
        <w:t>: The case exemplifies the mismatch between regulatory intent and insolvency reality, prompting adaptations of equitable tools.</w:t>
      </w:r>
    </w:p>
    <w:p w14:paraId="32E64DF1" w14:textId="77777777" w:rsidR="00E20375" w:rsidRPr="00F763AA" w:rsidRDefault="00E20375" w:rsidP="00F763AA">
      <w:pPr>
        <w:numPr>
          <w:ilvl w:val="0"/>
          <w:numId w:val="5"/>
        </w:numPr>
        <w:spacing w:after="240" w:line="360" w:lineRule="auto"/>
        <w:rPr>
          <w:rFonts w:ascii="Times New Roman" w:hAnsi="Times New Roman"/>
          <w:lang w:val="en-HK"/>
        </w:rPr>
      </w:pPr>
      <w:r w:rsidRPr="00E20375">
        <w:rPr>
          <w:rFonts w:ascii="Times New Roman" w:hAnsi="Times New Roman"/>
          <w:b/>
          <w:bCs/>
          <w:lang w:val="en-HK"/>
        </w:rPr>
        <w:t xml:space="preserve">Case Law: Re </w:t>
      </w:r>
      <w:proofErr w:type="spellStart"/>
      <w:r w:rsidRPr="00E20375">
        <w:rPr>
          <w:rFonts w:ascii="Times New Roman" w:hAnsi="Times New Roman"/>
          <w:b/>
          <w:bCs/>
          <w:lang w:val="en-HK"/>
        </w:rPr>
        <w:t>Worldspreads</w:t>
      </w:r>
      <w:proofErr w:type="spellEnd"/>
      <w:r w:rsidRPr="00E20375">
        <w:rPr>
          <w:rFonts w:ascii="Times New Roman" w:hAnsi="Times New Roman"/>
          <w:b/>
          <w:bCs/>
          <w:lang w:val="en-HK"/>
        </w:rPr>
        <w:t xml:space="preserve"> Ltd [2015] EWHC 1719 (Ch)</w:t>
      </w:r>
      <w:r w:rsidRPr="00E20375">
        <w:rPr>
          <w:rFonts w:ascii="Times New Roman" w:hAnsi="Times New Roman"/>
          <w:lang w:val="en-HK"/>
        </w:rPr>
        <w:t xml:space="preserve"> </w:t>
      </w:r>
    </w:p>
    <w:p w14:paraId="063494F0"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xml:space="preserve">: </w:t>
      </w:r>
      <w:proofErr w:type="spellStart"/>
      <w:r w:rsidRPr="00E20375">
        <w:rPr>
          <w:rFonts w:ascii="Times New Roman" w:hAnsi="Times New Roman"/>
          <w:lang w:val="en-HK"/>
        </w:rPr>
        <w:t>Worldspreads</w:t>
      </w:r>
      <w:proofErr w:type="spellEnd"/>
      <w:r w:rsidRPr="00E20375">
        <w:rPr>
          <w:rFonts w:ascii="Times New Roman" w:hAnsi="Times New Roman"/>
          <w:lang w:val="en-HK"/>
        </w:rPr>
        <w:t>’ insolvency yielded a pooled fund anticipated to distribute 10.3 pence per pound to clients. Administrators faced challenges with unclaimed or disputed entitlements, compounded by the fund’s depletion.</w:t>
      </w:r>
    </w:p>
    <w:p w14:paraId="1DD3E90A"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Held</w:t>
      </w:r>
      <w:r w:rsidRPr="00E20375">
        <w:rPr>
          <w:rFonts w:ascii="Times New Roman" w:hAnsi="Times New Roman"/>
          <w:lang w:val="en-HK"/>
        </w:rPr>
        <w:t>: The court authorized distribution despite incomplete resolution of claims.</w:t>
      </w:r>
    </w:p>
    <w:p w14:paraId="0C786345"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Reasoning</w:t>
      </w:r>
      <w:r w:rsidRPr="00E20375">
        <w:rPr>
          <w:rFonts w:ascii="Times New Roman" w:hAnsi="Times New Roman"/>
          <w:lang w:val="en-HK"/>
        </w:rPr>
        <w:t xml:space="preserve">: The low recovery rate and administrative burden justified proceeding without full claimant participation. While not explicitly a </w:t>
      </w:r>
      <w:r w:rsidRPr="00E20375">
        <w:rPr>
          <w:rFonts w:ascii="Times New Roman" w:hAnsi="Times New Roman"/>
          <w:i/>
          <w:iCs/>
          <w:lang w:val="en-HK"/>
        </w:rPr>
        <w:t>Benjamin</w:t>
      </w:r>
      <w:r w:rsidRPr="00E20375">
        <w:rPr>
          <w:rFonts w:ascii="Times New Roman" w:hAnsi="Times New Roman"/>
          <w:lang w:val="en-HK"/>
        </w:rPr>
        <w:t xml:space="preserve"> order, the approach mirrored its practicality focus—distributing available funds rather than delaying for exhaustive verification.</w:t>
      </w:r>
    </w:p>
    <w:p w14:paraId="70DC9969" w14:textId="44E125EA"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Implication</w:t>
      </w:r>
      <w:r w:rsidRPr="00E20375">
        <w:rPr>
          <w:rFonts w:ascii="Times New Roman" w:hAnsi="Times New Roman"/>
          <w:lang w:val="en-HK"/>
        </w:rPr>
        <w:t>: Scale and diminished returns pushed courts toward expediency, foreshadowing broader jurisdictional use.</w:t>
      </w:r>
    </w:p>
    <w:p w14:paraId="7CC30911" w14:textId="77777777" w:rsidR="00E20375" w:rsidRPr="00F763AA" w:rsidRDefault="00E20375" w:rsidP="00F763AA">
      <w:pPr>
        <w:numPr>
          <w:ilvl w:val="0"/>
          <w:numId w:val="5"/>
        </w:numPr>
        <w:spacing w:after="240" w:line="360" w:lineRule="auto"/>
        <w:rPr>
          <w:rFonts w:ascii="Times New Roman" w:hAnsi="Times New Roman"/>
          <w:lang w:val="en-HK"/>
        </w:rPr>
      </w:pPr>
      <w:r w:rsidRPr="00E20375">
        <w:rPr>
          <w:rFonts w:ascii="Times New Roman" w:hAnsi="Times New Roman"/>
          <w:b/>
          <w:bCs/>
          <w:lang w:val="en-HK"/>
        </w:rPr>
        <w:t>Case Law: Re Pritchard Stockbrokers [2019] EWHC 137 (Ch)</w:t>
      </w:r>
      <w:r w:rsidRPr="00E20375">
        <w:rPr>
          <w:rFonts w:ascii="Times New Roman" w:hAnsi="Times New Roman"/>
          <w:lang w:val="en-HK"/>
        </w:rPr>
        <w:t xml:space="preserve"> </w:t>
      </w:r>
    </w:p>
    <w:p w14:paraId="71A08C32"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Following insolvency, 1,839 of 4,000+ clients held claims of £1 or less, with many unresponsive or disputed. Administrators sought to distribute the pool, proposing a de minimis threshold to exclude trivial claims.</w:t>
      </w:r>
    </w:p>
    <w:p w14:paraId="563733F3"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Held</w:t>
      </w:r>
      <w:r w:rsidRPr="00E20375">
        <w:rPr>
          <w:rFonts w:ascii="Times New Roman" w:hAnsi="Times New Roman"/>
          <w:lang w:val="en-HK"/>
        </w:rPr>
        <w:t xml:space="preserve">: Norris J approved a modified distribution (detailed later), incorporating </w:t>
      </w:r>
      <w:r w:rsidRPr="00E20375">
        <w:rPr>
          <w:rFonts w:ascii="Times New Roman" w:hAnsi="Times New Roman"/>
          <w:i/>
          <w:iCs/>
          <w:lang w:val="en-HK"/>
        </w:rPr>
        <w:t>Benjamin</w:t>
      </w:r>
      <w:r w:rsidRPr="00E20375">
        <w:rPr>
          <w:rFonts w:ascii="Times New Roman" w:hAnsi="Times New Roman"/>
          <w:lang w:val="en-HK"/>
        </w:rPr>
        <w:t>-style principles and statutory variations.</w:t>
      </w:r>
    </w:p>
    <w:p w14:paraId="38BA0372"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Reasoning</w:t>
      </w:r>
      <w:r w:rsidRPr="00E20375">
        <w:rPr>
          <w:rFonts w:ascii="Times New Roman" w:hAnsi="Times New Roman"/>
          <w:lang w:val="en-HK"/>
        </w:rPr>
        <w:t>: The sheer number of low-value claims (22% by number, 3% by value) made individual pursuit disproportionate. The court balanced cost-efficiency with finality, adapting equitable tools to insolvency’s unique demands.</w:t>
      </w:r>
    </w:p>
    <w:p w14:paraId="1A81CD0D" w14:textId="4F5CDDE9"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lastRenderedPageBreak/>
        <w:t>Significance</w:t>
      </w:r>
      <w:r w:rsidRPr="00E20375">
        <w:rPr>
          <w:rFonts w:ascii="Times New Roman" w:hAnsi="Times New Roman"/>
          <w:lang w:val="en-HK"/>
        </w:rPr>
        <w:t xml:space="preserve">: This case exemplifies administrative difficulties—unresponsive clients and negligible claims—driving </w:t>
      </w:r>
      <w:r w:rsidRPr="00E20375">
        <w:rPr>
          <w:rFonts w:ascii="Times New Roman" w:hAnsi="Times New Roman"/>
          <w:i/>
          <w:iCs/>
          <w:lang w:val="en-HK"/>
        </w:rPr>
        <w:t>Benjamin</w:t>
      </w:r>
      <w:r w:rsidRPr="00E20375">
        <w:rPr>
          <w:rFonts w:ascii="Times New Roman" w:hAnsi="Times New Roman"/>
          <w:lang w:val="en-HK"/>
        </w:rPr>
        <w:t>’s revival.</w:t>
      </w:r>
    </w:p>
    <w:p w14:paraId="4DEF85E1" w14:textId="77777777" w:rsidR="00E20375" w:rsidRPr="00F763AA" w:rsidRDefault="00E20375" w:rsidP="00F763AA">
      <w:pPr>
        <w:numPr>
          <w:ilvl w:val="0"/>
          <w:numId w:val="5"/>
        </w:numPr>
        <w:spacing w:after="240" w:line="360" w:lineRule="auto"/>
        <w:rPr>
          <w:rFonts w:ascii="Times New Roman" w:hAnsi="Times New Roman"/>
          <w:lang w:val="en-HK"/>
        </w:rPr>
      </w:pPr>
      <w:r w:rsidRPr="00E20375">
        <w:rPr>
          <w:rFonts w:ascii="Times New Roman" w:hAnsi="Times New Roman"/>
          <w:b/>
          <w:bCs/>
          <w:lang w:val="en-HK"/>
        </w:rPr>
        <w:t>Case Law: In re Lehman Bros International (Europe) (No 2) [2010] Bus LR 489</w:t>
      </w:r>
      <w:r w:rsidRPr="00E20375">
        <w:rPr>
          <w:rFonts w:ascii="Times New Roman" w:hAnsi="Times New Roman"/>
          <w:lang w:val="en-HK"/>
        </w:rPr>
        <w:t xml:space="preserve"> </w:t>
      </w:r>
    </w:p>
    <w:p w14:paraId="415959A8"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xml:space="preserve">: Administrators proposed a scheme of arrangement to streamline proprietary claims under the </w:t>
      </w:r>
      <w:r w:rsidRPr="00E20375">
        <w:rPr>
          <w:rFonts w:ascii="Times New Roman" w:hAnsi="Times New Roman"/>
          <w:i/>
          <w:iCs/>
          <w:lang w:val="en-HK"/>
        </w:rPr>
        <w:t>Insolvency Act 1986</w:t>
      </w:r>
      <w:r w:rsidRPr="00E20375">
        <w:rPr>
          <w:rFonts w:ascii="Times New Roman" w:hAnsi="Times New Roman"/>
          <w:lang w:val="en-HK"/>
        </w:rPr>
        <w:t>. Clients and regulators contested its applicability to trust assets.</w:t>
      </w:r>
    </w:p>
    <w:p w14:paraId="61ED5330"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Held</w:t>
      </w:r>
      <w:r w:rsidRPr="00E20375">
        <w:rPr>
          <w:rFonts w:ascii="Times New Roman" w:hAnsi="Times New Roman"/>
          <w:lang w:val="en-HK"/>
        </w:rPr>
        <w:t xml:space="preserve">: Lord Neuberger MR rejected the scheme but encouraged </w:t>
      </w:r>
      <w:r w:rsidRPr="00E20375">
        <w:rPr>
          <w:rFonts w:ascii="Times New Roman" w:hAnsi="Times New Roman"/>
          <w:i/>
          <w:iCs/>
          <w:lang w:val="en-HK"/>
        </w:rPr>
        <w:t>Benjamin</w:t>
      </w:r>
      <w:r w:rsidRPr="00E20375">
        <w:rPr>
          <w:rFonts w:ascii="Times New Roman" w:hAnsi="Times New Roman"/>
          <w:lang w:val="en-HK"/>
        </w:rPr>
        <w:t>-style solutions.</w:t>
      </w:r>
    </w:p>
    <w:p w14:paraId="02C0B2C1"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Reasoning</w:t>
      </w:r>
      <w:r w:rsidRPr="00E20375">
        <w:rPr>
          <w:rFonts w:ascii="Times New Roman" w:hAnsi="Times New Roman"/>
          <w:lang w:val="en-HK"/>
        </w:rPr>
        <w:t xml:space="preserve">: Schemes of arrangement suit creditors, not proprietary claimants with trust interests, as they cannot consensually alter equitable rights. However, Neuberger urged courts to assist administrators via the </w:t>
      </w:r>
      <w:r w:rsidRPr="00E20375">
        <w:rPr>
          <w:rFonts w:ascii="Times New Roman" w:hAnsi="Times New Roman"/>
          <w:i/>
          <w:iCs/>
          <w:lang w:val="en-HK"/>
        </w:rPr>
        <w:t>Trustee Acts</w:t>
      </w:r>
      <w:r w:rsidRPr="00E20375">
        <w:rPr>
          <w:rFonts w:ascii="Times New Roman" w:hAnsi="Times New Roman"/>
          <w:lang w:val="en-HK"/>
        </w:rPr>
        <w:t xml:space="preserve"> or inherent equitable jurisdiction, aiming for “a practical and fair outcome” with minimal delay and cost. This judicial nudge </w:t>
      </w:r>
      <w:proofErr w:type="spellStart"/>
      <w:r w:rsidRPr="00E20375">
        <w:rPr>
          <w:rFonts w:ascii="Times New Roman" w:hAnsi="Times New Roman"/>
          <w:lang w:val="en-HK"/>
        </w:rPr>
        <w:t>catalyzed</w:t>
      </w:r>
      <w:proofErr w:type="spellEnd"/>
      <w:r w:rsidRPr="00E20375">
        <w:rPr>
          <w:rFonts w:ascii="Times New Roman" w:hAnsi="Times New Roman"/>
          <w:lang w:val="en-HK"/>
        </w:rPr>
        <w:t xml:space="preserve"> later cases like </w:t>
      </w:r>
      <w:r w:rsidRPr="00E20375">
        <w:rPr>
          <w:rFonts w:ascii="Times New Roman" w:hAnsi="Times New Roman"/>
          <w:i/>
          <w:iCs/>
          <w:lang w:val="en-HK"/>
        </w:rPr>
        <w:t>MF Global</w:t>
      </w:r>
      <w:r w:rsidRPr="00E20375">
        <w:rPr>
          <w:rFonts w:ascii="Times New Roman" w:hAnsi="Times New Roman"/>
          <w:lang w:val="en-HK"/>
        </w:rPr>
        <w:t>.</w:t>
      </w:r>
    </w:p>
    <w:p w14:paraId="4953932E" w14:textId="73258DE0"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Impact</w:t>
      </w:r>
      <w:r w:rsidRPr="00E20375">
        <w:rPr>
          <w:rFonts w:ascii="Times New Roman" w:hAnsi="Times New Roman"/>
          <w:lang w:val="en-HK"/>
        </w:rPr>
        <w:t xml:space="preserve">: The ruling shifted focus to </w:t>
      </w:r>
      <w:r w:rsidRPr="00E20375">
        <w:rPr>
          <w:rFonts w:ascii="Times New Roman" w:hAnsi="Times New Roman"/>
          <w:i/>
          <w:iCs/>
          <w:lang w:val="en-HK"/>
        </w:rPr>
        <w:t>Benjamin</w:t>
      </w:r>
      <w:r w:rsidRPr="00E20375">
        <w:rPr>
          <w:rFonts w:ascii="Times New Roman" w:hAnsi="Times New Roman"/>
          <w:lang w:val="en-HK"/>
        </w:rPr>
        <w:t xml:space="preserve"> as a viable tool, despite its traditional limits, </w:t>
      </w:r>
      <w:proofErr w:type="spellStart"/>
      <w:r w:rsidRPr="00E20375">
        <w:rPr>
          <w:rFonts w:ascii="Times New Roman" w:hAnsi="Times New Roman"/>
          <w:lang w:val="en-HK"/>
        </w:rPr>
        <w:t>signaling</w:t>
      </w:r>
      <w:proofErr w:type="spellEnd"/>
      <w:r w:rsidRPr="00E20375">
        <w:rPr>
          <w:rFonts w:ascii="Times New Roman" w:hAnsi="Times New Roman"/>
          <w:lang w:val="en-HK"/>
        </w:rPr>
        <w:t xml:space="preserve"> judicial willingness to adapt.</w:t>
      </w:r>
    </w:p>
    <w:p w14:paraId="372AC2AF"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b/>
          <w:bCs/>
          <w:lang w:val="en-HK"/>
        </w:rPr>
        <w:t>Administrative Challenges</w:t>
      </w:r>
      <w:r w:rsidRPr="00E20375">
        <w:rPr>
          <w:rFonts w:ascii="Times New Roman" w:hAnsi="Times New Roman"/>
          <w:lang w:val="en-HK"/>
        </w:rPr>
        <w:t xml:space="preserve">: </w:t>
      </w:r>
    </w:p>
    <w:p w14:paraId="54620FFA" w14:textId="781E22D2"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Scale</w:t>
      </w:r>
      <w:r w:rsidRPr="00E20375">
        <w:rPr>
          <w:rFonts w:ascii="Times New Roman" w:hAnsi="Times New Roman"/>
          <w:lang w:val="en-HK"/>
        </w:rPr>
        <w:t>: Lehman’s $3 billion in claims versus $2.16 billion illustrates the magnitude, dwarfing typical trust estates and straining identification processes.</w:t>
      </w:r>
    </w:p>
    <w:p w14:paraId="510BD4BE"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Specific Issues</w:t>
      </w:r>
      <w:r w:rsidRPr="00E20375">
        <w:rPr>
          <w:rFonts w:ascii="Times New Roman" w:hAnsi="Times New Roman"/>
          <w:lang w:val="en-HK"/>
        </w:rPr>
        <w:t xml:space="preserve">: </w:t>
      </w:r>
    </w:p>
    <w:p w14:paraId="4DED5E94"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Rejected Claims</w:t>
      </w:r>
      <w:r w:rsidRPr="00E20375">
        <w:rPr>
          <w:rFonts w:ascii="Times New Roman" w:hAnsi="Times New Roman"/>
          <w:lang w:val="en-HK"/>
        </w:rPr>
        <w:t>: Clients whose claims are denied (fully or partly) but who have not sued pose a dilemma—reserving funds delays distribution, yet proceeding risks excluding valid interests.</w:t>
      </w:r>
    </w:p>
    <w:p w14:paraId="265240A3"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Non-Responders</w:t>
      </w:r>
      <w:r w:rsidRPr="00E20375">
        <w:rPr>
          <w:rFonts w:ascii="Times New Roman" w:hAnsi="Times New Roman"/>
          <w:lang w:val="en-HK"/>
        </w:rPr>
        <w:t xml:space="preserve">: Clients ignoring claim invitations (e.g., 1,839 in </w:t>
      </w:r>
      <w:r w:rsidRPr="00E20375">
        <w:rPr>
          <w:rFonts w:ascii="Times New Roman" w:hAnsi="Times New Roman"/>
          <w:i/>
          <w:iCs/>
          <w:lang w:val="en-HK"/>
        </w:rPr>
        <w:t>Pritchard</w:t>
      </w:r>
      <w:r w:rsidRPr="00E20375">
        <w:rPr>
          <w:rFonts w:ascii="Times New Roman" w:hAnsi="Times New Roman"/>
          <w:lang w:val="en-HK"/>
        </w:rPr>
        <w:t>) complicate allocation, as tracing is costly and often futile for small sums.</w:t>
      </w:r>
    </w:p>
    <w:p w14:paraId="3C868422"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Disproportionality</w:t>
      </w:r>
      <w:r w:rsidRPr="00E20375">
        <w:rPr>
          <w:rFonts w:ascii="Times New Roman" w:hAnsi="Times New Roman"/>
          <w:lang w:val="en-HK"/>
        </w:rPr>
        <w:t>: Pursuing tiny claims (e.g., £1 or less) individually depletes the pool via administrative costs, justifying bulk solutions.</w:t>
      </w:r>
    </w:p>
    <w:p w14:paraId="2AD1D61B"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b/>
          <w:bCs/>
          <w:lang w:val="en-HK"/>
        </w:rPr>
        <w:t>Scholar’s Opinion</w:t>
      </w:r>
      <w:r w:rsidRPr="00E20375">
        <w:rPr>
          <w:rFonts w:ascii="Times New Roman" w:hAnsi="Times New Roman"/>
          <w:lang w:val="en-HK"/>
        </w:rPr>
        <w:t xml:space="preserve">: </w:t>
      </w:r>
    </w:p>
    <w:p w14:paraId="69E1CB21" w14:textId="7E1FF39D" w:rsidR="00E20375" w:rsidRPr="00E20375" w:rsidRDefault="00E20375" w:rsidP="00F763AA">
      <w:pPr>
        <w:spacing w:after="240" w:line="360" w:lineRule="auto"/>
        <w:rPr>
          <w:rFonts w:ascii="Times New Roman" w:hAnsi="Times New Roman"/>
          <w:lang w:val="en-HK"/>
        </w:rPr>
      </w:pPr>
      <w:r w:rsidRPr="00E20375">
        <w:rPr>
          <w:rFonts w:ascii="Times New Roman" w:hAnsi="Times New Roman"/>
          <w:lang w:val="en-HK"/>
        </w:rPr>
        <w:lastRenderedPageBreak/>
        <w:t xml:space="preserve">Briggs notes that </w:t>
      </w:r>
      <w:r w:rsidRPr="00E20375">
        <w:rPr>
          <w:rFonts w:ascii="Times New Roman" w:hAnsi="Times New Roman"/>
          <w:i/>
          <w:iCs/>
          <w:lang w:val="en-HK"/>
        </w:rPr>
        <w:t>Benjamin</w:t>
      </w:r>
      <w:r w:rsidRPr="00E20375">
        <w:rPr>
          <w:rFonts w:ascii="Times New Roman" w:hAnsi="Times New Roman"/>
          <w:lang w:val="en-HK"/>
        </w:rPr>
        <w:t xml:space="preserve">’s “increasingly obscure corner” gained prominence post-Lehman, as insolvency’s “spectacular scale” demanded pragmatic relief (Briggs, </w:t>
      </w:r>
      <w:r w:rsidRPr="00E20375">
        <w:rPr>
          <w:rFonts w:ascii="Times New Roman" w:hAnsi="Times New Roman"/>
          <w:i/>
          <w:iCs/>
          <w:lang w:val="en-HK"/>
        </w:rPr>
        <w:t>Scope creep</w:t>
      </w:r>
      <w:r w:rsidRPr="00E20375">
        <w:rPr>
          <w:rFonts w:ascii="Times New Roman" w:hAnsi="Times New Roman"/>
          <w:lang w:val="en-HK"/>
        </w:rPr>
        <w:t xml:space="preserve">, 2019). He critiques this as “uneasy” with </w:t>
      </w:r>
      <w:r w:rsidRPr="00E20375">
        <w:rPr>
          <w:rFonts w:ascii="Times New Roman" w:hAnsi="Times New Roman"/>
          <w:i/>
          <w:iCs/>
          <w:lang w:val="en-HK"/>
        </w:rPr>
        <w:t>Benjamin</w:t>
      </w:r>
      <w:r w:rsidRPr="00E20375">
        <w:rPr>
          <w:rFonts w:ascii="Times New Roman" w:hAnsi="Times New Roman"/>
          <w:lang w:val="en-HK"/>
        </w:rPr>
        <w:t>’s roots, traditionally avoiding “dealing with beneficiaries’ rights” directly, unlike Neuberger’s vision.</w:t>
      </w:r>
    </w:p>
    <w:p w14:paraId="590CD742"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b/>
          <w:bCs/>
          <w:lang w:val="en-HK"/>
        </w:rPr>
        <w:t>Analysis</w:t>
      </w:r>
      <w:r w:rsidRPr="00E20375">
        <w:rPr>
          <w:rFonts w:ascii="Times New Roman" w:hAnsi="Times New Roman"/>
          <w:lang w:val="en-HK"/>
        </w:rPr>
        <w:t xml:space="preserve">: </w:t>
      </w:r>
    </w:p>
    <w:p w14:paraId="3D8C5E05"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Traditional Departure</w:t>
      </w:r>
      <w:r w:rsidRPr="00E20375">
        <w:rPr>
          <w:rFonts w:ascii="Times New Roman" w:hAnsi="Times New Roman"/>
          <w:lang w:val="en-HK"/>
        </w:rPr>
        <w:t xml:space="preserve">: </w:t>
      </w:r>
      <w:r w:rsidRPr="00E20375">
        <w:rPr>
          <w:rFonts w:ascii="Times New Roman" w:hAnsi="Times New Roman"/>
          <w:i/>
          <w:iCs/>
          <w:lang w:val="en-HK"/>
        </w:rPr>
        <w:t>Benjamin</w:t>
      </w:r>
      <w:r w:rsidRPr="00E20375">
        <w:rPr>
          <w:rFonts w:ascii="Times New Roman" w:hAnsi="Times New Roman"/>
          <w:lang w:val="en-HK"/>
        </w:rPr>
        <w:t xml:space="preserve"> historically addressed missing beneficiaries (e.g., </w:t>
      </w:r>
      <w:r w:rsidRPr="00E20375">
        <w:rPr>
          <w:rFonts w:ascii="Times New Roman" w:hAnsi="Times New Roman"/>
          <w:i/>
          <w:iCs/>
          <w:lang w:val="en-HK"/>
        </w:rPr>
        <w:t>Re Benjamin [1902] 1 Ch 723</w:t>
      </w:r>
      <w:r w:rsidRPr="00E20375">
        <w:rPr>
          <w:rFonts w:ascii="Times New Roman" w:hAnsi="Times New Roman"/>
          <w:lang w:val="en-HK"/>
        </w:rPr>
        <w:t>), not disputed or unresponsive claimants. Insolvency cases stretch it to authorize distributions despite known issues, a “scope creep” Briggs finds troubling.</w:t>
      </w:r>
    </w:p>
    <w:p w14:paraId="3E633AE2"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i/>
          <w:iCs/>
          <w:lang w:val="en-HK"/>
        </w:rPr>
        <w:t>CASS Framework</w:t>
      </w:r>
      <w:r w:rsidRPr="00E20375">
        <w:rPr>
          <w:rFonts w:ascii="Times New Roman" w:hAnsi="Times New Roman"/>
          <w:lang w:val="en-HK"/>
        </w:rPr>
        <w:t>: The trust structure aims to segregate client funds, but pooling on failure transforms entitlements into proportional claims, necessitating equitable intervention when full recovery fails.</w:t>
      </w:r>
    </w:p>
    <w:p w14:paraId="74CE5296" w14:textId="083D9AAB"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Judicial Encouragement</w:t>
      </w:r>
      <w:r w:rsidRPr="00E20375">
        <w:rPr>
          <w:rFonts w:ascii="Times New Roman" w:hAnsi="Times New Roman"/>
          <w:lang w:val="en-HK"/>
        </w:rPr>
        <w:t xml:space="preserve">: Neuberger’s call for “effective assistance” in </w:t>
      </w:r>
      <w:r w:rsidRPr="00E20375">
        <w:rPr>
          <w:rFonts w:ascii="Times New Roman" w:hAnsi="Times New Roman"/>
          <w:i/>
          <w:iCs/>
          <w:lang w:val="en-HK"/>
        </w:rPr>
        <w:t>Lehman (No 2)</w:t>
      </w:r>
      <w:r w:rsidRPr="00E20375">
        <w:rPr>
          <w:rFonts w:ascii="Times New Roman" w:hAnsi="Times New Roman"/>
          <w:lang w:val="en-HK"/>
        </w:rPr>
        <w:t xml:space="preserve"> reflects pragmatism, but Briggs warns it risks prioritizing efficiency over principle, a tension explored in later sections.</w:t>
      </w:r>
    </w:p>
    <w:p w14:paraId="2A433B8F"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b/>
          <w:bCs/>
          <w:lang w:val="en-HK"/>
        </w:rPr>
        <w:t>Conclusion</w:t>
      </w:r>
      <w:r w:rsidRPr="00E20375">
        <w:rPr>
          <w:rFonts w:ascii="Times New Roman" w:hAnsi="Times New Roman"/>
          <w:lang w:val="en-HK"/>
        </w:rPr>
        <w:t xml:space="preserve">: This section illustrates how insolvency’s complexity—exemplified by Lehman, </w:t>
      </w:r>
      <w:proofErr w:type="spellStart"/>
      <w:r w:rsidRPr="00E20375">
        <w:rPr>
          <w:rFonts w:ascii="Times New Roman" w:hAnsi="Times New Roman"/>
          <w:lang w:val="en-HK"/>
        </w:rPr>
        <w:t>Worldspreads</w:t>
      </w:r>
      <w:proofErr w:type="spellEnd"/>
      <w:r w:rsidRPr="00E20375">
        <w:rPr>
          <w:rFonts w:ascii="Times New Roman" w:hAnsi="Times New Roman"/>
          <w:lang w:val="en-HK"/>
        </w:rPr>
        <w:t xml:space="preserve">, and Pritchard—revived </w:t>
      </w:r>
      <w:r w:rsidRPr="00E20375">
        <w:rPr>
          <w:rFonts w:ascii="Times New Roman" w:hAnsi="Times New Roman"/>
          <w:i/>
          <w:iCs/>
          <w:lang w:val="en-HK"/>
        </w:rPr>
        <w:t>Benjamin</w:t>
      </w:r>
      <w:r w:rsidRPr="00E20375">
        <w:rPr>
          <w:rFonts w:ascii="Times New Roman" w:hAnsi="Times New Roman"/>
          <w:lang w:val="en-HK"/>
        </w:rPr>
        <w:t>, adapting it to manage vast client pools. Cases highlight practical necessity, yet Briggs sets up a critique of whether this aligns with trust law’s protective ethos.</w:t>
      </w:r>
    </w:p>
    <w:p w14:paraId="6CFA00A3" w14:textId="4DF75298" w:rsidR="00E20375" w:rsidRPr="00F763AA" w:rsidRDefault="00F96148" w:rsidP="00F763AA">
      <w:pPr>
        <w:spacing w:after="240" w:line="360" w:lineRule="auto"/>
        <w:rPr>
          <w:rFonts w:ascii="Times New Roman" w:hAnsi="Times New Roman"/>
          <w:lang w:val="en-HK"/>
        </w:rPr>
      </w:pPr>
      <w:r w:rsidRPr="00F96148">
        <w:rPr>
          <w:rFonts w:ascii="Times New Roman" w:hAnsi="Times New Roman"/>
          <w:noProof/>
          <w:lang w:val="en-HK"/>
          <w14:ligatures w14:val="standardContextual"/>
        </w:rPr>
        <w:pict w14:anchorId="242861EB">
          <v:rect id="_x0000_i1026" alt="" style="width:451.3pt;height:.05pt;mso-width-percent:0;mso-height-percent:0;mso-width-percent:0;mso-height-percent:0" o:hralign="center" o:hrstd="t" o:hr="t" fillcolor="#a0a0a0" stroked="f"/>
        </w:pict>
      </w:r>
    </w:p>
    <w:p w14:paraId="4F673237" w14:textId="026E63EB" w:rsidR="00E20375" w:rsidRPr="00E20375" w:rsidRDefault="00E20375" w:rsidP="00F763AA">
      <w:pPr>
        <w:spacing w:after="240" w:line="360" w:lineRule="auto"/>
        <w:outlineLvl w:val="2"/>
        <w:rPr>
          <w:rFonts w:ascii="Times New Roman" w:hAnsi="Times New Roman"/>
          <w:b/>
          <w:bCs/>
          <w:lang w:val="en-HK"/>
        </w:rPr>
      </w:pPr>
      <w:r w:rsidRPr="00E20375">
        <w:rPr>
          <w:rFonts w:ascii="Times New Roman" w:hAnsi="Times New Roman"/>
          <w:b/>
          <w:bCs/>
          <w:lang w:val="en-HK"/>
        </w:rPr>
        <w:t xml:space="preserve">4. Expansion of Jurisdiction </w:t>
      </w:r>
    </w:p>
    <w:p w14:paraId="44FE5A79"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lang w:val="en-HK"/>
        </w:rPr>
        <w:t xml:space="preserve">This section explores the judicial broadening of the </w:t>
      </w:r>
      <w:r w:rsidRPr="00E20375">
        <w:rPr>
          <w:rFonts w:ascii="Times New Roman" w:hAnsi="Times New Roman"/>
          <w:i/>
          <w:iCs/>
          <w:lang w:val="en-HK"/>
        </w:rPr>
        <w:t>Re Benjamin</w:t>
      </w:r>
      <w:r w:rsidRPr="00E20375">
        <w:rPr>
          <w:rFonts w:ascii="Times New Roman" w:hAnsi="Times New Roman"/>
          <w:lang w:val="en-HK"/>
        </w:rPr>
        <w:t xml:space="preserve"> jurisdiction and related equitable powers in response to the administrative challenges of insolvent financial institutions, particularly following Lord Neuberger MR’s encouragement in </w:t>
      </w:r>
      <w:r w:rsidRPr="00E20375">
        <w:rPr>
          <w:rFonts w:ascii="Times New Roman" w:hAnsi="Times New Roman"/>
          <w:i/>
          <w:iCs/>
          <w:lang w:val="en-HK"/>
        </w:rPr>
        <w:t>In re Lehman Bros International (Europe) (No 2) [2010] Bus LR 489</w:t>
      </w:r>
      <w:r w:rsidRPr="00E20375">
        <w:rPr>
          <w:rFonts w:ascii="Times New Roman" w:hAnsi="Times New Roman"/>
          <w:lang w:val="en-HK"/>
        </w:rPr>
        <w:t xml:space="preserve">. It focuses on key cases like </w:t>
      </w:r>
      <w:r w:rsidRPr="00E20375">
        <w:rPr>
          <w:rFonts w:ascii="Times New Roman" w:hAnsi="Times New Roman"/>
          <w:i/>
          <w:iCs/>
          <w:lang w:val="en-HK"/>
        </w:rPr>
        <w:t>Re MF Global UK (No.3)</w:t>
      </w:r>
      <w:r w:rsidRPr="00E20375">
        <w:rPr>
          <w:rFonts w:ascii="Times New Roman" w:hAnsi="Times New Roman"/>
          <w:lang w:val="en-HK"/>
        </w:rPr>
        <w:t xml:space="preserve"> and statutory variations under the </w:t>
      </w:r>
      <w:r w:rsidRPr="00E20375">
        <w:rPr>
          <w:rFonts w:ascii="Times New Roman" w:hAnsi="Times New Roman"/>
          <w:i/>
          <w:iCs/>
          <w:lang w:val="en-HK"/>
        </w:rPr>
        <w:t>Financial Services and Markets Act 2000</w:t>
      </w:r>
      <w:r w:rsidRPr="00E20375">
        <w:rPr>
          <w:rFonts w:ascii="Times New Roman" w:hAnsi="Times New Roman"/>
          <w:lang w:val="en-HK"/>
        </w:rPr>
        <w:t>, highlighting a significant departure from traditional trust principles.</w:t>
      </w:r>
    </w:p>
    <w:p w14:paraId="6CE19C69"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Core Development</w:t>
      </w:r>
      <w:r w:rsidRPr="00E20375">
        <w:rPr>
          <w:rFonts w:ascii="Times New Roman" w:hAnsi="Times New Roman"/>
          <w:lang w:val="en-HK"/>
        </w:rPr>
        <w:t xml:space="preserve">: </w:t>
      </w:r>
    </w:p>
    <w:p w14:paraId="263A5AC9"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lang w:val="en-HK"/>
        </w:rPr>
        <w:lastRenderedPageBreak/>
        <w:t xml:space="preserve">The section traces the “scope creep” of </w:t>
      </w:r>
      <w:r w:rsidRPr="00E20375">
        <w:rPr>
          <w:rFonts w:ascii="Times New Roman" w:hAnsi="Times New Roman"/>
          <w:i/>
          <w:iCs/>
          <w:lang w:val="en-HK"/>
        </w:rPr>
        <w:t>Re Benjamin</w:t>
      </w:r>
      <w:r w:rsidRPr="00E20375">
        <w:rPr>
          <w:rFonts w:ascii="Times New Roman" w:hAnsi="Times New Roman"/>
          <w:lang w:val="en-HK"/>
        </w:rPr>
        <w:t xml:space="preserve"> over the past 60 years, accelerated by insolvency cases post-Lehman Brothers. Courts have expanded equitable jurisdiction to authorize distributions despite known but unresolved claims, moving beyond </w:t>
      </w:r>
      <w:r w:rsidRPr="00E20375">
        <w:rPr>
          <w:rFonts w:ascii="Times New Roman" w:hAnsi="Times New Roman"/>
          <w:i/>
          <w:iCs/>
          <w:lang w:val="en-HK"/>
        </w:rPr>
        <w:t>Benjamin</w:t>
      </w:r>
      <w:r w:rsidRPr="00E20375">
        <w:rPr>
          <w:rFonts w:ascii="Times New Roman" w:hAnsi="Times New Roman"/>
          <w:lang w:val="en-HK"/>
        </w:rPr>
        <w:t xml:space="preserve">’s original protective scope to address practical necessities in client money trusts (Briggs, </w:t>
      </w:r>
      <w:r w:rsidRPr="00E20375">
        <w:rPr>
          <w:rFonts w:ascii="Times New Roman" w:hAnsi="Times New Roman"/>
          <w:i/>
          <w:iCs/>
          <w:lang w:val="en-HK"/>
        </w:rPr>
        <w:t>Scope creep</w:t>
      </w:r>
      <w:r w:rsidRPr="00E20375">
        <w:rPr>
          <w:rFonts w:ascii="Times New Roman" w:hAnsi="Times New Roman"/>
          <w:lang w:val="en-HK"/>
        </w:rPr>
        <w:t>, 2019).</w:t>
      </w:r>
    </w:p>
    <w:p w14:paraId="27B9A76A"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 xml:space="preserve">Historical Precedent: Re </w:t>
      </w:r>
      <w:proofErr w:type="spellStart"/>
      <w:r w:rsidRPr="00E20375">
        <w:rPr>
          <w:rFonts w:ascii="Times New Roman" w:hAnsi="Times New Roman"/>
          <w:b/>
          <w:bCs/>
          <w:lang w:val="en-HK"/>
        </w:rPr>
        <w:t>Gess</w:t>
      </w:r>
      <w:proofErr w:type="spellEnd"/>
      <w:r w:rsidRPr="00E20375">
        <w:rPr>
          <w:rFonts w:ascii="Times New Roman" w:hAnsi="Times New Roman"/>
          <w:b/>
          <w:bCs/>
          <w:lang w:val="en-HK"/>
        </w:rPr>
        <w:t xml:space="preserve"> [1942] Ch 37</w:t>
      </w:r>
      <w:r w:rsidRPr="00E20375">
        <w:rPr>
          <w:rFonts w:ascii="Times New Roman" w:hAnsi="Times New Roman"/>
          <w:lang w:val="en-HK"/>
        </w:rPr>
        <w:t xml:space="preserve"> </w:t>
      </w:r>
    </w:p>
    <w:p w14:paraId="1858518C"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Executors sought to distribute an estate during World War II, aware of potential overseas creditors in German-occupied Poland. Advertising for claims there was impossible due to the conflict.</w:t>
      </w:r>
    </w:p>
    <w:p w14:paraId="0F3D18A4"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Held</w:t>
      </w:r>
      <w:r w:rsidRPr="00E20375">
        <w:rPr>
          <w:rFonts w:ascii="Times New Roman" w:hAnsi="Times New Roman"/>
          <w:lang w:val="en-HK"/>
        </w:rPr>
        <w:t>: The court authorized distribution without reserving for Polish creditors.</w:t>
      </w:r>
    </w:p>
    <w:p w14:paraId="35E70892"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Reasoning</w:t>
      </w:r>
      <w:r w:rsidRPr="00E20375">
        <w:rPr>
          <w:rFonts w:ascii="Times New Roman" w:hAnsi="Times New Roman"/>
          <w:lang w:val="en-HK"/>
        </w:rPr>
        <w:t>: Practical necessity trumped strict adherence to creditor rights. The impossibility of advertising in a war zone justified proceeding, with the court prioritizing administration over exhaustive claimant protection. This early expansion set a precedent for adapting equitable relief to extraordinary circumstances.</w:t>
      </w:r>
    </w:p>
    <w:p w14:paraId="7B409D55"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Significance</w:t>
      </w:r>
      <w:r w:rsidRPr="00E20375">
        <w:rPr>
          <w:rFonts w:ascii="Times New Roman" w:hAnsi="Times New Roman"/>
          <w:lang w:val="en-HK"/>
        </w:rPr>
        <w:t xml:space="preserve">: Briggs cites </w:t>
      </w:r>
      <w:r w:rsidRPr="00E20375">
        <w:rPr>
          <w:rFonts w:ascii="Times New Roman" w:hAnsi="Times New Roman"/>
          <w:i/>
          <w:iCs/>
          <w:lang w:val="en-HK"/>
        </w:rPr>
        <w:t xml:space="preserve">Re </w:t>
      </w:r>
      <w:proofErr w:type="spellStart"/>
      <w:r w:rsidRPr="00E20375">
        <w:rPr>
          <w:rFonts w:ascii="Times New Roman" w:hAnsi="Times New Roman"/>
          <w:i/>
          <w:iCs/>
          <w:lang w:val="en-HK"/>
        </w:rPr>
        <w:t>Gess</w:t>
      </w:r>
      <w:proofErr w:type="spellEnd"/>
      <w:r w:rsidRPr="00E20375">
        <w:rPr>
          <w:rFonts w:ascii="Times New Roman" w:hAnsi="Times New Roman"/>
          <w:lang w:val="en-HK"/>
        </w:rPr>
        <w:t xml:space="preserve"> as an initial broadening of </w:t>
      </w:r>
      <w:r w:rsidRPr="00E20375">
        <w:rPr>
          <w:rFonts w:ascii="Times New Roman" w:hAnsi="Times New Roman"/>
          <w:i/>
          <w:iCs/>
          <w:lang w:val="en-HK"/>
        </w:rPr>
        <w:t>Benjamin</w:t>
      </w:r>
      <w:r w:rsidRPr="00E20375">
        <w:rPr>
          <w:rFonts w:ascii="Times New Roman" w:hAnsi="Times New Roman"/>
          <w:lang w:val="en-HK"/>
        </w:rPr>
        <w:t xml:space="preserve">-style jurisdiction, shifting focus from missing beneficiaries to practical administration, a trend echoed in modern insolvency cases (Briggs, </w:t>
      </w:r>
      <w:r w:rsidRPr="00E20375">
        <w:rPr>
          <w:rFonts w:ascii="Times New Roman" w:hAnsi="Times New Roman"/>
          <w:i/>
          <w:iCs/>
          <w:lang w:val="en-HK"/>
        </w:rPr>
        <w:t>Scope creep</w:t>
      </w:r>
      <w:r w:rsidRPr="00E20375">
        <w:rPr>
          <w:rFonts w:ascii="Times New Roman" w:hAnsi="Times New Roman"/>
          <w:lang w:val="en-HK"/>
        </w:rPr>
        <w:t>, 2019).</w:t>
      </w:r>
    </w:p>
    <w:p w14:paraId="78E0ACFA"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Case Law: Re MF Global UK (No.3) [2013] EWHC 1655 (Ch)</w:t>
      </w:r>
      <w:r w:rsidRPr="00E20375">
        <w:rPr>
          <w:rFonts w:ascii="Times New Roman" w:hAnsi="Times New Roman"/>
          <w:lang w:val="en-HK"/>
        </w:rPr>
        <w:t xml:space="preserve"> </w:t>
      </w:r>
    </w:p>
    <w:p w14:paraId="5E58F0A0"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xml:space="preserve">: MF </w:t>
      </w:r>
      <w:proofErr w:type="spellStart"/>
      <w:r w:rsidRPr="00E20375">
        <w:rPr>
          <w:rFonts w:ascii="Times New Roman" w:hAnsi="Times New Roman"/>
          <w:lang w:val="en-HK"/>
        </w:rPr>
        <w:t>Global’s</w:t>
      </w:r>
      <w:proofErr w:type="spellEnd"/>
      <w:r w:rsidRPr="00E20375">
        <w:rPr>
          <w:rFonts w:ascii="Times New Roman" w:hAnsi="Times New Roman"/>
          <w:lang w:val="en-HK"/>
        </w:rPr>
        <w:t xml:space="preserve"> insolvency left 5,345 client claims on a pooled fund under </w:t>
      </w:r>
      <w:r w:rsidRPr="00E20375">
        <w:rPr>
          <w:rFonts w:ascii="Times New Roman" w:hAnsi="Times New Roman"/>
          <w:i/>
          <w:iCs/>
          <w:lang w:val="en-HK"/>
        </w:rPr>
        <w:t>CASS</w:t>
      </w:r>
      <w:r w:rsidRPr="00E20375">
        <w:rPr>
          <w:rFonts w:ascii="Times New Roman" w:hAnsi="Times New Roman"/>
          <w:lang w:val="en-HK"/>
        </w:rPr>
        <w:t xml:space="preserve"> rules: 3,275 were fully agreed, 268 rejected, and the rest undetermined. Administrators sought court directions to make interim and final distributions, proposing: (a) only claims lodged by a bar date were valid, and (b) rejected claimants who failed to sue by a set date forfeited rights. An intricate process, adapted from insolvency rules, included advertisements and claim handling.</w:t>
      </w:r>
    </w:p>
    <w:p w14:paraId="15140311"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Held</w:t>
      </w:r>
      <w:r w:rsidRPr="00E20375">
        <w:rPr>
          <w:rFonts w:ascii="Times New Roman" w:hAnsi="Times New Roman"/>
          <w:lang w:val="en-HK"/>
        </w:rPr>
        <w:t>: David Richards J approved the order, authorizing distributions on these terms.</w:t>
      </w:r>
    </w:p>
    <w:p w14:paraId="3BC66DF4"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Reasoning</w:t>
      </w:r>
      <w:r w:rsidRPr="00E20375">
        <w:rPr>
          <w:rFonts w:ascii="Times New Roman" w:hAnsi="Times New Roman"/>
          <w:lang w:val="en-HK"/>
        </w:rPr>
        <w:t xml:space="preserve">: </w:t>
      </w:r>
    </w:p>
    <w:p w14:paraId="46750E1F" w14:textId="77777777" w:rsidR="00E20375" w:rsidRPr="00E20375" w:rsidRDefault="00E20375" w:rsidP="00F763AA">
      <w:pPr>
        <w:numPr>
          <w:ilvl w:val="2"/>
          <w:numId w:val="6"/>
        </w:numPr>
        <w:spacing w:after="240" w:line="360" w:lineRule="auto"/>
        <w:rPr>
          <w:rFonts w:ascii="Times New Roman" w:hAnsi="Times New Roman"/>
          <w:lang w:val="en-HK"/>
        </w:rPr>
      </w:pPr>
      <w:r w:rsidRPr="00E20375">
        <w:rPr>
          <w:rFonts w:ascii="Times New Roman" w:hAnsi="Times New Roman"/>
          <w:i/>
          <w:iCs/>
          <w:lang w:val="en-HK"/>
        </w:rPr>
        <w:t>Jurisdictional Question</w:t>
      </w:r>
      <w:r w:rsidRPr="00E20375">
        <w:rPr>
          <w:rFonts w:ascii="Times New Roman" w:hAnsi="Times New Roman"/>
          <w:lang w:val="en-HK"/>
        </w:rPr>
        <w:t xml:space="preserve">: Richards J acknowledged this exceeded </w:t>
      </w:r>
      <w:r w:rsidRPr="00E20375">
        <w:rPr>
          <w:rFonts w:ascii="Times New Roman" w:hAnsi="Times New Roman"/>
          <w:i/>
          <w:iCs/>
          <w:lang w:val="en-HK"/>
        </w:rPr>
        <w:t>Re Benjamin</w:t>
      </w:r>
      <w:r w:rsidRPr="00E20375">
        <w:rPr>
          <w:rFonts w:ascii="Times New Roman" w:hAnsi="Times New Roman"/>
          <w:lang w:val="en-HK"/>
        </w:rPr>
        <w:t>’s traditional scope, which avoids disputed claims (</w:t>
      </w:r>
      <w:r w:rsidRPr="00E20375">
        <w:rPr>
          <w:rFonts w:ascii="Times New Roman" w:hAnsi="Times New Roman"/>
          <w:i/>
          <w:iCs/>
          <w:lang w:val="en-HK"/>
        </w:rPr>
        <w:t xml:space="preserve">Re Green’s Will Trust [1985] 3 All ER </w:t>
      </w:r>
      <w:r w:rsidRPr="00E20375">
        <w:rPr>
          <w:rFonts w:ascii="Times New Roman" w:hAnsi="Times New Roman"/>
          <w:i/>
          <w:iCs/>
          <w:lang w:val="en-HK"/>
        </w:rPr>
        <w:lastRenderedPageBreak/>
        <w:t>455</w:t>
      </w:r>
      <w:r w:rsidRPr="00E20375">
        <w:rPr>
          <w:rFonts w:ascii="Times New Roman" w:hAnsi="Times New Roman"/>
          <w:lang w:val="en-HK"/>
        </w:rPr>
        <w:t xml:space="preserve">). </w:t>
      </w:r>
      <w:r w:rsidRPr="00E20375">
        <w:rPr>
          <w:rFonts w:ascii="Times New Roman" w:hAnsi="Times New Roman"/>
          <w:i/>
          <w:iCs/>
          <w:lang w:val="en-HK"/>
        </w:rPr>
        <w:t>Benjamin</w:t>
      </w:r>
      <w:r w:rsidRPr="00E20375">
        <w:rPr>
          <w:rFonts w:ascii="Times New Roman" w:hAnsi="Times New Roman"/>
          <w:lang w:val="en-HK"/>
        </w:rPr>
        <w:t xml:space="preserve"> typically protects trustees assuming facts (e.g., death), not resolving contested entitlements.</w:t>
      </w:r>
    </w:p>
    <w:p w14:paraId="13AB84FF" w14:textId="77777777" w:rsidR="00E20375" w:rsidRPr="00E20375" w:rsidRDefault="00E20375" w:rsidP="00F763AA">
      <w:pPr>
        <w:numPr>
          <w:ilvl w:val="2"/>
          <w:numId w:val="6"/>
        </w:numPr>
        <w:spacing w:after="240" w:line="360" w:lineRule="auto"/>
        <w:rPr>
          <w:rFonts w:ascii="Times New Roman" w:hAnsi="Times New Roman"/>
          <w:lang w:val="en-HK"/>
        </w:rPr>
      </w:pPr>
      <w:r w:rsidRPr="00E20375">
        <w:rPr>
          <w:rFonts w:ascii="Times New Roman" w:hAnsi="Times New Roman"/>
          <w:i/>
          <w:iCs/>
          <w:lang w:val="en-HK"/>
        </w:rPr>
        <w:t>Expansion Justification</w:t>
      </w:r>
      <w:r w:rsidRPr="00E20375">
        <w:rPr>
          <w:rFonts w:ascii="Times New Roman" w:hAnsi="Times New Roman"/>
          <w:lang w:val="en-HK"/>
        </w:rPr>
        <w:t xml:space="preserve">: He argued that if courts can authorize distributions despite third-party claims (e.g., </w:t>
      </w:r>
      <w:proofErr w:type="spellStart"/>
      <w:r w:rsidRPr="00E20375">
        <w:rPr>
          <w:rFonts w:ascii="Times New Roman" w:hAnsi="Times New Roman"/>
          <w:i/>
          <w:iCs/>
          <w:lang w:val="en-HK"/>
        </w:rPr>
        <w:t>Finers</w:t>
      </w:r>
      <w:proofErr w:type="spellEnd"/>
      <w:r w:rsidRPr="00E20375">
        <w:rPr>
          <w:rFonts w:ascii="Times New Roman" w:hAnsi="Times New Roman"/>
          <w:i/>
          <w:iCs/>
          <w:lang w:val="en-HK"/>
        </w:rPr>
        <w:t xml:space="preserve"> v Miro</w:t>
      </w:r>
      <w:r w:rsidRPr="00E20375">
        <w:rPr>
          <w:rFonts w:ascii="Times New Roman" w:hAnsi="Times New Roman"/>
          <w:lang w:val="en-HK"/>
        </w:rPr>
        <w:t>), no principled distinction bars doing so for rejected beneficial claims. The need for “practical effect” and clients’ interest in prompt payment outweighed traditional limits. The order was “clearly in the clients’ best interests,” reducing delay and cost.</w:t>
      </w:r>
    </w:p>
    <w:p w14:paraId="3619D3EC" w14:textId="77777777" w:rsidR="00E20375" w:rsidRPr="00E20375" w:rsidRDefault="00E20375" w:rsidP="00F763AA">
      <w:pPr>
        <w:numPr>
          <w:ilvl w:val="2"/>
          <w:numId w:val="6"/>
        </w:numPr>
        <w:spacing w:after="240" w:line="360" w:lineRule="auto"/>
        <w:rPr>
          <w:rFonts w:ascii="Times New Roman" w:hAnsi="Times New Roman"/>
          <w:lang w:val="en-HK"/>
        </w:rPr>
      </w:pPr>
      <w:r w:rsidRPr="00E20375">
        <w:rPr>
          <w:rFonts w:ascii="Times New Roman" w:hAnsi="Times New Roman"/>
          <w:i/>
          <w:iCs/>
          <w:lang w:val="en-HK"/>
        </w:rPr>
        <w:t>Mechanism</w:t>
      </w:r>
      <w:r w:rsidRPr="00E20375">
        <w:rPr>
          <w:rFonts w:ascii="Times New Roman" w:hAnsi="Times New Roman"/>
          <w:lang w:val="en-HK"/>
        </w:rPr>
        <w:t>: The bar date and litigation deadline effectively excluded non-responsive or non-litigating claimants, streamlining administration without reserving funds for disputes.</w:t>
      </w:r>
    </w:p>
    <w:p w14:paraId="17E3E1CC"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Implication</w:t>
      </w:r>
      <w:r w:rsidRPr="00E20375">
        <w:rPr>
          <w:rFonts w:ascii="Times New Roman" w:hAnsi="Times New Roman"/>
          <w:lang w:val="en-HK"/>
        </w:rPr>
        <w:t xml:space="preserve">: This marked a significant shift, adapting </w:t>
      </w:r>
      <w:r w:rsidRPr="00E20375">
        <w:rPr>
          <w:rFonts w:ascii="Times New Roman" w:hAnsi="Times New Roman"/>
          <w:i/>
          <w:iCs/>
          <w:lang w:val="en-HK"/>
        </w:rPr>
        <w:t>Benjamin</w:t>
      </w:r>
      <w:r w:rsidRPr="00E20375">
        <w:rPr>
          <w:rFonts w:ascii="Times New Roman" w:hAnsi="Times New Roman"/>
          <w:lang w:val="en-HK"/>
        </w:rPr>
        <w:t xml:space="preserve"> to insolvency’s scale, though Briggs critiques its departure from precedent (Briggs, </w:t>
      </w:r>
      <w:r w:rsidRPr="00E20375">
        <w:rPr>
          <w:rFonts w:ascii="Times New Roman" w:hAnsi="Times New Roman"/>
          <w:i/>
          <w:iCs/>
          <w:lang w:val="en-HK"/>
        </w:rPr>
        <w:t>Scope creep</w:t>
      </w:r>
      <w:r w:rsidRPr="00E20375">
        <w:rPr>
          <w:rFonts w:ascii="Times New Roman" w:hAnsi="Times New Roman"/>
          <w:lang w:val="en-HK"/>
        </w:rPr>
        <w:t>, 2019).</w:t>
      </w:r>
    </w:p>
    <w:p w14:paraId="1C5A1984"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 xml:space="preserve">Case Law: </w:t>
      </w:r>
      <w:proofErr w:type="spellStart"/>
      <w:r w:rsidRPr="00E20375">
        <w:rPr>
          <w:rFonts w:ascii="Times New Roman" w:hAnsi="Times New Roman"/>
          <w:b/>
          <w:bCs/>
          <w:lang w:val="en-HK"/>
        </w:rPr>
        <w:t>Finers</w:t>
      </w:r>
      <w:proofErr w:type="spellEnd"/>
      <w:r w:rsidRPr="00E20375">
        <w:rPr>
          <w:rFonts w:ascii="Times New Roman" w:hAnsi="Times New Roman"/>
          <w:b/>
          <w:bCs/>
          <w:lang w:val="en-HK"/>
        </w:rPr>
        <w:t xml:space="preserve"> v Miro [1991] 1 WLR 35</w:t>
      </w:r>
      <w:r w:rsidRPr="00E20375">
        <w:rPr>
          <w:rFonts w:ascii="Times New Roman" w:hAnsi="Times New Roman"/>
          <w:lang w:val="en-HK"/>
        </w:rPr>
        <w:t xml:space="preserve"> </w:t>
      </w:r>
    </w:p>
    <w:p w14:paraId="47919E97"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xml:space="preserve">: A law firm held client funds on trust for Miro, but a liquidator of a company allegedly defrauded by Miro posed a potential proprietary claim. The liquidator was unaware of the fund, and no direct claim was made. The firm sought to distribute a small sum (£ unreported) to fund Miro’s legal </w:t>
      </w:r>
      <w:proofErr w:type="spellStart"/>
      <w:r w:rsidRPr="00E20375">
        <w:rPr>
          <w:rFonts w:ascii="Times New Roman" w:hAnsi="Times New Roman"/>
          <w:lang w:val="en-HK"/>
        </w:rPr>
        <w:t>defense</w:t>
      </w:r>
      <w:proofErr w:type="spellEnd"/>
      <w:r w:rsidRPr="00E20375">
        <w:rPr>
          <w:rFonts w:ascii="Times New Roman" w:hAnsi="Times New Roman"/>
          <w:lang w:val="en-HK"/>
        </w:rPr>
        <w:t>, retaining the bulk.</w:t>
      </w:r>
    </w:p>
    <w:p w14:paraId="387DE531"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Held</w:t>
      </w:r>
      <w:r w:rsidRPr="00E20375">
        <w:rPr>
          <w:rFonts w:ascii="Times New Roman" w:hAnsi="Times New Roman"/>
          <w:lang w:val="en-HK"/>
        </w:rPr>
        <w:t>: Balcombe LJ authorized the limited distribution.</w:t>
      </w:r>
    </w:p>
    <w:p w14:paraId="50CE5693"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Reasoning</w:t>
      </w:r>
      <w:r w:rsidRPr="00E20375">
        <w:rPr>
          <w:rFonts w:ascii="Times New Roman" w:hAnsi="Times New Roman"/>
          <w:lang w:val="en-HK"/>
        </w:rPr>
        <w:t xml:space="preserve">: </w:t>
      </w:r>
    </w:p>
    <w:p w14:paraId="16DC3413" w14:textId="77777777" w:rsidR="00E20375" w:rsidRPr="00E20375" w:rsidRDefault="00E20375" w:rsidP="00F763AA">
      <w:pPr>
        <w:numPr>
          <w:ilvl w:val="2"/>
          <w:numId w:val="6"/>
        </w:numPr>
        <w:spacing w:after="240" w:line="360" w:lineRule="auto"/>
        <w:rPr>
          <w:rFonts w:ascii="Times New Roman" w:hAnsi="Times New Roman"/>
          <w:lang w:val="en-HK"/>
        </w:rPr>
      </w:pPr>
      <w:r w:rsidRPr="00E20375">
        <w:rPr>
          <w:rFonts w:ascii="Times New Roman" w:hAnsi="Times New Roman"/>
          <w:i/>
          <w:iCs/>
          <w:lang w:val="en-HK"/>
        </w:rPr>
        <w:t>Broad Assertion</w:t>
      </w:r>
      <w:r w:rsidRPr="00E20375">
        <w:rPr>
          <w:rFonts w:ascii="Times New Roman" w:hAnsi="Times New Roman"/>
          <w:lang w:val="en-HK"/>
        </w:rPr>
        <w:t>: “In my judgment the court undoubtedly has jurisdiction to authorise payment out by a trustee who ... holds his assets on trust for a named person absolutely, although with the possibility that there may be other persons interested,” without citing authority, suggesting inherent equitable power.</w:t>
      </w:r>
    </w:p>
    <w:p w14:paraId="18C67B3F" w14:textId="77777777" w:rsidR="00E20375" w:rsidRPr="00E20375" w:rsidRDefault="00E20375" w:rsidP="00F763AA">
      <w:pPr>
        <w:numPr>
          <w:ilvl w:val="2"/>
          <w:numId w:val="6"/>
        </w:numPr>
        <w:spacing w:after="240" w:line="360" w:lineRule="auto"/>
        <w:rPr>
          <w:rFonts w:ascii="Times New Roman" w:hAnsi="Times New Roman"/>
          <w:lang w:val="en-HK"/>
        </w:rPr>
      </w:pPr>
      <w:r w:rsidRPr="00E20375">
        <w:rPr>
          <w:rFonts w:ascii="Times New Roman" w:hAnsi="Times New Roman"/>
          <w:i/>
          <w:iCs/>
          <w:lang w:val="en-HK"/>
        </w:rPr>
        <w:t>Qualifications</w:t>
      </w:r>
      <w:r w:rsidRPr="00E20375">
        <w:rPr>
          <w:rFonts w:ascii="Times New Roman" w:hAnsi="Times New Roman"/>
          <w:lang w:val="en-HK"/>
        </w:rPr>
        <w:t>: The distribution was minor, preserving most funds for potential claimants. The court mandated notifying the liquidator (despite client privilege) and held back the balance, ensuring protection for third parties. This balanced practicality with caution.</w:t>
      </w:r>
    </w:p>
    <w:p w14:paraId="1172D829" w14:textId="77777777" w:rsidR="00E20375" w:rsidRPr="00E20375" w:rsidRDefault="00E20375" w:rsidP="00F763AA">
      <w:pPr>
        <w:numPr>
          <w:ilvl w:val="2"/>
          <w:numId w:val="6"/>
        </w:numPr>
        <w:spacing w:after="240" w:line="360" w:lineRule="auto"/>
        <w:rPr>
          <w:rFonts w:ascii="Times New Roman" w:hAnsi="Times New Roman"/>
          <w:lang w:val="en-HK"/>
        </w:rPr>
      </w:pPr>
      <w:r w:rsidRPr="00E20375">
        <w:rPr>
          <w:rFonts w:ascii="Times New Roman" w:hAnsi="Times New Roman"/>
          <w:i/>
          <w:iCs/>
          <w:lang w:val="en-HK"/>
        </w:rPr>
        <w:t>Contrast with MF Global</w:t>
      </w:r>
      <w:r w:rsidRPr="00E20375">
        <w:rPr>
          <w:rFonts w:ascii="Times New Roman" w:hAnsi="Times New Roman"/>
          <w:lang w:val="en-HK"/>
        </w:rPr>
        <w:t xml:space="preserve">: Unlike </w:t>
      </w:r>
      <w:r w:rsidRPr="00E20375">
        <w:rPr>
          <w:rFonts w:ascii="Times New Roman" w:hAnsi="Times New Roman"/>
          <w:i/>
          <w:iCs/>
          <w:lang w:val="en-HK"/>
        </w:rPr>
        <w:t xml:space="preserve">MF </w:t>
      </w:r>
      <w:proofErr w:type="spellStart"/>
      <w:r w:rsidRPr="00E20375">
        <w:rPr>
          <w:rFonts w:ascii="Times New Roman" w:hAnsi="Times New Roman"/>
          <w:i/>
          <w:iCs/>
          <w:lang w:val="en-HK"/>
        </w:rPr>
        <w:t>Global</w:t>
      </w:r>
      <w:r w:rsidRPr="00E20375">
        <w:rPr>
          <w:rFonts w:ascii="Times New Roman" w:hAnsi="Times New Roman"/>
          <w:lang w:val="en-HK"/>
        </w:rPr>
        <w:t>’s</w:t>
      </w:r>
      <w:proofErr w:type="spellEnd"/>
      <w:r w:rsidRPr="00E20375">
        <w:rPr>
          <w:rFonts w:ascii="Times New Roman" w:hAnsi="Times New Roman"/>
          <w:lang w:val="en-HK"/>
        </w:rPr>
        <w:t xml:space="preserve"> final distribution excluding disputed claims, </w:t>
      </w:r>
      <w:proofErr w:type="spellStart"/>
      <w:r w:rsidRPr="00E20375">
        <w:rPr>
          <w:rFonts w:ascii="Times New Roman" w:hAnsi="Times New Roman"/>
          <w:i/>
          <w:iCs/>
          <w:lang w:val="en-HK"/>
        </w:rPr>
        <w:t>Finers</w:t>
      </w:r>
      <w:proofErr w:type="spellEnd"/>
      <w:r w:rsidRPr="00E20375">
        <w:rPr>
          <w:rFonts w:ascii="Times New Roman" w:hAnsi="Times New Roman"/>
          <w:lang w:val="en-HK"/>
        </w:rPr>
        <w:t xml:space="preserve"> was limited and protective, not conclusive. The liquidator’s ignorance and lack of claim reduced risk, unlike MF </w:t>
      </w:r>
      <w:proofErr w:type="spellStart"/>
      <w:r w:rsidRPr="00E20375">
        <w:rPr>
          <w:rFonts w:ascii="Times New Roman" w:hAnsi="Times New Roman"/>
          <w:lang w:val="en-HK"/>
        </w:rPr>
        <w:t>Global’s</w:t>
      </w:r>
      <w:proofErr w:type="spellEnd"/>
      <w:r w:rsidRPr="00E20375">
        <w:rPr>
          <w:rFonts w:ascii="Times New Roman" w:hAnsi="Times New Roman"/>
          <w:lang w:val="en-HK"/>
        </w:rPr>
        <w:t xml:space="preserve"> known, rejected claimants.</w:t>
      </w:r>
    </w:p>
    <w:p w14:paraId="7DDB602D"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lastRenderedPageBreak/>
        <w:t>Critique</w:t>
      </w:r>
      <w:r w:rsidRPr="00E20375">
        <w:rPr>
          <w:rFonts w:ascii="Times New Roman" w:hAnsi="Times New Roman"/>
          <w:lang w:val="en-HK"/>
        </w:rPr>
        <w:t xml:space="preserve">: Briggs argues </w:t>
      </w:r>
      <w:proofErr w:type="spellStart"/>
      <w:r w:rsidRPr="00E20375">
        <w:rPr>
          <w:rFonts w:ascii="Times New Roman" w:hAnsi="Times New Roman"/>
          <w:i/>
          <w:iCs/>
          <w:lang w:val="en-HK"/>
        </w:rPr>
        <w:t>Finers</w:t>
      </w:r>
      <w:proofErr w:type="spellEnd"/>
      <w:r w:rsidRPr="00E20375">
        <w:rPr>
          <w:rFonts w:ascii="Times New Roman" w:hAnsi="Times New Roman"/>
          <w:lang w:val="en-HK"/>
        </w:rPr>
        <w:t xml:space="preserve"> offers weak support for </w:t>
      </w:r>
      <w:r w:rsidRPr="00E20375">
        <w:rPr>
          <w:rFonts w:ascii="Times New Roman" w:hAnsi="Times New Roman"/>
          <w:i/>
          <w:iCs/>
          <w:lang w:val="en-HK"/>
        </w:rPr>
        <w:t>MF Global</w:t>
      </w:r>
      <w:r w:rsidRPr="00E20375">
        <w:rPr>
          <w:rFonts w:ascii="Times New Roman" w:hAnsi="Times New Roman"/>
          <w:lang w:val="en-HK"/>
        </w:rPr>
        <w:t xml:space="preserve">. Its cautious approach—small sum, notification, retained funds—hardly justifies authorizing full distribution amidst known disputes, resting more on practicality than principle (Briggs, </w:t>
      </w:r>
      <w:r w:rsidRPr="00E20375">
        <w:rPr>
          <w:rFonts w:ascii="Times New Roman" w:hAnsi="Times New Roman"/>
          <w:i/>
          <w:iCs/>
          <w:lang w:val="en-HK"/>
        </w:rPr>
        <w:t>Scope creep</w:t>
      </w:r>
      <w:r w:rsidRPr="00E20375">
        <w:rPr>
          <w:rFonts w:ascii="Times New Roman" w:hAnsi="Times New Roman"/>
          <w:lang w:val="en-HK"/>
        </w:rPr>
        <w:t>, 2019).</w:t>
      </w:r>
    </w:p>
    <w:p w14:paraId="6405A2E5"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Statute: Financial Services and Markets Act 2000, s 138A</w:t>
      </w:r>
      <w:r w:rsidRPr="00E20375">
        <w:rPr>
          <w:rFonts w:ascii="Times New Roman" w:hAnsi="Times New Roman"/>
          <w:lang w:val="en-HK"/>
        </w:rPr>
        <w:t xml:space="preserve"> </w:t>
      </w:r>
    </w:p>
    <w:p w14:paraId="47471178"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Provision</w:t>
      </w:r>
      <w:r w:rsidRPr="00E20375">
        <w:rPr>
          <w:rFonts w:ascii="Times New Roman" w:hAnsi="Times New Roman"/>
          <w:lang w:val="en-HK"/>
        </w:rPr>
        <w:t xml:space="preserve">: Empowers the Financial Conduct Authority (FCA) to issue directions varying statutory trusts (e.g., </w:t>
      </w:r>
      <w:r w:rsidRPr="00E20375">
        <w:rPr>
          <w:rFonts w:ascii="Times New Roman" w:hAnsi="Times New Roman"/>
          <w:i/>
          <w:iCs/>
          <w:lang w:val="en-HK"/>
        </w:rPr>
        <w:t>CASS</w:t>
      </w:r>
      <w:r w:rsidRPr="00E20375">
        <w:rPr>
          <w:rFonts w:ascii="Times New Roman" w:hAnsi="Times New Roman"/>
          <w:lang w:val="en-HK"/>
        </w:rPr>
        <w:t xml:space="preserve"> trusts), potentially extinguishing beneficial interests if conditions are met (e.g., administrative necessity).</w:t>
      </w:r>
    </w:p>
    <w:p w14:paraId="0C76001D"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Application</w:t>
      </w:r>
      <w:r w:rsidRPr="00E20375">
        <w:rPr>
          <w:rFonts w:ascii="Times New Roman" w:hAnsi="Times New Roman"/>
          <w:lang w:val="en-HK"/>
        </w:rPr>
        <w:t>: Trustees seek court approval for such variations, termed “</w:t>
      </w:r>
      <w:proofErr w:type="spellStart"/>
      <w:r w:rsidRPr="00E20375">
        <w:rPr>
          <w:rFonts w:ascii="Times New Roman" w:hAnsi="Times New Roman"/>
          <w:lang w:val="en-HK"/>
        </w:rPr>
        <w:t>Alpari</w:t>
      </w:r>
      <w:proofErr w:type="spellEnd"/>
      <w:r w:rsidRPr="00E20375">
        <w:rPr>
          <w:rFonts w:ascii="Times New Roman" w:hAnsi="Times New Roman"/>
          <w:lang w:val="en-HK"/>
        </w:rPr>
        <w:t xml:space="preserve"> orders” after </w:t>
      </w:r>
      <w:r w:rsidRPr="00E20375">
        <w:rPr>
          <w:rFonts w:ascii="Times New Roman" w:hAnsi="Times New Roman"/>
          <w:i/>
          <w:iCs/>
          <w:lang w:val="en-HK"/>
        </w:rPr>
        <w:t xml:space="preserve">Re </w:t>
      </w:r>
      <w:proofErr w:type="spellStart"/>
      <w:r w:rsidRPr="00E20375">
        <w:rPr>
          <w:rFonts w:ascii="Times New Roman" w:hAnsi="Times New Roman"/>
          <w:i/>
          <w:iCs/>
          <w:lang w:val="en-HK"/>
        </w:rPr>
        <w:t>Alpari</w:t>
      </w:r>
      <w:proofErr w:type="spellEnd"/>
      <w:r w:rsidRPr="00E20375">
        <w:rPr>
          <w:rFonts w:ascii="Times New Roman" w:hAnsi="Times New Roman"/>
          <w:i/>
          <w:iCs/>
          <w:lang w:val="en-HK"/>
        </w:rPr>
        <w:t xml:space="preserve"> (</w:t>
      </w:r>
      <w:proofErr w:type="spellStart"/>
      <w:r w:rsidRPr="00E20375">
        <w:rPr>
          <w:rFonts w:ascii="Times New Roman" w:hAnsi="Times New Roman"/>
          <w:i/>
          <w:iCs/>
          <w:lang w:val="en-HK"/>
        </w:rPr>
        <w:t>unrep</w:t>
      </w:r>
      <w:proofErr w:type="spellEnd"/>
      <w:r w:rsidRPr="00E20375">
        <w:rPr>
          <w:rFonts w:ascii="Times New Roman" w:hAnsi="Times New Roman"/>
          <w:i/>
          <w:iCs/>
          <w:lang w:val="en-HK"/>
        </w:rPr>
        <w:t>) 29 September 2016</w:t>
      </w:r>
      <w:r w:rsidRPr="00E20375">
        <w:rPr>
          <w:rFonts w:ascii="Times New Roman" w:hAnsi="Times New Roman"/>
          <w:lang w:val="en-HK"/>
        </w:rPr>
        <w:t xml:space="preserve">. This departs from </w:t>
      </w:r>
      <w:r w:rsidRPr="00E20375">
        <w:rPr>
          <w:rFonts w:ascii="Times New Roman" w:hAnsi="Times New Roman"/>
          <w:i/>
          <w:iCs/>
          <w:lang w:val="en-HK"/>
        </w:rPr>
        <w:t>Benjamin</w:t>
      </w:r>
      <w:r w:rsidRPr="00E20375">
        <w:rPr>
          <w:rFonts w:ascii="Times New Roman" w:hAnsi="Times New Roman"/>
          <w:lang w:val="en-HK"/>
        </w:rPr>
        <w:t>’s preservation of rights, introducing a mechanism to eliminate interests outright.</w:t>
      </w:r>
    </w:p>
    <w:p w14:paraId="25EF1202"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Process</w:t>
      </w:r>
      <w:r w:rsidRPr="00E20375">
        <w:rPr>
          <w:rFonts w:ascii="Times New Roman" w:hAnsi="Times New Roman"/>
          <w:lang w:val="en-HK"/>
        </w:rPr>
        <w:t xml:space="preserve">: Administrators apply to the FCA, then the court, justifying the variation based on cost, scale, or finality needs, as seen in later cases like </w:t>
      </w:r>
      <w:r w:rsidRPr="00E20375">
        <w:rPr>
          <w:rFonts w:ascii="Times New Roman" w:hAnsi="Times New Roman"/>
          <w:i/>
          <w:iCs/>
          <w:lang w:val="en-HK"/>
        </w:rPr>
        <w:t>Re Pritchard Stockbrokers</w:t>
      </w:r>
      <w:r w:rsidRPr="00E20375">
        <w:rPr>
          <w:rFonts w:ascii="Times New Roman" w:hAnsi="Times New Roman"/>
          <w:lang w:val="en-HK"/>
        </w:rPr>
        <w:t>.</w:t>
      </w:r>
    </w:p>
    <w:p w14:paraId="5F92966A" w14:textId="77777777" w:rsidR="00E20375" w:rsidRPr="00F763AA" w:rsidRDefault="00E20375" w:rsidP="00F763AA">
      <w:pPr>
        <w:spacing w:after="240" w:line="360" w:lineRule="auto"/>
        <w:rPr>
          <w:rFonts w:ascii="Times New Roman" w:hAnsi="Times New Roman"/>
          <w:lang w:val="en-HK"/>
        </w:rPr>
      </w:pPr>
      <w:r w:rsidRPr="00F763AA">
        <w:rPr>
          <w:rFonts w:ascii="Times New Roman" w:hAnsi="Times New Roman"/>
          <w:b/>
          <w:bCs/>
          <w:lang w:val="en-HK"/>
        </w:rPr>
        <w:t xml:space="preserve">Case Law: Re </w:t>
      </w:r>
      <w:proofErr w:type="spellStart"/>
      <w:r w:rsidRPr="00F763AA">
        <w:rPr>
          <w:rFonts w:ascii="Times New Roman" w:hAnsi="Times New Roman"/>
          <w:b/>
          <w:bCs/>
          <w:lang w:val="en-HK"/>
        </w:rPr>
        <w:t>Alpari</w:t>
      </w:r>
      <w:proofErr w:type="spellEnd"/>
      <w:r w:rsidRPr="00F763AA">
        <w:rPr>
          <w:rFonts w:ascii="Times New Roman" w:hAnsi="Times New Roman"/>
          <w:b/>
          <w:bCs/>
          <w:lang w:val="en-HK"/>
        </w:rPr>
        <w:t xml:space="preserve"> (unreported, 29 September 2016)</w:t>
      </w:r>
      <w:r w:rsidRPr="00F763AA">
        <w:rPr>
          <w:rFonts w:ascii="Times New Roman" w:hAnsi="Times New Roman"/>
          <w:lang w:val="en-HK"/>
        </w:rPr>
        <w:t xml:space="preserve"> </w:t>
      </w:r>
    </w:p>
    <w:p w14:paraId="15A1497C"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xml:space="preserve">: Following </w:t>
      </w:r>
      <w:proofErr w:type="spellStart"/>
      <w:r w:rsidRPr="00E20375">
        <w:rPr>
          <w:rFonts w:ascii="Times New Roman" w:hAnsi="Times New Roman"/>
          <w:lang w:val="en-HK"/>
        </w:rPr>
        <w:t>Alpari’s</w:t>
      </w:r>
      <w:proofErr w:type="spellEnd"/>
      <w:r w:rsidRPr="00E20375">
        <w:rPr>
          <w:rFonts w:ascii="Times New Roman" w:hAnsi="Times New Roman"/>
          <w:lang w:val="en-HK"/>
        </w:rPr>
        <w:t xml:space="preserve"> insolvency, administrators sought an FCA direction under s 138A to vary the </w:t>
      </w:r>
      <w:r w:rsidRPr="00E20375">
        <w:rPr>
          <w:rFonts w:ascii="Times New Roman" w:hAnsi="Times New Roman"/>
          <w:i/>
          <w:iCs/>
          <w:lang w:val="en-HK"/>
        </w:rPr>
        <w:t>CASS</w:t>
      </w:r>
      <w:r w:rsidRPr="00E20375">
        <w:rPr>
          <w:rFonts w:ascii="Times New Roman" w:hAnsi="Times New Roman"/>
          <w:lang w:val="en-HK"/>
        </w:rPr>
        <w:t xml:space="preserve"> trust, simplifying distribution by excluding certain claims. Details are sparse due to the unreported status, but it set a precedent.</w:t>
      </w:r>
    </w:p>
    <w:p w14:paraId="678CDFE1"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Held</w:t>
      </w:r>
      <w:r w:rsidRPr="00E20375">
        <w:rPr>
          <w:rFonts w:ascii="Times New Roman" w:hAnsi="Times New Roman"/>
          <w:lang w:val="en-HK"/>
        </w:rPr>
        <w:t>: Newey J approved the variation, establishing “</w:t>
      </w:r>
      <w:proofErr w:type="spellStart"/>
      <w:r w:rsidRPr="00E20375">
        <w:rPr>
          <w:rFonts w:ascii="Times New Roman" w:hAnsi="Times New Roman"/>
          <w:lang w:val="en-HK"/>
        </w:rPr>
        <w:t>Alpari</w:t>
      </w:r>
      <w:proofErr w:type="spellEnd"/>
      <w:r w:rsidRPr="00E20375">
        <w:rPr>
          <w:rFonts w:ascii="Times New Roman" w:hAnsi="Times New Roman"/>
          <w:lang w:val="en-HK"/>
        </w:rPr>
        <w:t xml:space="preserve"> orders.”</w:t>
      </w:r>
    </w:p>
    <w:p w14:paraId="22759FAB"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Reasoning</w:t>
      </w:r>
      <w:r w:rsidRPr="00E20375">
        <w:rPr>
          <w:rFonts w:ascii="Times New Roman" w:hAnsi="Times New Roman"/>
          <w:lang w:val="en-HK"/>
        </w:rPr>
        <w:t xml:space="preserve">: The court endorsed extinguishing interests where administrative burdens outweighed claimant benefits, relying on statutory authority rather than </w:t>
      </w:r>
      <w:r w:rsidRPr="00E20375">
        <w:rPr>
          <w:rFonts w:ascii="Times New Roman" w:hAnsi="Times New Roman"/>
          <w:i/>
          <w:iCs/>
          <w:lang w:val="en-HK"/>
        </w:rPr>
        <w:t>Benjamin</w:t>
      </w:r>
      <w:r w:rsidRPr="00E20375">
        <w:rPr>
          <w:rFonts w:ascii="Times New Roman" w:hAnsi="Times New Roman"/>
          <w:lang w:val="en-HK"/>
        </w:rPr>
        <w:t xml:space="preserve">’s equitable jurisdiction. This marked a new tool, distinct from </w:t>
      </w:r>
      <w:r w:rsidRPr="00E20375">
        <w:rPr>
          <w:rFonts w:ascii="Times New Roman" w:hAnsi="Times New Roman"/>
          <w:i/>
          <w:iCs/>
          <w:lang w:val="en-HK"/>
        </w:rPr>
        <w:t xml:space="preserve">MF </w:t>
      </w:r>
      <w:proofErr w:type="spellStart"/>
      <w:r w:rsidRPr="00E20375">
        <w:rPr>
          <w:rFonts w:ascii="Times New Roman" w:hAnsi="Times New Roman"/>
          <w:i/>
          <w:iCs/>
          <w:lang w:val="en-HK"/>
        </w:rPr>
        <w:t>Global</w:t>
      </w:r>
      <w:r w:rsidRPr="00E20375">
        <w:rPr>
          <w:rFonts w:ascii="Times New Roman" w:hAnsi="Times New Roman"/>
          <w:lang w:val="en-HK"/>
        </w:rPr>
        <w:t>’s</w:t>
      </w:r>
      <w:proofErr w:type="spellEnd"/>
      <w:r w:rsidRPr="00E20375">
        <w:rPr>
          <w:rFonts w:ascii="Times New Roman" w:hAnsi="Times New Roman"/>
          <w:lang w:val="en-HK"/>
        </w:rPr>
        <w:t xml:space="preserve"> preservation approach, prioritizing finality.</w:t>
      </w:r>
    </w:p>
    <w:p w14:paraId="157B304D"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Significance</w:t>
      </w:r>
      <w:r w:rsidRPr="00E20375">
        <w:rPr>
          <w:rFonts w:ascii="Times New Roman" w:hAnsi="Times New Roman"/>
          <w:lang w:val="en-HK"/>
        </w:rPr>
        <w:t xml:space="preserve">: Briggs notes this as a “further development” beyond </w:t>
      </w:r>
      <w:r w:rsidRPr="00E20375">
        <w:rPr>
          <w:rFonts w:ascii="Times New Roman" w:hAnsi="Times New Roman"/>
          <w:i/>
          <w:iCs/>
          <w:lang w:val="en-HK"/>
        </w:rPr>
        <w:t>Benjamin</w:t>
      </w:r>
      <w:r w:rsidRPr="00E20375">
        <w:rPr>
          <w:rFonts w:ascii="Times New Roman" w:hAnsi="Times New Roman"/>
          <w:lang w:val="en-HK"/>
        </w:rPr>
        <w:t xml:space="preserve">, formalized in cases like </w:t>
      </w:r>
      <w:r w:rsidRPr="00E20375">
        <w:rPr>
          <w:rFonts w:ascii="Times New Roman" w:hAnsi="Times New Roman"/>
          <w:i/>
          <w:iCs/>
          <w:lang w:val="en-HK"/>
        </w:rPr>
        <w:t>Pritchard Stockbrokers</w:t>
      </w:r>
      <w:r w:rsidRPr="00E20375">
        <w:rPr>
          <w:rFonts w:ascii="Times New Roman" w:hAnsi="Times New Roman"/>
          <w:lang w:val="en-HK"/>
        </w:rPr>
        <w:t xml:space="preserve"> (Briggs, </w:t>
      </w:r>
      <w:r w:rsidRPr="00E20375">
        <w:rPr>
          <w:rFonts w:ascii="Times New Roman" w:hAnsi="Times New Roman"/>
          <w:i/>
          <w:iCs/>
          <w:lang w:val="en-HK"/>
        </w:rPr>
        <w:t>Scope creep</w:t>
      </w:r>
      <w:r w:rsidRPr="00E20375">
        <w:rPr>
          <w:rFonts w:ascii="Times New Roman" w:hAnsi="Times New Roman"/>
          <w:lang w:val="en-HK"/>
        </w:rPr>
        <w:t>, 2019).</w:t>
      </w:r>
    </w:p>
    <w:p w14:paraId="31F8B0E5"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Case Law: Re Pritchard Stockbrokers [2019] EWHC 137 (Ch) (Referenced Contextually)</w:t>
      </w:r>
      <w:r w:rsidRPr="00E20375">
        <w:rPr>
          <w:rFonts w:ascii="Times New Roman" w:hAnsi="Times New Roman"/>
          <w:lang w:val="en-HK"/>
        </w:rPr>
        <w:t xml:space="preserve"> </w:t>
      </w:r>
    </w:p>
    <w:p w14:paraId="2CA72080"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Facts</w:t>
      </w:r>
      <w:r w:rsidRPr="00E20375">
        <w:rPr>
          <w:rFonts w:ascii="Times New Roman" w:hAnsi="Times New Roman"/>
          <w:lang w:val="en-HK"/>
        </w:rPr>
        <w:t xml:space="preserve">: Administrators proposed an </w:t>
      </w:r>
      <w:proofErr w:type="spellStart"/>
      <w:r w:rsidRPr="00E20375">
        <w:rPr>
          <w:rFonts w:ascii="Times New Roman" w:hAnsi="Times New Roman"/>
          <w:i/>
          <w:iCs/>
          <w:lang w:val="en-HK"/>
        </w:rPr>
        <w:t>Alpari</w:t>
      </w:r>
      <w:proofErr w:type="spellEnd"/>
      <w:r w:rsidRPr="00E20375">
        <w:rPr>
          <w:rFonts w:ascii="Times New Roman" w:hAnsi="Times New Roman"/>
          <w:lang w:val="en-HK"/>
        </w:rPr>
        <w:t>-style variation, setting a £6.10 de minimis threshold to exclude low-value claims (detailed in later sections).</w:t>
      </w:r>
    </w:p>
    <w:p w14:paraId="2296AA24"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lastRenderedPageBreak/>
        <w:t>Held</w:t>
      </w:r>
      <w:r w:rsidRPr="00E20375">
        <w:rPr>
          <w:rFonts w:ascii="Times New Roman" w:hAnsi="Times New Roman"/>
          <w:lang w:val="en-HK"/>
        </w:rPr>
        <w:t xml:space="preserve">: Norris J approved, citing </w:t>
      </w:r>
      <w:proofErr w:type="spellStart"/>
      <w:r w:rsidRPr="00E20375">
        <w:rPr>
          <w:rFonts w:ascii="Times New Roman" w:hAnsi="Times New Roman"/>
          <w:i/>
          <w:iCs/>
          <w:lang w:val="en-HK"/>
        </w:rPr>
        <w:t>Alpari</w:t>
      </w:r>
      <w:proofErr w:type="spellEnd"/>
      <w:r w:rsidRPr="00E20375">
        <w:rPr>
          <w:rFonts w:ascii="Times New Roman" w:hAnsi="Times New Roman"/>
          <w:lang w:val="en-HK"/>
        </w:rPr>
        <w:t xml:space="preserve"> as precedent.</w:t>
      </w:r>
    </w:p>
    <w:p w14:paraId="0909E02D"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Reasoning</w:t>
      </w:r>
      <w:r w:rsidRPr="00E20375">
        <w:rPr>
          <w:rFonts w:ascii="Times New Roman" w:hAnsi="Times New Roman"/>
          <w:lang w:val="en-HK"/>
        </w:rPr>
        <w:t xml:space="preserve">: The variation extinguished small claims for practicality, reflecting s 138A’s flexibility, a step beyond </w:t>
      </w:r>
      <w:r w:rsidRPr="00E20375">
        <w:rPr>
          <w:rFonts w:ascii="Times New Roman" w:hAnsi="Times New Roman"/>
          <w:i/>
          <w:iCs/>
          <w:lang w:val="en-HK"/>
        </w:rPr>
        <w:t xml:space="preserve">MF </w:t>
      </w:r>
      <w:proofErr w:type="spellStart"/>
      <w:r w:rsidRPr="00E20375">
        <w:rPr>
          <w:rFonts w:ascii="Times New Roman" w:hAnsi="Times New Roman"/>
          <w:i/>
          <w:iCs/>
          <w:lang w:val="en-HK"/>
        </w:rPr>
        <w:t>Global</w:t>
      </w:r>
      <w:r w:rsidRPr="00E20375">
        <w:rPr>
          <w:rFonts w:ascii="Times New Roman" w:hAnsi="Times New Roman"/>
          <w:lang w:val="en-HK"/>
        </w:rPr>
        <w:t>’s</w:t>
      </w:r>
      <w:proofErr w:type="spellEnd"/>
      <w:r w:rsidRPr="00E20375">
        <w:rPr>
          <w:rFonts w:ascii="Times New Roman" w:hAnsi="Times New Roman"/>
          <w:lang w:val="en-HK"/>
        </w:rPr>
        <w:t xml:space="preserve"> reliance on equitable powers.</w:t>
      </w:r>
    </w:p>
    <w:p w14:paraId="5AE9E18F"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Scholar’s Opinion</w:t>
      </w:r>
      <w:r w:rsidRPr="00E20375">
        <w:rPr>
          <w:rFonts w:ascii="Times New Roman" w:hAnsi="Times New Roman"/>
          <w:lang w:val="en-HK"/>
        </w:rPr>
        <w:t xml:space="preserve">: </w:t>
      </w:r>
    </w:p>
    <w:p w14:paraId="597F022A" w14:textId="77777777" w:rsidR="00E20375" w:rsidRPr="00E20375" w:rsidRDefault="00E20375" w:rsidP="00F763AA">
      <w:pPr>
        <w:numPr>
          <w:ilvl w:val="1"/>
          <w:numId w:val="6"/>
        </w:numPr>
        <w:spacing w:after="240" w:line="360" w:lineRule="auto"/>
        <w:rPr>
          <w:rFonts w:ascii="Times New Roman" w:hAnsi="Times New Roman"/>
          <w:lang w:val="en-HK"/>
        </w:rPr>
      </w:pPr>
      <w:r w:rsidRPr="00E20375">
        <w:rPr>
          <w:rFonts w:ascii="Times New Roman" w:hAnsi="Times New Roman"/>
          <w:lang w:val="en-HK"/>
        </w:rPr>
        <w:t>Briggs critiques this expansion as a response to Neuberger’s call for “practical and fair” solutions (</w:t>
      </w:r>
      <w:r w:rsidRPr="00E20375">
        <w:rPr>
          <w:rFonts w:ascii="Times New Roman" w:hAnsi="Times New Roman"/>
          <w:i/>
          <w:iCs/>
          <w:lang w:val="en-HK"/>
        </w:rPr>
        <w:t>In re Lehman Bros (No 2)</w:t>
      </w:r>
      <w:r w:rsidRPr="00E20375">
        <w:rPr>
          <w:rFonts w:ascii="Times New Roman" w:hAnsi="Times New Roman"/>
          <w:lang w:val="en-HK"/>
        </w:rPr>
        <w:t xml:space="preserve">), but argues it “sits uneasily” with </w:t>
      </w:r>
      <w:r w:rsidRPr="00E20375">
        <w:rPr>
          <w:rFonts w:ascii="Times New Roman" w:hAnsi="Times New Roman"/>
          <w:i/>
          <w:iCs/>
          <w:lang w:val="en-HK"/>
        </w:rPr>
        <w:t>Benjamin</w:t>
      </w:r>
      <w:r w:rsidRPr="00E20375">
        <w:rPr>
          <w:rFonts w:ascii="Times New Roman" w:hAnsi="Times New Roman"/>
          <w:lang w:val="en-HK"/>
        </w:rPr>
        <w:t xml:space="preserve">’s role. Traditionally, </w:t>
      </w:r>
      <w:r w:rsidRPr="00E20375">
        <w:rPr>
          <w:rFonts w:ascii="Times New Roman" w:hAnsi="Times New Roman"/>
          <w:i/>
          <w:iCs/>
          <w:lang w:val="en-HK"/>
        </w:rPr>
        <w:t>Benjamin</w:t>
      </w:r>
      <w:r w:rsidRPr="00E20375">
        <w:rPr>
          <w:rFonts w:ascii="Times New Roman" w:hAnsi="Times New Roman"/>
          <w:lang w:val="en-HK"/>
        </w:rPr>
        <w:t xml:space="preserve"> does not “deal with beneficiaries’ rights” by excluding them; it protects trustees while preserving interests (Briggs, </w:t>
      </w:r>
      <w:r w:rsidRPr="00E20375">
        <w:rPr>
          <w:rFonts w:ascii="Times New Roman" w:hAnsi="Times New Roman"/>
          <w:i/>
          <w:iCs/>
          <w:lang w:val="en-HK"/>
        </w:rPr>
        <w:t>Scope creep</w:t>
      </w:r>
      <w:r w:rsidRPr="00E20375">
        <w:rPr>
          <w:rFonts w:ascii="Times New Roman" w:hAnsi="Times New Roman"/>
          <w:lang w:val="en-HK"/>
        </w:rPr>
        <w:t>, 2019).</w:t>
      </w:r>
    </w:p>
    <w:p w14:paraId="7882EF94" w14:textId="77777777" w:rsidR="00E20375" w:rsidRPr="00E20375" w:rsidRDefault="00E20375" w:rsidP="00F763AA">
      <w:pPr>
        <w:numPr>
          <w:ilvl w:val="1"/>
          <w:numId w:val="6"/>
        </w:numPr>
        <w:spacing w:after="240" w:line="360" w:lineRule="auto"/>
        <w:rPr>
          <w:rFonts w:ascii="Times New Roman" w:hAnsi="Times New Roman"/>
          <w:lang w:val="en-HK"/>
        </w:rPr>
      </w:pPr>
      <w:r w:rsidRPr="00E20375">
        <w:rPr>
          <w:rFonts w:ascii="Times New Roman" w:hAnsi="Times New Roman"/>
          <w:lang w:val="en-HK"/>
        </w:rPr>
        <w:t xml:space="preserve">He contrasts </w:t>
      </w:r>
      <w:proofErr w:type="spellStart"/>
      <w:r w:rsidRPr="00E20375">
        <w:rPr>
          <w:rFonts w:ascii="Times New Roman" w:hAnsi="Times New Roman"/>
          <w:i/>
          <w:iCs/>
          <w:lang w:val="en-HK"/>
        </w:rPr>
        <w:t>Finers</w:t>
      </w:r>
      <w:proofErr w:type="spellEnd"/>
      <w:r w:rsidRPr="00E20375">
        <w:rPr>
          <w:rFonts w:ascii="Times New Roman" w:hAnsi="Times New Roman"/>
          <w:lang w:val="en-HK"/>
        </w:rPr>
        <w:t xml:space="preserve">’ caution with </w:t>
      </w:r>
      <w:r w:rsidRPr="00E20375">
        <w:rPr>
          <w:rFonts w:ascii="Times New Roman" w:hAnsi="Times New Roman"/>
          <w:i/>
          <w:iCs/>
          <w:lang w:val="en-HK"/>
        </w:rPr>
        <w:t xml:space="preserve">MF </w:t>
      </w:r>
      <w:proofErr w:type="spellStart"/>
      <w:r w:rsidRPr="00E20375">
        <w:rPr>
          <w:rFonts w:ascii="Times New Roman" w:hAnsi="Times New Roman"/>
          <w:i/>
          <w:iCs/>
          <w:lang w:val="en-HK"/>
        </w:rPr>
        <w:t>Global</w:t>
      </w:r>
      <w:r w:rsidRPr="00E20375">
        <w:rPr>
          <w:rFonts w:ascii="Times New Roman" w:hAnsi="Times New Roman"/>
          <w:lang w:val="en-HK"/>
        </w:rPr>
        <w:t>’s</w:t>
      </w:r>
      <w:proofErr w:type="spellEnd"/>
      <w:r w:rsidRPr="00E20375">
        <w:rPr>
          <w:rFonts w:ascii="Times New Roman" w:hAnsi="Times New Roman"/>
          <w:lang w:val="en-HK"/>
        </w:rPr>
        <w:t xml:space="preserve"> boldness, suggesting the latter’s justification—practicality over precedent—strains trust law’s supervisory framework.</w:t>
      </w:r>
    </w:p>
    <w:p w14:paraId="522DF74D"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b/>
          <w:bCs/>
          <w:lang w:val="en-HK"/>
        </w:rPr>
        <w:t>Analysis</w:t>
      </w:r>
      <w:r w:rsidRPr="00E20375">
        <w:rPr>
          <w:rFonts w:ascii="Times New Roman" w:hAnsi="Times New Roman"/>
          <w:lang w:val="en-HK"/>
        </w:rPr>
        <w:t xml:space="preserve">: </w:t>
      </w:r>
    </w:p>
    <w:p w14:paraId="48752C73"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Jurisdictional Shift</w:t>
      </w:r>
      <w:r w:rsidRPr="00E20375">
        <w:rPr>
          <w:rFonts w:ascii="Times New Roman" w:hAnsi="Times New Roman"/>
          <w:lang w:val="en-HK"/>
        </w:rPr>
        <w:t xml:space="preserve">: </w:t>
      </w:r>
      <w:r w:rsidRPr="00E20375">
        <w:rPr>
          <w:rFonts w:ascii="Times New Roman" w:hAnsi="Times New Roman"/>
          <w:i/>
          <w:iCs/>
          <w:lang w:val="en-HK"/>
        </w:rPr>
        <w:t xml:space="preserve">Re </w:t>
      </w:r>
      <w:proofErr w:type="spellStart"/>
      <w:r w:rsidRPr="00E20375">
        <w:rPr>
          <w:rFonts w:ascii="Times New Roman" w:hAnsi="Times New Roman"/>
          <w:i/>
          <w:iCs/>
          <w:lang w:val="en-HK"/>
        </w:rPr>
        <w:t>Gess</w:t>
      </w:r>
      <w:proofErr w:type="spellEnd"/>
      <w:r w:rsidRPr="00E20375">
        <w:rPr>
          <w:rFonts w:ascii="Times New Roman" w:hAnsi="Times New Roman"/>
          <w:lang w:val="en-HK"/>
        </w:rPr>
        <w:t xml:space="preserve"> began adapting </w:t>
      </w:r>
      <w:r w:rsidRPr="00E20375">
        <w:rPr>
          <w:rFonts w:ascii="Times New Roman" w:hAnsi="Times New Roman"/>
          <w:i/>
          <w:iCs/>
          <w:lang w:val="en-HK"/>
        </w:rPr>
        <w:t>Benjamin</w:t>
      </w:r>
      <w:r w:rsidRPr="00E20375">
        <w:rPr>
          <w:rFonts w:ascii="Times New Roman" w:hAnsi="Times New Roman"/>
          <w:lang w:val="en-HK"/>
        </w:rPr>
        <w:t xml:space="preserve"> to necessity, but </w:t>
      </w:r>
      <w:r w:rsidRPr="00E20375">
        <w:rPr>
          <w:rFonts w:ascii="Times New Roman" w:hAnsi="Times New Roman"/>
          <w:i/>
          <w:iCs/>
          <w:lang w:val="en-HK"/>
        </w:rPr>
        <w:t>MF Global</w:t>
      </w:r>
      <w:r w:rsidRPr="00E20375">
        <w:rPr>
          <w:rFonts w:ascii="Times New Roman" w:hAnsi="Times New Roman"/>
          <w:lang w:val="en-HK"/>
        </w:rPr>
        <w:t xml:space="preserve"> extended it to disputed claims, relying on inherent equity per </w:t>
      </w:r>
      <w:proofErr w:type="spellStart"/>
      <w:r w:rsidRPr="00E20375">
        <w:rPr>
          <w:rFonts w:ascii="Times New Roman" w:hAnsi="Times New Roman"/>
          <w:i/>
          <w:iCs/>
          <w:lang w:val="en-HK"/>
        </w:rPr>
        <w:t>Finers</w:t>
      </w:r>
      <w:proofErr w:type="spellEnd"/>
      <w:r w:rsidRPr="00E20375">
        <w:rPr>
          <w:rFonts w:ascii="Times New Roman" w:hAnsi="Times New Roman"/>
          <w:lang w:val="en-HK"/>
        </w:rPr>
        <w:t xml:space="preserve">. </w:t>
      </w:r>
      <w:proofErr w:type="spellStart"/>
      <w:r w:rsidRPr="00E20375">
        <w:rPr>
          <w:rFonts w:ascii="Times New Roman" w:hAnsi="Times New Roman"/>
          <w:i/>
          <w:iCs/>
          <w:lang w:val="en-HK"/>
        </w:rPr>
        <w:t>Alpari</w:t>
      </w:r>
      <w:proofErr w:type="spellEnd"/>
      <w:r w:rsidRPr="00E20375">
        <w:rPr>
          <w:rFonts w:ascii="Times New Roman" w:hAnsi="Times New Roman"/>
          <w:lang w:val="en-HK"/>
        </w:rPr>
        <w:t xml:space="preserve"> introduced statutory variation, a distinct leap from </w:t>
      </w:r>
      <w:r w:rsidRPr="00E20375">
        <w:rPr>
          <w:rFonts w:ascii="Times New Roman" w:hAnsi="Times New Roman"/>
          <w:i/>
          <w:iCs/>
          <w:lang w:val="en-HK"/>
        </w:rPr>
        <w:t>Benjamin</w:t>
      </w:r>
      <w:r w:rsidRPr="00E20375">
        <w:rPr>
          <w:rFonts w:ascii="Times New Roman" w:hAnsi="Times New Roman"/>
          <w:lang w:val="en-HK"/>
        </w:rPr>
        <w:t>’s assumptions.</w:t>
      </w:r>
    </w:p>
    <w:p w14:paraId="52370BB2"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Practicality vs. Principle</w:t>
      </w:r>
      <w:r w:rsidRPr="00E20375">
        <w:rPr>
          <w:rFonts w:ascii="Times New Roman" w:hAnsi="Times New Roman"/>
          <w:lang w:val="en-HK"/>
        </w:rPr>
        <w:t xml:space="preserve">: </w:t>
      </w:r>
      <w:r w:rsidRPr="00E20375">
        <w:rPr>
          <w:rFonts w:ascii="Times New Roman" w:hAnsi="Times New Roman"/>
          <w:i/>
          <w:iCs/>
          <w:lang w:val="en-HK"/>
        </w:rPr>
        <w:t>MF Global</w:t>
      </w:r>
      <w:r w:rsidRPr="00E20375">
        <w:rPr>
          <w:rFonts w:ascii="Times New Roman" w:hAnsi="Times New Roman"/>
          <w:lang w:val="en-HK"/>
        </w:rPr>
        <w:t xml:space="preserve"> prioritized client access to funds, accepting exclusion of non-litigants, while </w:t>
      </w:r>
      <w:proofErr w:type="spellStart"/>
      <w:r w:rsidRPr="00E20375">
        <w:rPr>
          <w:rFonts w:ascii="Times New Roman" w:hAnsi="Times New Roman"/>
          <w:i/>
          <w:iCs/>
          <w:lang w:val="en-HK"/>
        </w:rPr>
        <w:t>Finers</w:t>
      </w:r>
      <w:proofErr w:type="spellEnd"/>
      <w:r w:rsidRPr="00E20375">
        <w:rPr>
          <w:rFonts w:ascii="Times New Roman" w:hAnsi="Times New Roman"/>
          <w:lang w:val="en-HK"/>
        </w:rPr>
        <w:t xml:space="preserve"> balanced potential claims. Briggs sees </w:t>
      </w:r>
      <w:r w:rsidRPr="00E20375">
        <w:rPr>
          <w:rFonts w:ascii="Times New Roman" w:hAnsi="Times New Roman"/>
          <w:i/>
          <w:iCs/>
          <w:lang w:val="en-HK"/>
        </w:rPr>
        <w:t>MF Global</w:t>
      </w:r>
      <w:r w:rsidRPr="00E20375">
        <w:rPr>
          <w:rFonts w:ascii="Times New Roman" w:hAnsi="Times New Roman"/>
          <w:lang w:val="en-HK"/>
        </w:rPr>
        <w:t xml:space="preserve"> as overreach, lacking </w:t>
      </w:r>
      <w:proofErr w:type="spellStart"/>
      <w:r w:rsidRPr="00E20375">
        <w:rPr>
          <w:rFonts w:ascii="Times New Roman" w:hAnsi="Times New Roman"/>
          <w:i/>
          <w:iCs/>
          <w:lang w:val="en-HK"/>
        </w:rPr>
        <w:t>Finers</w:t>
      </w:r>
      <w:proofErr w:type="spellEnd"/>
      <w:r w:rsidRPr="00E20375">
        <w:rPr>
          <w:rFonts w:ascii="Times New Roman" w:hAnsi="Times New Roman"/>
          <w:lang w:val="en-HK"/>
        </w:rPr>
        <w:t>’ safeguards.</w:t>
      </w:r>
    </w:p>
    <w:p w14:paraId="24C8964A" w14:textId="77777777" w:rsidR="00E20375" w:rsidRPr="00E20375" w:rsidRDefault="00E20375" w:rsidP="00F763AA">
      <w:pPr>
        <w:spacing w:after="240" w:line="360" w:lineRule="auto"/>
        <w:rPr>
          <w:rFonts w:ascii="Times New Roman" w:hAnsi="Times New Roman"/>
          <w:lang w:val="en-HK"/>
        </w:rPr>
      </w:pPr>
      <w:r w:rsidRPr="00E20375">
        <w:rPr>
          <w:rFonts w:ascii="Times New Roman" w:hAnsi="Times New Roman"/>
          <w:i/>
          <w:iCs/>
          <w:lang w:val="en-HK"/>
        </w:rPr>
        <w:t>Statutory Overlay</w:t>
      </w:r>
      <w:r w:rsidRPr="00E20375">
        <w:rPr>
          <w:rFonts w:ascii="Times New Roman" w:hAnsi="Times New Roman"/>
          <w:lang w:val="en-HK"/>
        </w:rPr>
        <w:t>: S 138A (</w:t>
      </w:r>
      <w:proofErr w:type="spellStart"/>
      <w:r w:rsidRPr="00E20375">
        <w:rPr>
          <w:rFonts w:ascii="Times New Roman" w:hAnsi="Times New Roman"/>
          <w:i/>
          <w:iCs/>
          <w:lang w:val="en-HK"/>
        </w:rPr>
        <w:t>Alpari</w:t>
      </w:r>
      <w:proofErr w:type="spellEnd"/>
      <w:r w:rsidRPr="00E20375">
        <w:rPr>
          <w:rFonts w:ascii="Times New Roman" w:hAnsi="Times New Roman"/>
          <w:lang w:val="en-HK"/>
        </w:rPr>
        <w:t xml:space="preserve">) offers a legislative bypass, contrasting with </w:t>
      </w:r>
      <w:r w:rsidRPr="00E20375">
        <w:rPr>
          <w:rFonts w:ascii="Times New Roman" w:hAnsi="Times New Roman"/>
          <w:i/>
          <w:iCs/>
          <w:lang w:val="en-HK"/>
        </w:rPr>
        <w:t>Benjamin</w:t>
      </w:r>
      <w:r w:rsidRPr="00E20375">
        <w:rPr>
          <w:rFonts w:ascii="Times New Roman" w:hAnsi="Times New Roman"/>
          <w:lang w:val="en-HK"/>
        </w:rPr>
        <w:t>’s equitable roots, raising questions about consistency with trust duties.</w:t>
      </w:r>
    </w:p>
    <w:p w14:paraId="3E3A5A91" w14:textId="77777777" w:rsidR="00E20375" w:rsidRPr="00F763AA" w:rsidRDefault="00E20375" w:rsidP="00F763AA">
      <w:pPr>
        <w:spacing w:after="240" w:line="360" w:lineRule="auto"/>
        <w:rPr>
          <w:rFonts w:ascii="Times New Roman" w:hAnsi="Times New Roman"/>
          <w:lang w:val="en-HK"/>
        </w:rPr>
      </w:pPr>
      <w:r w:rsidRPr="00E20375">
        <w:rPr>
          <w:rFonts w:ascii="Times New Roman" w:hAnsi="Times New Roman"/>
          <w:b/>
          <w:bCs/>
          <w:lang w:val="en-HK"/>
        </w:rPr>
        <w:t>Conclusion</w:t>
      </w:r>
      <w:r w:rsidRPr="00E20375">
        <w:rPr>
          <w:rFonts w:ascii="Times New Roman" w:hAnsi="Times New Roman"/>
          <w:lang w:val="en-HK"/>
        </w:rPr>
        <w:t xml:space="preserve">: This section illustrates a dual expansion: </w:t>
      </w:r>
      <w:r w:rsidRPr="00E20375">
        <w:rPr>
          <w:rFonts w:ascii="Times New Roman" w:hAnsi="Times New Roman"/>
          <w:i/>
          <w:iCs/>
          <w:lang w:val="en-HK"/>
        </w:rPr>
        <w:t>MF Global</w:t>
      </w:r>
      <w:r w:rsidRPr="00E20375">
        <w:rPr>
          <w:rFonts w:ascii="Times New Roman" w:hAnsi="Times New Roman"/>
          <w:lang w:val="en-HK"/>
        </w:rPr>
        <w:t xml:space="preserve"> stretches </w:t>
      </w:r>
      <w:r w:rsidRPr="00E20375">
        <w:rPr>
          <w:rFonts w:ascii="Times New Roman" w:hAnsi="Times New Roman"/>
          <w:i/>
          <w:iCs/>
          <w:lang w:val="en-HK"/>
        </w:rPr>
        <w:t>Benjamin</w:t>
      </w:r>
      <w:r w:rsidRPr="00E20375">
        <w:rPr>
          <w:rFonts w:ascii="Times New Roman" w:hAnsi="Times New Roman"/>
          <w:lang w:val="en-HK"/>
        </w:rPr>
        <w:t xml:space="preserve"> to manage insolvency disputes, while </w:t>
      </w:r>
      <w:proofErr w:type="spellStart"/>
      <w:r w:rsidRPr="00E20375">
        <w:rPr>
          <w:rFonts w:ascii="Times New Roman" w:hAnsi="Times New Roman"/>
          <w:i/>
          <w:iCs/>
          <w:lang w:val="en-HK"/>
        </w:rPr>
        <w:t>Alpari</w:t>
      </w:r>
      <w:proofErr w:type="spellEnd"/>
      <w:r w:rsidRPr="00E20375">
        <w:rPr>
          <w:rFonts w:ascii="Times New Roman" w:hAnsi="Times New Roman"/>
          <w:lang w:val="en-HK"/>
        </w:rPr>
        <w:t xml:space="preserve"> leverages statutory power to extinguish rights. Briggs flags this as a departure from </w:t>
      </w:r>
      <w:r w:rsidRPr="00E20375">
        <w:rPr>
          <w:rFonts w:ascii="Times New Roman" w:hAnsi="Times New Roman"/>
          <w:i/>
          <w:iCs/>
          <w:lang w:val="en-HK"/>
        </w:rPr>
        <w:t>Benjamin</w:t>
      </w:r>
      <w:r w:rsidRPr="00E20375">
        <w:rPr>
          <w:rFonts w:ascii="Times New Roman" w:hAnsi="Times New Roman"/>
          <w:lang w:val="en-HK"/>
        </w:rPr>
        <w:t>’s protective intent, setting up later concerns about beneficiary safeguards.</w:t>
      </w:r>
    </w:p>
    <w:p w14:paraId="2E1DCD01" w14:textId="484E783A" w:rsidR="00E20375" w:rsidRPr="00F763AA" w:rsidRDefault="00F96148" w:rsidP="00F763AA">
      <w:pPr>
        <w:spacing w:after="240" w:line="360" w:lineRule="auto"/>
        <w:rPr>
          <w:rFonts w:ascii="Times New Roman" w:hAnsi="Times New Roman"/>
          <w:lang w:val="en-HK"/>
        </w:rPr>
      </w:pPr>
      <w:r w:rsidRPr="00F96148">
        <w:rPr>
          <w:rFonts w:ascii="Times New Roman" w:hAnsi="Times New Roman"/>
          <w:noProof/>
          <w:lang w:val="en-HK"/>
          <w14:ligatures w14:val="standardContextual"/>
        </w:rPr>
        <w:pict w14:anchorId="0567333F">
          <v:rect id="_x0000_i1025" alt="" style="width:451.3pt;height:.05pt;mso-width-percent:0;mso-height-percent:0;mso-width-percent:0;mso-height-percent:0" o:hralign="center" o:hrstd="t" o:hr="t" fillcolor="#a0a0a0" stroked="f"/>
        </w:pict>
      </w:r>
    </w:p>
    <w:p w14:paraId="4E1F01F7" w14:textId="3782A4F6" w:rsidR="00F763AA" w:rsidRPr="00F763AA" w:rsidRDefault="00F763AA" w:rsidP="00F763AA">
      <w:pPr>
        <w:spacing w:after="240" w:line="360" w:lineRule="auto"/>
        <w:outlineLvl w:val="2"/>
        <w:rPr>
          <w:rFonts w:ascii="Times New Roman" w:hAnsi="Times New Roman"/>
          <w:b/>
          <w:bCs/>
          <w:lang w:val="en-HK"/>
        </w:rPr>
      </w:pPr>
      <w:r w:rsidRPr="00F763AA">
        <w:rPr>
          <w:rFonts w:ascii="Times New Roman" w:hAnsi="Times New Roman"/>
          <w:b/>
          <w:bCs/>
          <w:lang w:val="en-HK"/>
        </w:rPr>
        <w:t xml:space="preserve">5. Further Developments and Concerns </w:t>
      </w:r>
    </w:p>
    <w:p w14:paraId="169B3A6C"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lang w:val="en-HK"/>
        </w:rPr>
        <w:t xml:space="preserve">This section examines the continued evolution of the </w:t>
      </w:r>
      <w:r w:rsidRPr="00F763AA">
        <w:rPr>
          <w:rFonts w:ascii="Times New Roman" w:hAnsi="Times New Roman"/>
          <w:i/>
          <w:iCs/>
          <w:lang w:val="en-HK"/>
        </w:rPr>
        <w:t>Re Benjamin</w:t>
      </w:r>
      <w:r w:rsidRPr="00F763AA">
        <w:rPr>
          <w:rFonts w:ascii="Times New Roman" w:hAnsi="Times New Roman"/>
          <w:lang w:val="en-HK"/>
        </w:rPr>
        <w:t xml:space="preserve"> jurisdiction and related equitable and statutory mechanisms in the context of insolvent financial institutions, focusing </w:t>
      </w:r>
      <w:r w:rsidRPr="00F763AA">
        <w:rPr>
          <w:rFonts w:ascii="Times New Roman" w:hAnsi="Times New Roman"/>
          <w:lang w:val="en-HK"/>
        </w:rPr>
        <w:lastRenderedPageBreak/>
        <w:t xml:space="preserve">on </w:t>
      </w:r>
      <w:r w:rsidRPr="00F763AA">
        <w:rPr>
          <w:rFonts w:ascii="Times New Roman" w:hAnsi="Times New Roman"/>
          <w:i/>
          <w:iCs/>
          <w:lang w:val="en-HK"/>
        </w:rPr>
        <w:t>Re Pritchard Stockbrokers [2019] EWHC 137 (Ch)</w:t>
      </w:r>
      <w:r w:rsidRPr="00F763AA">
        <w:rPr>
          <w:rFonts w:ascii="Times New Roman" w:hAnsi="Times New Roman"/>
          <w:lang w:val="en-HK"/>
        </w:rPr>
        <w:t>. It articulates significant concerns about the erosion of beneficiaries’ rights, the practicality of remedies, and procedural fairness, questioning whether these developments undermine trust law’s supervisory integrity.</w:t>
      </w:r>
    </w:p>
    <w:p w14:paraId="5C1D04F8"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Core Development</w:t>
      </w:r>
      <w:r w:rsidRPr="00F763AA">
        <w:rPr>
          <w:rFonts w:ascii="Times New Roman" w:hAnsi="Times New Roman"/>
          <w:lang w:val="en-HK"/>
        </w:rPr>
        <w:t xml:space="preserve">: </w:t>
      </w:r>
    </w:p>
    <w:p w14:paraId="60547FB9"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lang w:val="en-HK"/>
        </w:rPr>
        <w:t xml:space="preserve">Building on </w:t>
      </w:r>
      <w:r w:rsidRPr="00F763AA">
        <w:rPr>
          <w:rFonts w:ascii="Times New Roman" w:hAnsi="Times New Roman"/>
          <w:i/>
          <w:iCs/>
          <w:lang w:val="en-HK"/>
        </w:rPr>
        <w:t>Re MF Global UK (No.3)</w:t>
      </w:r>
      <w:r w:rsidRPr="00F763AA">
        <w:rPr>
          <w:rFonts w:ascii="Times New Roman" w:hAnsi="Times New Roman"/>
          <w:lang w:val="en-HK"/>
        </w:rPr>
        <w:t xml:space="preserve"> and </w:t>
      </w:r>
      <w:r w:rsidRPr="00F763AA">
        <w:rPr>
          <w:rFonts w:ascii="Times New Roman" w:hAnsi="Times New Roman"/>
          <w:i/>
          <w:iCs/>
          <w:lang w:val="en-HK"/>
        </w:rPr>
        <w:t xml:space="preserve">Re </w:t>
      </w:r>
      <w:proofErr w:type="spellStart"/>
      <w:r w:rsidRPr="00F763AA">
        <w:rPr>
          <w:rFonts w:ascii="Times New Roman" w:hAnsi="Times New Roman"/>
          <w:i/>
          <w:iCs/>
          <w:lang w:val="en-HK"/>
        </w:rPr>
        <w:t>Alpari</w:t>
      </w:r>
      <w:proofErr w:type="spellEnd"/>
      <w:r w:rsidRPr="00F763AA">
        <w:rPr>
          <w:rFonts w:ascii="Times New Roman" w:hAnsi="Times New Roman"/>
          <w:lang w:val="en-HK"/>
        </w:rPr>
        <w:t>, this section highlights further judicial and statutory expansions, particularly through “</w:t>
      </w:r>
      <w:proofErr w:type="spellStart"/>
      <w:r w:rsidRPr="00F763AA">
        <w:rPr>
          <w:rFonts w:ascii="Times New Roman" w:hAnsi="Times New Roman"/>
          <w:lang w:val="en-HK"/>
        </w:rPr>
        <w:t>Alpari</w:t>
      </w:r>
      <w:proofErr w:type="spellEnd"/>
      <w:r w:rsidRPr="00F763AA">
        <w:rPr>
          <w:rFonts w:ascii="Times New Roman" w:hAnsi="Times New Roman"/>
          <w:lang w:val="en-HK"/>
        </w:rPr>
        <w:t xml:space="preserve"> orders” under the </w:t>
      </w:r>
      <w:r w:rsidRPr="00F763AA">
        <w:rPr>
          <w:rFonts w:ascii="Times New Roman" w:hAnsi="Times New Roman"/>
          <w:i/>
          <w:iCs/>
          <w:lang w:val="en-HK"/>
        </w:rPr>
        <w:t>Financial Services and Markets Act 2000, s 138A</w:t>
      </w:r>
      <w:r w:rsidRPr="00F763AA">
        <w:rPr>
          <w:rFonts w:ascii="Times New Roman" w:hAnsi="Times New Roman"/>
          <w:lang w:val="en-HK"/>
        </w:rPr>
        <w:t xml:space="preserve">. These mechanisms move beyond </w:t>
      </w:r>
      <w:r w:rsidRPr="00F763AA">
        <w:rPr>
          <w:rFonts w:ascii="Times New Roman" w:hAnsi="Times New Roman"/>
          <w:i/>
          <w:iCs/>
          <w:lang w:val="en-HK"/>
        </w:rPr>
        <w:t>Benjamin</w:t>
      </w:r>
      <w:r w:rsidRPr="00F763AA">
        <w:rPr>
          <w:rFonts w:ascii="Times New Roman" w:hAnsi="Times New Roman"/>
          <w:lang w:val="en-HK"/>
        </w:rPr>
        <w:t xml:space="preserve">’s protective scope, extinguishing beneficial interests outright, prompting Briggs to raise principled objections (Briggs, </w:t>
      </w:r>
      <w:r w:rsidRPr="00F763AA">
        <w:rPr>
          <w:rFonts w:ascii="Times New Roman" w:hAnsi="Times New Roman"/>
          <w:i/>
          <w:iCs/>
          <w:lang w:val="en-HK"/>
        </w:rPr>
        <w:t>Scope creep</w:t>
      </w:r>
      <w:r w:rsidRPr="00F763AA">
        <w:rPr>
          <w:rFonts w:ascii="Times New Roman" w:hAnsi="Times New Roman"/>
          <w:lang w:val="en-HK"/>
        </w:rPr>
        <w:t>, 2019).</w:t>
      </w:r>
    </w:p>
    <w:p w14:paraId="24B4D00C"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Case Law: Re Pritchard Stockbrokers [2019] EWHC 137 (Ch)</w:t>
      </w:r>
      <w:r w:rsidRPr="00F763AA">
        <w:rPr>
          <w:rFonts w:ascii="Times New Roman" w:hAnsi="Times New Roman"/>
          <w:lang w:val="en-HK"/>
        </w:rPr>
        <w:t xml:space="preserve"> </w:t>
      </w:r>
    </w:p>
    <w:p w14:paraId="479E2F28"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Facts</w:t>
      </w:r>
      <w:r w:rsidRPr="00F763AA">
        <w:rPr>
          <w:rFonts w:ascii="Times New Roman" w:hAnsi="Times New Roman"/>
          <w:lang w:val="en-HK"/>
        </w:rPr>
        <w:t xml:space="preserve">: Following Pritchard Stockbrokers’ insolvency, administrators managed a client money pool under </w:t>
      </w:r>
      <w:r w:rsidRPr="00F763AA">
        <w:rPr>
          <w:rFonts w:ascii="Times New Roman" w:hAnsi="Times New Roman"/>
          <w:i/>
          <w:iCs/>
          <w:lang w:val="en-HK"/>
        </w:rPr>
        <w:t>CASS</w:t>
      </w:r>
      <w:r w:rsidRPr="00F763AA">
        <w:rPr>
          <w:rFonts w:ascii="Times New Roman" w:hAnsi="Times New Roman"/>
          <w:lang w:val="en-HK"/>
        </w:rPr>
        <w:t xml:space="preserve"> rules with over 4,000 claims. After extensive efforts, 22% of claims (by number) remained unresolved—1,839 valued at £1 or less, </w:t>
      </w:r>
      <w:proofErr w:type="spellStart"/>
      <w:r w:rsidRPr="00F763AA">
        <w:rPr>
          <w:rFonts w:ascii="Times New Roman" w:hAnsi="Times New Roman"/>
          <w:lang w:val="en-HK"/>
        </w:rPr>
        <w:t>totaling</w:t>
      </w:r>
      <w:proofErr w:type="spellEnd"/>
      <w:r w:rsidRPr="00F763AA">
        <w:rPr>
          <w:rFonts w:ascii="Times New Roman" w:hAnsi="Times New Roman"/>
          <w:lang w:val="en-HK"/>
        </w:rPr>
        <w:t xml:space="preserve"> 3% by value. They proposed an </w:t>
      </w:r>
      <w:proofErr w:type="spellStart"/>
      <w:r w:rsidRPr="00F763AA">
        <w:rPr>
          <w:rFonts w:ascii="Times New Roman" w:hAnsi="Times New Roman"/>
          <w:i/>
          <w:iCs/>
          <w:lang w:val="en-HK"/>
        </w:rPr>
        <w:t>Alpari</w:t>
      </w:r>
      <w:proofErr w:type="spellEnd"/>
      <w:r w:rsidRPr="00F763AA">
        <w:rPr>
          <w:rFonts w:ascii="Times New Roman" w:hAnsi="Times New Roman"/>
          <w:lang w:val="en-HK"/>
        </w:rPr>
        <w:t>-style variation under s 138A, setting a £6.10 de minimis threshold to exclude low-value claims, treating them as having no interest. The process involved meticulous claimant outreach (e.g., advertisements, tracing), reducing unagreed claims to an “unresponsive rump.”</w:t>
      </w:r>
    </w:p>
    <w:p w14:paraId="1A83E05C"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Held</w:t>
      </w:r>
      <w:r w:rsidRPr="00F763AA">
        <w:rPr>
          <w:rFonts w:ascii="Times New Roman" w:hAnsi="Times New Roman"/>
          <w:lang w:val="en-HK"/>
        </w:rPr>
        <w:t>: Norris J approved the variation and distribution plan, closing the administration.</w:t>
      </w:r>
    </w:p>
    <w:p w14:paraId="5042E032"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Reasoning</w:t>
      </w:r>
      <w:r w:rsidRPr="00F763AA">
        <w:rPr>
          <w:rFonts w:ascii="Times New Roman" w:hAnsi="Times New Roman"/>
          <w:lang w:val="en-HK"/>
        </w:rPr>
        <w:t xml:space="preserve">: </w:t>
      </w:r>
    </w:p>
    <w:p w14:paraId="309FAF8A"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i/>
          <w:iCs/>
          <w:lang w:val="en-HK"/>
        </w:rPr>
        <w:t>Practical Necessity</w:t>
      </w:r>
      <w:r w:rsidRPr="00F763AA">
        <w:rPr>
          <w:rFonts w:ascii="Times New Roman" w:hAnsi="Times New Roman"/>
          <w:lang w:val="en-HK"/>
        </w:rPr>
        <w:t>: Norris J emphasized the “time-consuming steps” taken to identify and quantify claims, leaving a small but stubborn group of unresponsive or unpursued claims. For trivial sums (e.g., below £6.10), pursuit was deemed abandoned, while larger claims warranted finality over preservation.</w:t>
      </w:r>
    </w:p>
    <w:p w14:paraId="791DFEA5"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i/>
          <w:iCs/>
          <w:lang w:val="en-HK"/>
        </w:rPr>
        <w:t>Finality</w:t>
      </w:r>
      <w:r w:rsidRPr="00F763AA">
        <w:rPr>
          <w:rFonts w:ascii="Times New Roman" w:hAnsi="Times New Roman"/>
          <w:lang w:val="en-HK"/>
        </w:rPr>
        <w:t xml:space="preserve">: “It is undoubtedly time for the book to be closed,” ensuring recipients could rely on their distributions without tracing risks. This shifted from </w:t>
      </w:r>
      <w:r w:rsidRPr="00F763AA">
        <w:rPr>
          <w:rFonts w:ascii="Times New Roman" w:hAnsi="Times New Roman"/>
          <w:i/>
          <w:iCs/>
          <w:lang w:val="en-HK"/>
        </w:rPr>
        <w:t xml:space="preserve">MF </w:t>
      </w:r>
      <w:proofErr w:type="spellStart"/>
      <w:r w:rsidRPr="00F763AA">
        <w:rPr>
          <w:rFonts w:ascii="Times New Roman" w:hAnsi="Times New Roman"/>
          <w:i/>
          <w:iCs/>
          <w:lang w:val="en-HK"/>
        </w:rPr>
        <w:t>Global</w:t>
      </w:r>
      <w:r w:rsidRPr="00F763AA">
        <w:rPr>
          <w:rFonts w:ascii="Times New Roman" w:hAnsi="Times New Roman"/>
          <w:lang w:val="en-HK"/>
        </w:rPr>
        <w:t>’s</w:t>
      </w:r>
      <w:proofErr w:type="spellEnd"/>
      <w:r w:rsidRPr="00F763AA">
        <w:rPr>
          <w:rFonts w:ascii="Times New Roman" w:hAnsi="Times New Roman"/>
          <w:lang w:val="en-HK"/>
        </w:rPr>
        <w:t xml:space="preserve"> preservation of </w:t>
      </w:r>
      <w:r w:rsidRPr="00F763AA">
        <w:rPr>
          <w:rFonts w:ascii="Times New Roman" w:hAnsi="Times New Roman"/>
          <w:i/>
          <w:iCs/>
          <w:lang w:val="en-HK"/>
        </w:rPr>
        <w:t>Re Diplock</w:t>
      </w:r>
      <w:r w:rsidRPr="00F763AA">
        <w:rPr>
          <w:rFonts w:ascii="Times New Roman" w:hAnsi="Times New Roman"/>
          <w:lang w:val="en-HK"/>
        </w:rPr>
        <w:t xml:space="preserve"> rights to outright extinguishment.</w:t>
      </w:r>
    </w:p>
    <w:p w14:paraId="0EBF0504"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i/>
          <w:iCs/>
          <w:lang w:val="en-HK"/>
        </w:rPr>
        <w:t>Judicial Factors</w:t>
      </w:r>
      <w:r w:rsidRPr="00F763AA">
        <w:rPr>
          <w:rFonts w:ascii="Times New Roman" w:hAnsi="Times New Roman"/>
          <w:lang w:val="en-HK"/>
        </w:rPr>
        <w:t xml:space="preserve">: Norris J outlined criteria for such orders: </w:t>
      </w:r>
    </w:p>
    <w:p w14:paraId="513034B5"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lang w:val="en-HK"/>
        </w:rPr>
        <w:lastRenderedPageBreak/>
        <w:t>(a) Nature and scale of the distribution problem (e.g., numerous low-value claims).</w:t>
      </w:r>
    </w:p>
    <w:p w14:paraId="4162DDD1"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lang w:val="en-HK"/>
        </w:rPr>
        <w:t>(b) Steps taken to identify clients and claims, with results (e.g., 78% resolution by number).</w:t>
      </w:r>
    </w:p>
    <w:p w14:paraId="08E48182"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lang w:val="en-HK"/>
        </w:rPr>
        <w:t>(c) Reasonable efforts considering claim size, investigation cost, cost burden, and prompt return needs, justifying imperfect knowledge.</w:t>
      </w:r>
    </w:p>
    <w:p w14:paraId="4148FEE4"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lang w:val="en-HK"/>
        </w:rPr>
        <w:t>(d) Details of the distribution mechanism and handling of excluded claimants (e.g., threshold application).</w:t>
      </w:r>
    </w:p>
    <w:p w14:paraId="2867402E"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lang w:val="en-HK"/>
        </w:rPr>
        <w:t xml:space="preserve">(e) Preference for extinguishment over preservation, </w:t>
      </w:r>
      <w:proofErr w:type="spellStart"/>
      <w:r w:rsidRPr="00F763AA">
        <w:rPr>
          <w:rFonts w:ascii="Times New Roman" w:hAnsi="Times New Roman"/>
          <w:lang w:val="en-HK"/>
        </w:rPr>
        <w:t>favoring</w:t>
      </w:r>
      <w:proofErr w:type="spellEnd"/>
      <w:r w:rsidRPr="00F763AA">
        <w:rPr>
          <w:rFonts w:ascii="Times New Roman" w:hAnsi="Times New Roman"/>
          <w:lang w:val="en-HK"/>
        </w:rPr>
        <w:t xml:space="preserve"> </w:t>
      </w:r>
      <w:proofErr w:type="spellStart"/>
      <w:r w:rsidRPr="00F763AA">
        <w:rPr>
          <w:rFonts w:ascii="Times New Roman" w:hAnsi="Times New Roman"/>
          <w:i/>
          <w:iCs/>
          <w:lang w:val="en-HK"/>
        </w:rPr>
        <w:t>Alpari</w:t>
      </w:r>
      <w:proofErr w:type="spellEnd"/>
      <w:r w:rsidRPr="00F763AA">
        <w:rPr>
          <w:rFonts w:ascii="Times New Roman" w:hAnsi="Times New Roman"/>
          <w:lang w:val="en-HK"/>
        </w:rPr>
        <w:t xml:space="preserve"> over </w:t>
      </w:r>
      <w:r w:rsidRPr="00F763AA">
        <w:rPr>
          <w:rFonts w:ascii="Times New Roman" w:hAnsi="Times New Roman"/>
          <w:i/>
          <w:iCs/>
          <w:lang w:val="en-HK"/>
        </w:rPr>
        <w:t>MF Global</w:t>
      </w:r>
      <w:r w:rsidRPr="00F763AA">
        <w:rPr>
          <w:rFonts w:ascii="Times New Roman" w:hAnsi="Times New Roman"/>
          <w:lang w:val="en-HK"/>
        </w:rPr>
        <w:t xml:space="preserve"> for efficiency and closure.</w:t>
      </w:r>
    </w:p>
    <w:p w14:paraId="1C15E5E7"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Significance</w:t>
      </w:r>
      <w:r w:rsidRPr="00F763AA">
        <w:rPr>
          <w:rFonts w:ascii="Times New Roman" w:hAnsi="Times New Roman"/>
          <w:lang w:val="en-HK"/>
        </w:rPr>
        <w:t xml:space="preserve">: This formalized the shift from </w:t>
      </w:r>
      <w:r w:rsidRPr="00F763AA">
        <w:rPr>
          <w:rFonts w:ascii="Times New Roman" w:hAnsi="Times New Roman"/>
          <w:i/>
          <w:iCs/>
          <w:lang w:val="en-HK"/>
        </w:rPr>
        <w:t>Benjamin</w:t>
      </w:r>
      <w:r w:rsidRPr="00F763AA">
        <w:rPr>
          <w:rFonts w:ascii="Times New Roman" w:hAnsi="Times New Roman"/>
          <w:lang w:val="en-HK"/>
        </w:rPr>
        <w:t>’s assumptions to statutory erasure of rights, balancing administrative utility against claimant loss.</w:t>
      </w:r>
    </w:p>
    <w:p w14:paraId="0F218372"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Statute: Financial Services and Markets Act 2000, s 138A</w:t>
      </w:r>
      <w:r w:rsidRPr="00F763AA">
        <w:rPr>
          <w:rFonts w:ascii="Times New Roman" w:hAnsi="Times New Roman"/>
          <w:lang w:val="en-HK"/>
        </w:rPr>
        <w:t xml:space="preserve"> </w:t>
      </w:r>
    </w:p>
    <w:p w14:paraId="13BC6C8E"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Provision</w:t>
      </w:r>
      <w:r w:rsidRPr="00F763AA">
        <w:rPr>
          <w:rFonts w:ascii="Times New Roman" w:hAnsi="Times New Roman"/>
          <w:lang w:val="en-HK"/>
        </w:rPr>
        <w:t xml:space="preserve">: Allows the Financial Conduct Authority (FCA) to vary statutory trusts (e.g., </w:t>
      </w:r>
      <w:r w:rsidRPr="00F763AA">
        <w:rPr>
          <w:rFonts w:ascii="Times New Roman" w:hAnsi="Times New Roman"/>
          <w:i/>
          <w:iCs/>
          <w:lang w:val="en-HK"/>
        </w:rPr>
        <w:t>CASS</w:t>
      </w:r>
      <w:r w:rsidRPr="00F763AA">
        <w:rPr>
          <w:rFonts w:ascii="Times New Roman" w:hAnsi="Times New Roman"/>
          <w:lang w:val="en-HK"/>
        </w:rPr>
        <w:t xml:space="preserve"> trusts) if conditions are met, such as administrative impracticality or cost-efficiency. Trustees seek court approval post-FCA direction.</w:t>
      </w:r>
    </w:p>
    <w:p w14:paraId="3E9D49A5"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Application in Pritchard</w:t>
      </w:r>
      <w:r w:rsidRPr="00F763AA">
        <w:rPr>
          <w:rFonts w:ascii="Times New Roman" w:hAnsi="Times New Roman"/>
          <w:lang w:val="en-HK"/>
        </w:rPr>
        <w:t xml:space="preserve">: The £6.10 threshold extinguished interests below this level, reflecting s 138A’s flexibility to override equitable norms, a mechanism rooted in </w:t>
      </w:r>
      <w:r w:rsidRPr="00F763AA">
        <w:rPr>
          <w:rFonts w:ascii="Times New Roman" w:hAnsi="Times New Roman"/>
          <w:i/>
          <w:iCs/>
          <w:lang w:val="en-HK"/>
        </w:rPr>
        <w:t xml:space="preserve">Re </w:t>
      </w:r>
      <w:proofErr w:type="spellStart"/>
      <w:r w:rsidRPr="00F763AA">
        <w:rPr>
          <w:rFonts w:ascii="Times New Roman" w:hAnsi="Times New Roman"/>
          <w:i/>
          <w:iCs/>
          <w:lang w:val="en-HK"/>
        </w:rPr>
        <w:t>Alpari</w:t>
      </w:r>
      <w:proofErr w:type="spellEnd"/>
      <w:r w:rsidRPr="00F763AA">
        <w:rPr>
          <w:rFonts w:ascii="Times New Roman" w:hAnsi="Times New Roman"/>
          <w:i/>
          <w:iCs/>
          <w:lang w:val="en-HK"/>
        </w:rPr>
        <w:t xml:space="preserve"> (</w:t>
      </w:r>
      <w:proofErr w:type="spellStart"/>
      <w:r w:rsidRPr="00F763AA">
        <w:rPr>
          <w:rFonts w:ascii="Times New Roman" w:hAnsi="Times New Roman"/>
          <w:i/>
          <w:iCs/>
          <w:lang w:val="en-HK"/>
        </w:rPr>
        <w:t>unrep</w:t>
      </w:r>
      <w:proofErr w:type="spellEnd"/>
      <w:r w:rsidRPr="00F763AA">
        <w:rPr>
          <w:rFonts w:ascii="Times New Roman" w:hAnsi="Times New Roman"/>
          <w:i/>
          <w:iCs/>
          <w:lang w:val="en-HK"/>
        </w:rPr>
        <w:t>, 29 September 2016)</w:t>
      </w:r>
      <w:r w:rsidRPr="00F763AA">
        <w:rPr>
          <w:rFonts w:ascii="Times New Roman" w:hAnsi="Times New Roman"/>
          <w:lang w:val="en-HK"/>
        </w:rPr>
        <w:t>.</w:t>
      </w:r>
    </w:p>
    <w:p w14:paraId="331F126A"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Contrast with Benjamin</w:t>
      </w:r>
      <w:r w:rsidRPr="00F763AA">
        <w:rPr>
          <w:rFonts w:ascii="Times New Roman" w:hAnsi="Times New Roman"/>
          <w:lang w:val="en-HK"/>
        </w:rPr>
        <w:t xml:space="preserve">: Unlike </w:t>
      </w:r>
      <w:r w:rsidRPr="00F763AA">
        <w:rPr>
          <w:rFonts w:ascii="Times New Roman" w:hAnsi="Times New Roman"/>
          <w:i/>
          <w:iCs/>
          <w:lang w:val="en-HK"/>
        </w:rPr>
        <w:t>Benjamin</w:t>
      </w:r>
      <w:r w:rsidRPr="00F763AA">
        <w:rPr>
          <w:rFonts w:ascii="Times New Roman" w:hAnsi="Times New Roman"/>
          <w:lang w:val="en-HK"/>
        </w:rPr>
        <w:t>’s protective intent, s 138A enables final resolution, aligning with insolvency’s need for closure.</w:t>
      </w:r>
    </w:p>
    <w:p w14:paraId="4A122D52"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 xml:space="preserve">Case Law: Re </w:t>
      </w:r>
      <w:proofErr w:type="spellStart"/>
      <w:r w:rsidRPr="00F763AA">
        <w:rPr>
          <w:rFonts w:ascii="Times New Roman" w:hAnsi="Times New Roman"/>
          <w:b/>
          <w:bCs/>
          <w:lang w:val="en-HK"/>
        </w:rPr>
        <w:t>Alpari</w:t>
      </w:r>
      <w:proofErr w:type="spellEnd"/>
      <w:r w:rsidRPr="00F763AA">
        <w:rPr>
          <w:rFonts w:ascii="Times New Roman" w:hAnsi="Times New Roman"/>
          <w:b/>
          <w:bCs/>
          <w:lang w:val="en-HK"/>
        </w:rPr>
        <w:t xml:space="preserve"> (unreported, 29 September 2016) (Referenced Contextually)</w:t>
      </w:r>
      <w:r w:rsidRPr="00F763AA">
        <w:rPr>
          <w:rFonts w:ascii="Times New Roman" w:hAnsi="Times New Roman"/>
          <w:lang w:val="en-HK"/>
        </w:rPr>
        <w:t xml:space="preserve"> </w:t>
      </w:r>
    </w:p>
    <w:p w14:paraId="36618133"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Facts</w:t>
      </w:r>
      <w:r w:rsidRPr="00F763AA">
        <w:rPr>
          <w:rFonts w:ascii="Times New Roman" w:hAnsi="Times New Roman"/>
          <w:lang w:val="en-HK"/>
        </w:rPr>
        <w:t xml:space="preserve">: </w:t>
      </w:r>
      <w:proofErr w:type="spellStart"/>
      <w:r w:rsidRPr="00F763AA">
        <w:rPr>
          <w:rFonts w:ascii="Times New Roman" w:hAnsi="Times New Roman"/>
          <w:lang w:val="en-HK"/>
        </w:rPr>
        <w:t>Alpari’s</w:t>
      </w:r>
      <w:proofErr w:type="spellEnd"/>
      <w:r w:rsidRPr="00F763AA">
        <w:rPr>
          <w:rFonts w:ascii="Times New Roman" w:hAnsi="Times New Roman"/>
          <w:lang w:val="en-HK"/>
        </w:rPr>
        <w:t xml:space="preserve"> administrators sought an FCA variation to streamline distribution, excluding certain claims.</w:t>
      </w:r>
    </w:p>
    <w:p w14:paraId="55A65645"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Held</w:t>
      </w:r>
      <w:r w:rsidRPr="00F763AA">
        <w:rPr>
          <w:rFonts w:ascii="Times New Roman" w:hAnsi="Times New Roman"/>
          <w:lang w:val="en-HK"/>
        </w:rPr>
        <w:t>: Newey J approved, establishing “</w:t>
      </w:r>
      <w:proofErr w:type="spellStart"/>
      <w:r w:rsidRPr="00F763AA">
        <w:rPr>
          <w:rFonts w:ascii="Times New Roman" w:hAnsi="Times New Roman"/>
          <w:lang w:val="en-HK"/>
        </w:rPr>
        <w:t>Alpari</w:t>
      </w:r>
      <w:proofErr w:type="spellEnd"/>
      <w:r w:rsidRPr="00F763AA">
        <w:rPr>
          <w:rFonts w:ascii="Times New Roman" w:hAnsi="Times New Roman"/>
          <w:lang w:val="en-HK"/>
        </w:rPr>
        <w:t xml:space="preserve"> orders.”</w:t>
      </w:r>
    </w:p>
    <w:p w14:paraId="69487F9D"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Reasoning</w:t>
      </w:r>
      <w:r w:rsidRPr="00F763AA">
        <w:rPr>
          <w:rFonts w:ascii="Times New Roman" w:hAnsi="Times New Roman"/>
          <w:lang w:val="en-HK"/>
        </w:rPr>
        <w:t xml:space="preserve">: Statutory authority under s 138A justified extinguishing interests where administration outweighed benefits, a precedent </w:t>
      </w:r>
      <w:r w:rsidRPr="00F763AA">
        <w:rPr>
          <w:rFonts w:ascii="Times New Roman" w:hAnsi="Times New Roman"/>
          <w:i/>
          <w:iCs/>
          <w:lang w:val="en-HK"/>
        </w:rPr>
        <w:t>Pritchard</w:t>
      </w:r>
      <w:r w:rsidRPr="00F763AA">
        <w:rPr>
          <w:rFonts w:ascii="Times New Roman" w:hAnsi="Times New Roman"/>
          <w:lang w:val="en-HK"/>
        </w:rPr>
        <w:t xml:space="preserve"> built upon with its de minimis approach.</w:t>
      </w:r>
    </w:p>
    <w:p w14:paraId="1D548F1E"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lastRenderedPageBreak/>
        <w:t>Role</w:t>
      </w:r>
      <w:r w:rsidRPr="00F763AA">
        <w:rPr>
          <w:rFonts w:ascii="Times New Roman" w:hAnsi="Times New Roman"/>
          <w:lang w:val="en-HK"/>
        </w:rPr>
        <w:t xml:space="preserve">: Briggs notes this as a catalyst for moving beyond </w:t>
      </w:r>
      <w:r w:rsidRPr="00F763AA">
        <w:rPr>
          <w:rFonts w:ascii="Times New Roman" w:hAnsi="Times New Roman"/>
          <w:i/>
          <w:iCs/>
          <w:lang w:val="en-HK"/>
        </w:rPr>
        <w:t>Benjamin</w:t>
      </w:r>
      <w:r w:rsidRPr="00F763AA">
        <w:rPr>
          <w:rFonts w:ascii="Times New Roman" w:hAnsi="Times New Roman"/>
          <w:lang w:val="en-HK"/>
        </w:rPr>
        <w:t xml:space="preserve">’s scope (Briggs, </w:t>
      </w:r>
      <w:r w:rsidRPr="00F763AA">
        <w:rPr>
          <w:rFonts w:ascii="Times New Roman" w:hAnsi="Times New Roman"/>
          <w:i/>
          <w:iCs/>
          <w:lang w:val="en-HK"/>
        </w:rPr>
        <w:t>Scope creep</w:t>
      </w:r>
      <w:r w:rsidRPr="00F763AA">
        <w:rPr>
          <w:rFonts w:ascii="Times New Roman" w:hAnsi="Times New Roman"/>
          <w:lang w:val="en-HK"/>
        </w:rPr>
        <w:t>, 2019).</w:t>
      </w:r>
    </w:p>
    <w:p w14:paraId="500326A6"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Case Law: Re MF Global UK (No.3) [2013] EWHC 1655 (Ch) (Referenced Contextually)</w:t>
      </w:r>
      <w:r w:rsidRPr="00F763AA">
        <w:rPr>
          <w:rFonts w:ascii="Times New Roman" w:hAnsi="Times New Roman"/>
          <w:lang w:val="en-HK"/>
        </w:rPr>
        <w:t xml:space="preserve"> </w:t>
      </w:r>
    </w:p>
    <w:p w14:paraId="23EE835A"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Facts</w:t>
      </w:r>
      <w:r w:rsidRPr="00F763AA">
        <w:rPr>
          <w:rFonts w:ascii="Times New Roman" w:hAnsi="Times New Roman"/>
          <w:lang w:val="en-HK"/>
        </w:rPr>
        <w:t xml:space="preserve">: Administrators excluded rejected claimants not suing by a deadline, preserving </w:t>
      </w:r>
      <w:r w:rsidRPr="00F763AA">
        <w:rPr>
          <w:rFonts w:ascii="Times New Roman" w:hAnsi="Times New Roman"/>
          <w:i/>
          <w:iCs/>
          <w:lang w:val="en-HK"/>
        </w:rPr>
        <w:t>Re Diplock</w:t>
      </w:r>
      <w:r w:rsidRPr="00F763AA">
        <w:rPr>
          <w:rFonts w:ascii="Times New Roman" w:hAnsi="Times New Roman"/>
          <w:lang w:val="en-HK"/>
        </w:rPr>
        <w:t xml:space="preserve"> tracing rights for excluded parties.</w:t>
      </w:r>
    </w:p>
    <w:p w14:paraId="1031CD65"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Held</w:t>
      </w:r>
      <w:r w:rsidRPr="00F763AA">
        <w:rPr>
          <w:rFonts w:ascii="Times New Roman" w:hAnsi="Times New Roman"/>
          <w:lang w:val="en-HK"/>
        </w:rPr>
        <w:t xml:space="preserve">: David Richards J approved, expanding </w:t>
      </w:r>
      <w:r w:rsidRPr="00F763AA">
        <w:rPr>
          <w:rFonts w:ascii="Times New Roman" w:hAnsi="Times New Roman"/>
          <w:i/>
          <w:iCs/>
          <w:lang w:val="en-HK"/>
        </w:rPr>
        <w:t>Benjamin</w:t>
      </w:r>
      <w:r w:rsidRPr="00F763AA">
        <w:rPr>
          <w:rFonts w:ascii="Times New Roman" w:hAnsi="Times New Roman"/>
          <w:lang w:val="en-HK"/>
        </w:rPr>
        <w:t>’s equitable reach.</w:t>
      </w:r>
    </w:p>
    <w:p w14:paraId="61A149EC"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Reasoning</w:t>
      </w:r>
      <w:r w:rsidRPr="00F763AA">
        <w:rPr>
          <w:rFonts w:ascii="Times New Roman" w:hAnsi="Times New Roman"/>
          <w:lang w:val="en-HK"/>
        </w:rPr>
        <w:t>: Practicality justified distribution, with tracing as a theoretical safeguard, though Briggs questions its viability (below).</w:t>
      </w:r>
    </w:p>
    <w:p w14:paraId="039DBF5A"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Contrast with Pritchard</w:t>
      </w:r>
      <w:r w:rsidRPr="00F763AA">
        <w:rPr>
          <w:rFonts w:ascii="Times New Roman" w:hAnsi="Times New Roman"/>
          <w:lang w:val="en-HK"/>
        </w:rPr>
        <w:t xml:space="preserve">: </w:t>
      </w:r>
      <w:r w:rsidRPr="00F763AA">
        <w:rPr>
          <w:rFonts w:ascii="Times New Roman" w:hAnsi="Times New Roman"/>
          <w:i/>
          <w:iCs/>
          <w:lang w:val="en-HK"/>
        </w:rPr>
        <w:t>MF Global</w:t>
      </w:r>
      <w:r w:rsidRPr="00F763AA">
        <w:rPr>
          <w:rFonts w:ascii="Times New Roman" w:hAnsi="Times New Roman"/>
          <w:lang w:val="en-HK"/>
        </w:rPr>
        <w:t xml:space="preserve"> retained rights; </w:t>
      </w:r>
      <w:r w:rsidRPr="00F763AA">
        <w:rPr>
          <w:rFonts w:ascii="Times New Roman" w:hAnsi="Times New Roman"/>
          <w:i/>
          <w:iCs/>
          <w:lang w:val="en-HK"/>
        </w:rPr>
        <w:t>Pritchard</w:t>
      </w:r>
      <w:r w:rsidRPr="00F763AA">
        <w:rPr>
          <w:rFonts w:ascii="Times New Roman" w:hAnsi="Times New Roman"/>
          <w:lang w:val="en-HK"/>
        </w:rPr>
        <w:t xml:space="preserve"> extinguished them, marking a progression in scope.</w:t>
      </w:r>
    </w:p>
    <w:p w14:paraId="55C2804A"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Concerns Raised by Briggs</w:t>
      </w:r>
      <w:r w:rsidRPr="00F763AA">
        <w:rPr>
          <w:rFonts w:ascii="Times New Roman" w:hAnsi="Times New Roman"/>
          <w:lang w:val="en-HK"/>
        </w:rPr>
        <w:t xml:space="preserve">: </w:t>
      </w:r>
    </w:p>
    <w:p w14:paraId="21C07140"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Tracing Viability</w:t>
      </w:r>
      <w:r w:rsidRPr="00F763AA">
        <w:rPr>
          <w:rFonts w:ascii="Times New Roman" w:hAnsi="Times New Roman"/>
          <w:lang w:val="en-HK"/>
        </w:rPr>
        <w:t xml:space="preserve">: </w:t>
      </w:r>
    </w:p>
    <w:p w14:paraId="6EC559F9"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MF Global Approach</w:t>
      </w:r>
      <w:r w:rsidRPr="00F763AA">
        <w:rPr>
          <w:rFonts w:ascii="Times New Roman" w:hAnsi="Times New Roman"/>
          <w:lang w:val="en-HK"/>
        </w:rPr>
        <w:t xml:space="preserve">: Claimed excluded beneficiaries could pursue </w:t>
      </w:r>
      <w:r w:rsidRPr="00F763AA">
        <w:rPr>
          <w:rFonts w:ascii="Times New Roman" w:hAnsi="Times New Roman"/>
          <w:i/>
          <w:iCs/>
          <w:lang w:val="en-HK"/>
        </w:rPr>
        <w:t>Re Diplock</w:t>
      </w:r>
      <w:r w:rsidRPr="00F763AA">
        <w:rPr>
          <w:rFonts w:ascii="Times New Roman" w:hAnsi="Times New Roman"/>
          <w:lang w:val="en-HK"/>
        </w:rPr>
        <w:t xml:space="preserve"> claims (</w:t>
      </w:r>
      <w:r w:rsidRPr="00F763AA">
        <w:rPr>
          <w:rFonts w:ascii="Times New Roman" w:hAnsi="Times New Roman"/>
          <w:i/>
          <w:iCs/>
          <w:lang w:val="en-HK"/>
        </w:rPr>
        <w:t>Re Evans [1999] 2 All ER 777</w:t>
      </w:r>
      <w:r w:rsidRPr="00F763AA">
        <w:rPr>
          <w:rFonts w:ascii="Times New Roman" w:hAnsi="Times New Roman"/>
          <w:lang w:val="en-HK"/>
        </w:rPr>
        <w:t xml:space="preserve">), tracing assets from recipients. Briggs argues this is “legally and practically questionable” (Briggs, </w:t>
      </w:r>
      <w:r w:rsidRPr="00F763AA">
        <w:rPr>
          <w:rFonts w:ascii="Times New Roman" w:hAnsi="Times New Roman"/>
          <w:i/>
          <w:iCs/>
          <w:lang w:val="en-HK"/>
        </w:rPr>
        <w:t>Scope creep</w:t>
      </w:r>
      <w:r w:rsidRPr="00F763AA">
        <w:rPr>
          <w:rFonts w:ascii="Times New Roman" w:hAnsi="Times New Roman"/>
          <w:lang w:val="en-HK"/>
        </w:rPr>
        <w:t xml:space="preserve">, 2019): </w:t>
      </w:r>
    </w:p>
    <w:p w14:paraId="2419885D" w14:textId="77777777" w:rsidR="00F763AA" w:rsidRPr="00F763AA" w:rsidRDefault="00F763AA" w:rsidP="00F763AA">
      <w:pPr>
        <w:numPr>
          <w:ilvl w:val="3"/>
          <w:numId w:val="8"/>
        </w:numPr>
        <w:spacing w:after="240" w:line="360" w:lineRule="auto"/>
        <w:rPr>
          <w:rFonts w:ascii="Times New Roman" w:hAnsi="Times New Roman"/>
          <w:lang w:val="en-HK"/>
        </w:rPr>
      </w:pPr>
      <w:r w:rsidRPr="00F763AA">
        <w:rPr>
          <w:rFonts w:ascii="Times New Roman" w:hAnsi="Times New Roman"/>
          <w:i/>
          <w:iCs/>
          <w:lang w:val="en-HK"/>
        </w:rPr>
        <w:t>Practicality</w:t>
      </w:r>
      <w:r w:rsidRPr="00F763AA">
        <w:rPr>
          <w:rFonts w:ascii="Times New Roman" w:hAnsi="Times New Roman"/>
          <w:lang w:val="en-HK"/>
        </w:rPr>
        <w:t xml:space="preserve">: Administrators deem contacting claimants infeasible; expecting excluded beneficiaries to trace against thousands of recipients (e.g., 3,275 in </w:t>
      </w:r>
      <w:r w:rsidRPr="00F763AA">
        <w:rPr>
          <w:rFonts w:ascii="Times New Roman" w:hAnsi="Times New Roman"/>
          <w:i/>
          <w:iCs/>
          <w:lang w:val="en-HK"/>
        </w:rPr>
        <w:t>MF Global</w:t>
      </w:r>
      <w:r w:rsidRPr="00F763AA">
        <w:rPr>
          <w:rFonts w:ascii="Times New Roman" w:hAnsi="Times New Roman"/>
          <w:lang w:val="en-HK"/>
        </w:rPr>
        <w:t>) is even less viable, especially for small sums.</w:t>
      </w:r>
    </w:p>
    <w:p w14:paraId="029128A3" w14:textId="77777777" w:rsidR="00F763AA" w:rsidRPr="00F763AA" w:rsidRDefault="00F763AA" w:rsidP="00F763AA">
      <w:pPr>
        <w:numPr>
          <w:ilvl w:val="3"/>
          <w:numId w:val="8"/>
        </w:numPr>
        <w:spacing w:after="240" w:line="360" w:lineRule="auto"/>
        <w:rPr>
          <w:rFonts w:ascii="Times New Roman" w:hAnsi="Times New Roman"/>
          <w:lang w:val="en-HK"/>
        </w:rPr>
      </w:pPr>
      <w:r w:rsidRPr="00F763AA">
        <w:rPr>
          <w:rFonts w:ascii="Times New Roman" w:hAnsi="Times New Roman"/>
          <w:i/>
          <w:iCs/>
          <w:lang w:val="en-HK"/>
        </w:rPr>
        <w:t>Legal Hurdle</w:t>
      </w:r>
      <w:r w:rsidRPr="00F763AA">
        <w:rPr>
          <w:rFonts w:ascii="Times New Roman" w:hAnsi="Times New Roman"/>
          <w:lang w:val="en-HK"/>
        </w:rPr>
        <w:t xml:space="preserve">: Recipients signed “proforma settlement agreements,” likely making them purchasers for value, not volunteers, thus immune to </w:t>
      </w:r>
      <w:r w:rsidRPr="00F763AA">
        <w:rPr>
          <w:rFonts w:ascii="Times New Roman" w:hAnsi="Times New Roman"/>
          <w:i/>
          <w:iCs/>
          <w:lang w:val="en-HK"/>
        </w:rPr>
        <w:t>Diplock</w:t>
      </w:r>
      <w:r w:rsidRPr="00F763AA">
        <w:rPr>
          <w:rFonts w:ascii="Times New Roman" w:hAnsi="Times New Roman"/>
          <w:lang w:val="en-HK"/>
        </w:rPr>
        <w:t xml:space="preserve"> claims under equity (</w:t>
      </w:r>
      <w:r w:rsidRPr="00F763AA">
        <w:rPr>
          <w:rFonts w:ascii="Times New Roman" w:hAnsi="Times New Roman"/>
          <w:i/>
          <w:iCs/>
          <w:lang w:val="en-HK"/>
        </w:rPr>
        <w:t>Re Diplock [1948] Ch 465</w:t>
      </w:r>
      <w:r w:rsidRPr="00F763AA">
        <w:rPr>
          <w:rFonts w:ascii="Times New Roman" w:hAnsi="Times New Roman"/>
          <w:lang w:val="en-HK"/>
        </w:rPr>
        <w:t>).</w:t>
      </w:r>
    </w:p>
    <w:p w14:paraId="15D0A852"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i/>
          <w:iCs/>
          <w:lang w:val="en-HK"/>
        </w:rPr>
        <w:t>Pritchard Shift</w:t>
      </w:r>
      <w:r w:rsidRPr="00F763AA">
        <w:rPr>
          <w:rFonts w:ascii="Times New Roman" w:hAnsi="Times New Roman"/>
          <w:lang w:val="en-HK"/>
        </w:rPr>
        <w:t>: Extinguishing rights avoids tracing issues but eliminates remedies entirely, a more drastic step.</w:t>
      </w:r>
    </w:p>
    <w:p w14:paraId="00D600A0"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Alternative Compensation</w:t>
      </w:r>
      <w:r w:rsidRPr="00F763AA">
        <w:rPr>
          <w:rFonts w:ascii="Times New Roman" w:hAnsi="Times New Roman"/>
          <w:lang w:val="en-HK"/>
        </w:rPr>
        <w:t xml:space="preserve">: </w:t>
      </w:r>
    </w:p>
    <w:p w14:paraId="2CE2B266"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lang w:val="en-HK"/>
        </w:rPr>
        <w:lastRenderedPageBreak/>
        <w:t xml:space="preserve">Excluded </w:t>
      </w:r>
      <w:r w:rsidRPr="00F763AA">
        <w:rPr>
          <w:rFonts w:ascii="Times New Roman" w:hAnsi="Times New Roman"/>
          <w:i/>
          <w:iCs/>
          <w:lang w:val="en-HK"/>
        </w:rPr>
        <w:t>Pritchard</w:t>
      </w:r>
      <w:r w:rsidRPr="00F763AA">
        <w:rPr>
          <w:rFonts w:ascii="Times New Roman" w:hAnsi="Times New Roman"/>
          <w:lang w:val="en-HK"/>
        </w:rPr>
        <w:t xml:space="preserve"> claimants were directed to the Financial Services Compensation Scheme (FSCS), which compensates eligible clients (up to £85,000 as of 2019). However, non-natural persons (e.g., companies) and those outside UK jurisdiction are ineligible, leaving gaps in protection.</w:t>
      </w:r>
    </w:p>
    <w:p w14:paraId="0FE2B658"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lang w:val="en-HK"/>
        </w:rPr>
        <w:t xml:space="preserve">Briggs notes this as a partial mitigant, insufficient for all affected parties (Briggs, </w:t>
      </w:r>
      <w:r w:rsidRPr="00F763AA">
        <w:rPr>
          <w:rFonts w:ascii="Times New Roman" w:hAnsi="Times New Roman"/>
          <w:i/>
          <w:iCs/>
          <w:lang w:val="en-HK"/>
        </w:rPr>
        <w:t>Scope creep</w:t>
      </w:r>
      <w:r w:rsidRPr="00F763AA">
        <w:rPr>
          <w:rFonts w:ascii="Times New Roman" w:hAnsi="Times New Roman"/>
          <w:lang w:val="en-HK"/>
        </w:rPr>
        <w:t>, 2019).</w:t>
      </w:r>
    </w:p>
    <w:p w14:paraId="077A114C"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Lack of Representation</w:t>
      </w:r>
      <w:r w:rsidRPr="00F763AA">
        <w:rPr>
          <w:rFonts w:ascii="Times New Roman" w:hAnsi="Times New Roman"/>
          <w:lang w:val="en-HK"/>
        </w:rPr>
        <w:t xml:space="preserve">: </w:t>
      </w:r>
    </w:p>
    <w:p w14:paraId="70F638BB"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lang w:val="en-HK"/>
        </w:rPr>
        <w:t xml:space="preserve">In </w:t>
      </w:r>
      <w:r w:rsidRPr="00F763AA">
        <w:rPr>
          <w:rFonts w:ascii="Times New Roman" w:hAnsi="Times New Roman"/>
          <w:i/>
          <w:iCs/>
          <w:lang w:val="en-HK"/>
        </w:rPr>
        <w:t>MF Global</w:t>
      </w:r>
      <w:r w:rsidRPr="00F763AA">
        <w:rPr>
          <w:rFonts w:ascii="Times New Roman" w:hAnsi="Times New Roman"/>
          <w:lang w:val="en-HK"/>
        </w:rPr>
        <w:t xml:space="preserve"> (£340 million in disputed claims), </w:t>
      </w:r>
      <w:proofErr w:type="spellStart"/>
      <w:r w:rsidRPr="00F763AA">
        <w:rPr>
          <w:rFonts w:ascii="Times New Roman" w:hAnsi="Times New Roman"/>
          <w:i/>
          <w:iCs/>
          <w:lang w:val="en-HK"/>
        </w:rPr>
        <w:t>Alpari</w:t>
      </w:r>
      <w:proofErr w:type="spellEnd"/>
      <w:r w:rsidRPr="00F763AA">
        <w:rPr>
          <w:rFonts w:ascii="Times New Roman" w:hAnsi="Times New Roman"/>
          <w:lang w:val="en-HK"/>
        </w:rPr>
        <w:t xml:space="preserve">, and </w:t>
      </w:r>
      <w:r w:rsidRPr="00F763AA">
        <w:rPr>
          <w:rFonts w:ascii="Times New Roman" w:hAnsi="Times New Roman"/>
          <w:i/>
          <w:iCs/>
          <w:lang w:val="en-HK"/>
        </w:rPr>
        <w:t>Pritchard</w:t>
      </w:r>
      <w:r w:rsidRPr="00F763AA">
        <w:rPr>
          <w:rFonts w:ascii="Times New Roman" w:hAnsi="Times New Roman"/>
          <w:lang w:val="en-HK"/>
        </w:rPr>
        <w:t>, affected beneficiaries were unrepresented, despite orders altering or erasing their interests. Typically, trust litigation (</w:t>
      </w:r>
      <w:r w:rsidRPr="00F763AA">
        <w:rPr>
          <w:rFonts w:ascii="Times New Roman" w:hAnsi="Times New Roman"/>
          <w:i/>
          <w:iCs/>
          <w:lang w:val="en-HK"/>
        </w:rPr>
        <w:t>Public Trustee v Cooper</w:t>
      </w:r>
      <w:r w:rsidRPr="00F763AA">
        <w:rPr>
          <w:rFonts w:ascii="Times New Roman" w:hAnsi="Times New Roman"/>
          <w:lang w:val="en-HK"/>
        </w:rPr>
        <w:t>) requires joining or representing all parties.</w:t>
      </w:r>
    </w:p>
    <w:p w14:paraId="30EB5542"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i/>
          <w:iCs/>
          <w:lang w:val="en-HK"/>
        </w:rPr>
        <w:t>Contrast with Benjamin</w:t>
      </w:r>
      <w:r w:rsidRPr="00F763AA">
        <w:rPr>
          <w:rFonts w:ascii="Times New Roman" w:hAnsi="Times New Roman"/>
          <w:lang w:val="en-HK"/>
        </w:rPr>
        <w:t xml:space="preserve">: Even </w:t>
      </w:r>
      <w:r w:rsidRPr="00F763AA">
        <w:rPr>
          <w:rFonts w:ascii="Times New Roman" w:hAnsi="Times New Roman"/>
          <w:i/>
          <w:iCs/>
          <w:lang w:val="en-HK"/>
        </w:rPr>
        <w:t>Benjamin</w:t>
      </w:r>
      <w:r w:rsidRPr="00F763AA">
        <w:rPr>
          <w:rFonts w:ascii="Times New Roman" w:hAnsi="Times New Roman"/>
          <w:lang w:val="en-HK"/>
        </w:rPr>
        <w:t xml:space="preserve"> applications serve potential claimants; here, no explanation justifies their absence, despite significant stakes (e.g., £340 million in </w:t>
      </w:r>
      <w:r w:rsidRPr="00F763AA">
        <w:rPr>
          <w:rFonts w:ascii="Times New Roman" w:hAnsi="Times New Roman"/>
          <w:i/>
          <w:iCs/>
          <w:lang w:val="en-HK"/>
        </w:rPr>
        <w:t>MF Global</w:t>
      </w:r>
      <w:r w:rsidRPr="00F763AA">
        <w:rPr>
          <w:rFonts w:ascii="Times New Roman" w:hAnsi="Times New Roman"/>
          <w:lang w:val="en-HK"/>
        </w:rPr>
        <w:t>).</w:t>
      </w:r>
    </w:p>
    <w:p w14:paraId="4F3295AC" w14:textId="77777777" w:rsidR="00F763AA" w:rsidRPr="00F763AA" w:rsidRDefault="00F763AA" w:rsidP="00F763AA">
      <w:pPr>
        <w:numPr>
          <w:ilvl w:val="2"/>
          <w:numId w:val="8"/>
        </w:numPr>
        <w:spacing w:after="240" w:line="360" w:lineRule="auto"/>
        <w:rPr>
          <w:rFonts w:ascii="Times New Roman" w:hAnsi="Times New Roman"/>
          <w:lang w:val="en-HK"/>
        </w:rPr>
      </w:pPr>
      <w:r w:rsidRPr="00F763AA">
        <w:rPr>
          <w:rFonts w:ascii="Times New Roman" w:hAnsi="Times New Roman"/>
          <w:i/>
          <w:iCs/>
          <w:lang w:val="en-HK"/>
        </w:rPr>
        <w:t>Fairness Issue</w:t>
      </w:r>
      <w:r w:rsidRPr="00F763AA">
        <w:rPr>
          <w:rFonts w:ascii="Times New Roman" w:hAnsi="Times New Roman"/>
          <w:lang w:val="en-HK"/>
        </w:rPr>
        <w:t xml:space="preserve">: Briggs questions this procedural lapse, suggesting it undermines equitable supervision (Briggs, </w:t>
      </w:r>
      <w:r w:rsidRPr="00F763AA">
        <w:rPr>
          <w:rFonts w:ascii="Times New Roman" w:hAnsi="Times New Roman"/>
          <w:i/>
          <w:iCs/>
          <w:lang w:val="en-HK"/>
        </w:rPr>
        <w:t>Scope creep</w:t>
      </w:r>
      <w:r w:rsidRPr="00F763AA">
        <w:rPr>
          <w:rFonts w:ascii="Times New Roman" w:hAnsi="Times New Roman"/>
          <w:lang w:val="en-HK"/>
        </w:rPr>
        <w:t>, 2019).</w:t>
      </w:r>
    </w:p>
    <w:p w14:paraId="62A4D960"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Scholar’s Opinion</w:t>
      </w:r>
      <w:r w:rsidRPr="00F763AA">
        <w:rPr>
          <w:rFonts w:ascii="Times New Roman" w:hAnsi="Times New Roman"/>
          <w:lang w:val="en-HK"/>
        </w:rPr>
        <w:t xml:space="preserve">: </w:t>
      </w:r>
    </w:p>
    <w:p w14:paraId="6934154F" w14:textId="77777777" w:rsidR="00F763AA" w:rsidRPr="00F763AA" w:rsidRDefault="00F763AA" w:rsidP="00F763AA">
      <w:pPr>
        <w:numPr>
          <w:ilvl w:val="1"/>
          <w:numId w:val="8"/>
        </w:numPr>
        <w:spacing w:after="240" w:line="360" w:lineRule="auto"/>
        <w:rPr>
          <w:rFonts w:ascii="Times New Roman" w:hAnsi="Times New Roman"/>
          <w:lang w:val="en-HK"/>
        </w:rPr>
      </w:pPr>
      <w:r w:rsidRPr="00F763AA">
        <w:rPr>
          <w:rFonts w:ascii="Times New Roman" w:hAnsi="Times New Roman"/>
          <w:lang w:val="en-HK"/>
        </w:rPr>
        <w:t xml:space="preserve">Briggs acknowledges the “practical and utilitarian attractiveness” of these orders—cost savings and swift distribution—but warns of “troubling questions” (Briggs, </w:t>
      </w:r>
      <w:r w:rsidRPr="00F763AA">
        <w:rPr>
          <w:rFonts w:ascii="Times New Roman" w:hAnsi="Times New Roman"/>
          <w:i/>
          <w:iCs/>
          <w:lang w:val="en-HK"/>
        </w:rPr>
        <w:t>Scope creep</w:t>
      </w:r>
      <w:r w:rsidRPr="00F763AA">
        <w:rPr>
          <w:rFonts w:ascii="Times New Roman" w:hAnsi="Times New Roman"/>
          <w:lang w:val="en-HK"/>
        </w:rPr>
        <w:t>, 2019). He argues they relax trust law’s beneficiary protections, risking exploitation by “unscrupulous litigants” seeking to bypass duties.</w:t>
      </w:r>
    </w:p>
    <w:p w14:paraId="0E2264F3" w14:textId="77777777" w:rsidR="00F763AA" w:rsidRPr="00F763AA" w:rsidRDefault="00F763AA" w:rsidP="00F763AA">
      <w:pPr>
        <w:numPr>
          <w:ilvl w:val="1"/>
          <w:numId w:val="8"/>
        </w:numPr>
        <w:spacing w:after="240" w:line="360" w:lineRule="auto"/>
        <w:rPr>
          <w:rFonts w:ascii="Times New Roman" w:hAnsi="Times New Roman"/>
          <w:lang w:val="en-HK"/>
        </w:rPr>
      </w:pPr>
      <w:r w:rsidRPr="00F763AA">
        <w:rPr>
          <w:rFonts w:ascii="Times New Roman" w:hAnsi="Times New Roman"/>
          <w:lang w:val="en-HK"/>
        </w:rPr>
        <w:t xml:space="preserve">He contrasts </w:t>
      </w:r>
      <w:r w:rsidRPr="00F763AA">
        <w:rPr>
          <w:rFonts w:ascii="Times New Roman" w:hAnsi="Times New Roman"/>
          <w:i/>
          <w:iCs/>
          <w:lang w:val="en-HK"/>
        </w:rPr>
        <w:t>Pritchard</w:t>
      </w:r>
      <w:r w:rsidRPr="00F763AA">
        <w:rPr>
          <w:rFonts w:ascii="Times New Roman" w:hAnsi="Times New Roman"/>
          <w:lang w:val="en-HK"/>
        </w:rPr>
        <w:t xml:space="preserve">’s finality with </w:t>
      </w:r>
      <w:r w:rsidRPr="00F763AA">
        <w:rPr>
          <w:rFonts w:ascii="Times New Roman" w:hAnsi="Times New Roman"/>
          <w:i/>
          <w:iCs/>
          <w:lang w:val="en-HK"/>
        </w:rPr>
        <w:t xml:space="preserve">MF </w:t>
      </w:r>
      <w:proofErr w:type="spellStart"/>
      <w:r w:rsidRPr="00F763AA">
        <w:rPr>
          <w:rFonts w:ascii="Times New Roman" w:hAnsi="Times New Roman"/>
          <w:i/>
          <w:iCs/>
          <w:lang w:val="en-HK"/>
        </w:rPr>
        <w:t>Global</w:t>
      </w:r>
      <w:r w:rsidRPr="00F763AA">
        <w:rPr>
          <w:rFonts w:ascii="Times New Roman" w:hAnsi="Times New Roman"/>
          <w:lang w:val="en-HK"/>
        </w:rPr>
        <w:t>’s</w:t>
      </w:r>
      <w:proofErr w:type="spellEnd"/>
      <w:r w:rsidRPr="00F763AA">
        <w:rPr>
          <w:rFonts w:ascii="Times New Roman" w:hAnsi="Times New Roman"/>
          <w:lang w:val="en-HK"/>
        </w:rPr>
        <w:t xml:space="preserve"> theoretical safeguards, suggesting both deviate from </w:t>
      </w:r>
      <w:r w:rsidRPr="00F763AA">
        <w:rPr>
          <w:rFonts w:ascii="Times New Roman" w:hAnsi="Times New Roman"/>
          <w:i/>
          <w:iCs/>
          <w:lang w:val="en-HK"/>
        </w:rPr>
        <w:t>Benjamin</w:t>
      </w:r>
      <w:r w:rsidRPr="00F763AA">
        <w:rPr>
          <w:rFonts w:ascii="Times New Roman" w:hAnsi="Times New Roman"/>
          <w:lang w:val="en-HK"/>
        </w:rPr>
        <w:t>’s intent to shield trustees, not prejudice beneficiaries.</w:t>
      </w:r>
    </w:p>
    <w:p w14:paraId="58876B4F"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Analysis</w:t>
      </w:r>
      <w:r w:rsidRPr="00F763AA">
        <w:rPr>
          <w:rFonts w:ascii="Times New Roman" w:hAnsi="Times New Roman"/>
          <w:lang w:val="en-HK"/>
        </w:rPr>
        <w:t xml:space="preserve">: </w:t>
      </w:r>
    </w:p>
    <w:p w14:paraId="5E2C95E8"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Evolution</w:t>
      </w:r>
      <w:r w:rsidRPr="00F763AA">
        <w:rPr>
          <w:rFonts w:ascii="Times New Roman" w:hAnsi="Times New Roman"/>
          <w:lang w:val="en-HK"/>
        </w:rPr>
        <w:t xml:space="preserve">: </w:t>
      </w:r>
      <w:r w:rsidRPr="00F763AA">
        <w:rPr>
          <w:rFonts w:ascii="Times New Roman" w:hAnsi="Times New Roman"/>
          <w:i/>
          <w:iCs/>
          <w:lang w:val="en-HK"/>
        </w:rPr>
        <w:t>Pritchard</w:t>
      </w:r>
      <w:r w:rsidRPr="00F763AA">
        <w:rPr>
          <w:rFonts w:ascii="Times New Roman" w:hAnsi="Times New Roman"/>
          <w:lang w:val="en-HK"/>
        </w:rPr>
        <w:t xml:space="preserve"> builds on </w:t>
      </w:r>
      <w:r w:rsidRPr="00F763AA">
        <w:rPr>
          <w:rFonts w:ascii="Times New Roman" w:hAnsi="Times New Roman"/>
          <w:i/>
          <w:iCs/>
          <w:lang w:val="en-HK"/>
        </w:rPr>
        <w:t xml:space="preserve">MF </w:t>
      </w:r>
      <w:proofErr w:type="spellStart"/>
      <w:r w:rsidRPr="00F763AA">
        <w:rPr>
          <w:rFonts w:ascii="Times New Roman" w:hAnsi="Times New Roman"/>
          <w:i/>
          <w:iCs/>
          <w:lang w:val="en-HK"/>
        </w:rPr>
        <w:t>Global</w:t>
      </w:r>
      <w:r w:rsidRPr="00F763AA">
        <w:rPr>
          <w:rFonts w:ascii="Times New Roman" w:hAnsi="Times New Roman"/>
          <w:lang w:val="en-HK"/>
        </w:rPr>
        <w:t>’s</w:t>
      </w:r>
      <w:proofErr w:type="spellEnd"/>
      <w:r w:rsidRPr="00F763AA">
        <w:rPr>
          <w:rFonts w:ascii="Times New Roman" w:hAnsi="Times New Roman"/>
          <w:lang w:val="en-HK"/>
        </w:rPr>
        <w:t xml:space="preserve"> equitable expansion and </w:t>
      </w:r>
      <w:proofErr w:type="spellStart"/>
      <w:r w:rsidRPr="00F763AA">
        <w:rPr>
          <w:rFonts w:ascii="Times New Roman" w:hAnsi="Times New Roman"/>
          <w:i/>
          <w:iCs/>
          <w:lang w:val="en-HK"/>
        </w:rPr>
        <w:t>Alpari</w:t>
      </w:r>
      <w:r w:rsidRPr="00F763AA">
        <w:rPr>
          <w:rFonts w:ascii="Times New Roman" w:hAnsi="Times New Roman"/>
          <w:lang w:val="en-HK"/>
        </w:rPr>
        <w:t>’s</w:t>
      </w:r>
      <w:proofErr w:type="spellEnd"/>
      <w:r w:rsidRPr="00F763AA">
        <w:rPr>
          <w:rFonts w:ascii="Times New Roman" w:hAnsi="Times New Roman"/>
          <w:lang w:val="en-HK"/>
        </w:rPr>
        <w:t xml:space="preserve"> statutory innovation, prioritizing closure over preservation. Norris J’s factors formalize this shift, embedding practicality into judicial discretion.</w:t>
      </w:r>
    </w:p>
    <w:p w14:paraId="6F7FC7CF"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lastRenderedPageBreak/>
        <w:t>Beneficiary Impact</w:t>
      </w:r>
      <w:r w:rsidRPr="00F763AA">
        <w:rPr>
          <w:rFonts w:ascii="Times New Roman" w:hAnsi="Times New Roman"/>
          <w:lang w:val="en-HK"/>
        </w:rPr>
        <w:t>: Extinguishing low-value claims (</w:t>
      </w:r>
      <w:r w:rsidRPr="00F763AA">
        <w:rPr>
          <w:rFonts w:ascii="Times New Roman" w:hAnsi="Times New Roman"/>
          <w:i/>
          <w:iCs/>
          <w:lang w:val="en-HK"/>
        </w:rPr>
        <w:t>Pritchard</w:t>
      </w:r>
      <w:r w:rsidRPr="00F763AA">
        <w:rPr>
          <w:rFonts w:ascii="Times New Roman" w:hAnsi="Times New Roman"/>
          <w:lang w:val="en-HK"/>
        </w:rPr>
        <w:t>) or barring unpursued ones (</w:t>
      </w:r>
      <w:r w:rsidRPr="00F763AA">
        <w:rPr>
          <w:rFonts w:ascii="Times New Roman" w:hAnsi="Times New Roman"/>
          <w:i/>
          <w:iCs/>
          <w:lang w:val="en-HK"/>
        </w:rPr>
        <w:t>MF Global</w:t>
      </w:r>
      <w:r w:rsidRPr="00F763AA">
        <w:rPr>
          <w:rFonts w:ascii="Times New Roman" w:hAnsi="Times New Roman"/>
          <w:lang w:val="en-HK"/>
        </w:rPr>
        <w:t>) sacrifices individual rights for collective efficiency, a utilitarian trade-off Briggs finds inconsistent with trust principles.</w:t>
      </w:r>
    </w:p>
    <w:p w14:paraId="14214AEF"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i/>
          <w:iCs/>
          <w:lang w:val="en-HK"/>
        </w:rPr>
        <w:t>Procedural Equity</w:t>
      </w:r>
      <w:r w:rsidRPr="00F763AA">
        <w:rPr>
          <w:rFonts w:ascii="Times New Roman" w:hAnsi="Times New Roman"/>
          <w:lang w:val="en-HK"/>
        </w:rPr>
        <w:t>: Unrepresented claimants highlight a fairness gap, amplifying the “seismic effect” of these orders on trust interests without adversarial input.</w:t>
      </w:r>
    </w:p>
    <w:p w14:paraId="5C447A87" w14:textId="77777777" w:rsidR="00F763AA" w:rsidRPr="00F763AA" w:rsidRDefault="00F763AA" w:rsidP="00F763AA">
      <w:pPr>
        <w:spacing w:after="240" w:line="360" w:lineRule="auto"/>
        <w:rPr>
          <w:rFonts w:ascii="Times New Roman" w:hAnsi="Times New Roman"/>
          <w:lang w:val="en-HK"/>
        </w:rPr>
      </w:pPr>
      <w:r w:rsidRPr="00F763AA">
        <w:rPr>
          <w:rFonts w:ascii="Times New Roman" w:hAnsi="Times New Roman"/>
          <w:b/>
          <w:bCs/>
          <w:lang w:val="en-HK"/>
        </w:rPr>
        <w:t>Conclusion</w:t>
      </w:r>
      <w:r w:rsidRPr="00F763AA">
        <w:rPr>
          <w:rFonts w:ascii="Times New Roman" w:hAnsi="Times New Roman"/>
          <w:lang w:val="en-HK"/>
        </w:rPr>
        <w:t xml:space="preserve">: Briggs views this as a “radical departure” from </w:t>
      </w:r>
      <w:r w:rsidRPr="00F763AA">
        <w:rPr>
          <w:rFonts w:ascii="Times New Roman" w:hAnsi="Times New Roman"/>
          <w:i/>
          <w:iCs/>
          <w:lang w:val="en-HK"/>
        </w:rPr>
        <w:t>Benjamin</w:t>
      </w:r>
      <w:r w:rsidRPr="00F763AA">
        <w:rPr>
          <w:rFonts w:ascii="Times New Roman" w:hAnsi="Times New Roman"/>
          <w:lang w:val="en-HK"/>
        </w:rPr>
        <w:t xml:space="preserve">’s protective roots, opening a “worrying crack” in trust law. The section critiques the balance between administrative necessity and equitable duty, framing </w:t>
      </w:r>
      <w:r w:rsidRPr="00F763AA">
        <w:rPr>
          <w:rFonts w:ascii="Times New Roman" w:hAnsi="Times New Roman"/>
          <w:i/>
          <w:iCs/>
          <w:lang w:val="en-HK"/>
        </w:rPr>
        <w:t>Pritchard</w:t>
      </w:r>
      <w:r w:rsidRPr="00F763AA">
        <w:rPr>
          <w:rFonts w:ascii="Times New Roman" w:hAnsi="Times New Roman"/>
          <w:lang w:val="en-HK"/>
        </w:rPr>
        <w:t xml:space="preserve"> as a culmination of scope creep with unresolved tensions.</w:t>
      </w:r>
    </w:p>
    <w:p w14:paraId="25ED5C51" w14:textId="77777777" w:rsidR="00E20375" w:rsidRPr="00E20375" w:rsidRDefault="00E20375" w:rsidP="00F763AA">
      <w:pPr>
        <w:spacing w:after="240" w:line="360" w:lineRule="auto"/>
        <w:rPr>
          <w:rFonts w:ascii="Times New Roman" w:hAnsi="Times New Roman"/>
          <w:lang w:val="en-HK"/>
        </w:rPr>
      </w:pPr>
    </w:p>
    <w:p w14:paraId="17DC3362" w14:textId="77777777" w:rsidR="00E20375" w:rsidRPr="00E20375" w:rsidRDefault="00E20375" w:rsidP="00F763AA">
      <w:pPr>
        <w:spacing w:after="240" w:line="360" w:lineRule="auto"/>
        <w:rPr>
          <w:rFonts w:ascii="Times New Roman" w:hAnsi="Times New Roman"/>
          <w:lang w:val="en-HK"/>
        </w:rPr>
      </w:pPr>
    </w:p>
    <w:p w14:paraId="0C1F72B2" w14:textId="77777777" w:rsidR="00E20375" w:rsidRPr="00F918C3" w:rsidRDefault="00E20375" w:rsidP="00F763AA">
      <w:pPr>
        <w:spacing w:after="240" w:line="360" w:lineRule="auto"/>
        <w:rPr>
          <w:rFonts w:ascii="Times New Roman" w:hAnsi="Times New Roman"/>
          <w:lang w:val="en-HK"/>
        </w:rPr>
      </w:pPr>
    </w:p>
    <w:p w14:paraId="190FC0DB" w14:textId="77777777" w:rsidR="00CD39F1" w:rsidRPr="00F763AA" w:rsidRDefault="00CD39F1" w:rsidP="00F763AA">
      <w:pPr>
        <w:spacing w:after="240" w:line="360" w:lineRule="auto"/>
        <w:rPr>
          <w:rFonts w:ascii="Times New Roman" w:hAnsi="Times New Roman"/>
        </w:rPr>
      </w:pPr>
    </w:p>
    <w:sectPr w:rsidR="00CD39F1" w:rsidRPr="00F76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243E4"/>
    <w:multiLevelType w:val="multilevel"/>
    <w:tmpl w:val="A9B89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469E0"/>
    <w:multiLevelType w:val="multilevel"/>
    <w:tmpl w:val="F2564C0A"/>
    <w:lvl w:ilvl="0">
      <w:start w:val="1"/>
      <w:numFmt w:val="decimal"/>
      <w:lvlText w:val="%1."/>
      <w:lvlJc w:val="left"/>
      <w:pPr>
        <w:ind w:left="720" w:hanging="360"/>
      </w:pPr>
      <w:rPr>
        <w:rFonts w:hint="default"/>
        <w:sz w:val="24"/>
        <w:szCs w:val="24"/>
      </w:rPr>
    </w:lvl>
    <w:lvl w:ilvl="1">
      <w:start w:val="1"/>
      <w:numFmt w:val="decimal"/>
      <w:lvlText w:val="%2."/>
      <w:lvlJc w:val="left"/>
      <w:pPr>
        <w:ind w:left="360" w:hanging="360"/>
      </w:p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80134"/>
    <w:multiLevelType w:val="multilevel"/>
    <w:tmpl w:val="65225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5E6E8D"/>
    <w:multiLevelType w:val="multilevel"/>
    <w:tmpl w:val="F2564C0A"/>
    <w:lvl w:ilvl="0">
      <w:start w:val="1"/>
      <w:numFmt w:val="decimal"/>
      <w:lvlText w:val="%1."/>
      <w:lvlJc w:val="left"/>
      <w:pPr>
        <w:ind w:left="360" w:hanging="360"/>
      </w:pPr>
      <w:rPr>
        <w:rFonts w:hint="default"/>
        <w:sz w:val="24"/>
        <w:szCs w:val="24"/>
      </w:rPr>
    </w:lvl>
    <w:lvl w:ilvl="1">
      <w:start w:val="1"/>
      <w:numFmt w:val="decimal"/>
      <w:lvlText w:val="%2."/>
      <w:lvlJc w:val="left"/>
      <w:pPr>
        <w:ind w:left="0" w:hanging="360"/>
      </w:pPr>
    </w:lvl>
    <w:lvl w:ilvl="2">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9685F1D"/>
    <w:multiLevelType w:val="multilevel"/>
    <w:tmpl w:val="B94082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360"/>
        </w:tabs>
        <w:ind w:left="36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74DC7"/>
    <w:multiLevelType w:val="multilevel"/>
    <w:tmpl w:val="C1E2B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C37ECD"/>
    <w:multiLevelType w:val="multilevel"/>
    <w:tmpl w:val="5A922A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6B1C56"/>
    <w:multiLevelType w:val="hybridMultilevel"/>
    <w:tmpl w:val="AAECC4DC"/>
    <w:lvl w:ilvl="0" w:tplc="DACEA698">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70241173">
    <w:abstractNumId w:val="0"/>
  </w:num>
  <w:num w:numId="2" w16cid:durableId="737484716">
    <w:abstractNumId w:val="6"/>
  </w:num>
  <w:num w:numId="3" w16cid:durableId="805201192">
    <w:abstractNumId w:val="7"/>
  </w:num>
  <w:num w:numId="4" w16cid:durableId="1294599153">
    <w:abstractNumId w:val="1"/>
  </w:num>
  <w:num w:numId="5" w16cid:durableId="1921526026">
    <w:abstractNumId w:val="3"/>
  </w:num>
  <w:num w:numId="6" w16cid:durableId="1724014128">
    <w:abstractNumId w:val="2"/>
  </w:num>
  <w:num w:numId="7" w16cid:durableId="1509833153">
    <w:abstractNumId w:val="5"/>
  </w:num>
  <w:num w:numId="8" w16cid:durableId="21245714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71A"/>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4C0D"/>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4F67E4"/>
    <w:rsid w:val="00505437"/>
    <w:rsid w:val="005120A1"/>
    <w:rsid w:val="00542B57"/>
    <w:rsid w:val="00545764"/>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425BE"/>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07AB"/>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0375"/>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7371A"/>
    <w:rsid w:val="00F763AA"/>
    <w:rsid w:val="00F81EB6"/>
    <w:rsid w:val="00F858D4"/>
    <w:rsid w:val="00F918C3"/>
    <w:rsid w:val="00F96148"/>
    <w:rsid w:val="00FA0450"/>
    <w:rsid w:val="00FA4E8A"/>
    <w:rsid w:val="00FB2653"/>
    <w:rsid w:val="00FB5C49"/>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FD2B"/>
  <w15:chartTrackingRefBased/>
  <w15:docId w15:val="{E8E228D3-9CC4-7F46-9180-EE0F82A5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73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37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7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37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737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7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7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7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71A"/>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7371A"/>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7371A"/>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F7371A"/>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F7371A"/>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7371A"/>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7371A"/>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7371A"/>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7371A"/>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737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71A"/>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7371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71A"/>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737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71A"/>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7371A"/>
    <w:pPr>
      <w:ind w:left="720"/>
      <w:contextualSpacing/>
    </w:pPr>
  </w:style>
  <w:style w:type="character" w:styleId="IntenseEmphasis">
    <w:name w:val="Intense Emphasis"/>
    <w:basedOn w:val="DefaultParagraphFont"/>
    <w:uiPriority w:val="21"/>
    <w:qFormat/>
    <w:rsid w:val="00F7371A"/>
    <w:rPr>
      <w:i/>
      <w:iCs/>
      <w:color w:val="2F5496" w:themeColor="accent1" w:themeShade="BF"/>
    </w:rPr>
  </w:style>
  <w:style w:type="paragraph" w:styleId="IntenseQuote">
    <w:name w:val="Intense Quote"/>
    <w:basedOn w:val="Normal"/>
    <w:next w:val="Normal"/>
    <w:link w:val="IntenseQuoteChar"/>
    <w:uiPriority w:val="30"/>
    <w:qFormat/>
    <w:rsid w:val="00F73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71A"/>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7371A"/>
    <w:rPr>
      <w:b/>
      <w:bCs/>
      <w:smallCaps/>
      <w:color w:val="2F5496" w:themeColor="accent1" w:themeShade="BF"/>
      <w:spacing w:val="5"/>
    </w:rPr>
  </w:style>
  <w:style w:type="paragraph" w:customStyle="1" w:styleId="break-words">
    <w:name w:val="break-words"/>
    <w:basedOn w:val="Normal"/>
    <w:rsid w:val="00F918C3"/>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F918C3"/>
    <w:rPr>
      <w:i/>
      <w:iCs/>
    </w:rPr>
  </w:style>
  <w:style w:type="character" w:styleId="Strong">
    <w:name w:val="Strong"/>
    <w:basedOn w:val="DefaultParagraphFont"/>
    <w:uiPriority w:val="22"/>
    <w:qFormat/>
    <w:rsid w:val="00F918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400013">
      <w:bodyDiv w:val="1"/>
      <w:marLeft w:val="0"/>
      <w:marRight w:val="0"/>
      <w:marTop w:val="0"/>
      <w:marBottom w:val="0"/>
      <w:divBdr>
        <w:top w:val="none" w:sz="0" w:space="0" w:color="auto"/>
        <w:left w:val="none" w:sz="0" w:space="0" w:color="auto"/>
        <w:bottom w:val="none" w:sz="0" w:space="0" w:color="auto"/>
        <w:right w:val="none" w:sz="0" w:space="0" w:color="auto"/>
      </w:divBdr>
      <w:divsChild>
        <w:div w:id="959536578">
          <w:marLeft w:val="0"/>
          <w:marRight w:val="0"/>
          <w:marTop w:val="0"/>
          <w:marBottom w:val="0"/>
          <w:divBdr>
            <w:top w:val="none" w:sz="0" w:space="0" w:color="auto"/>
            <w:left w:val="none" w:sz="0" w:space="0" w:color="auto"/>
            <w:bottom w:val="none" w:sz="0" w:space="0" w:color="auto"/>
            <w:right w:val="none" w:sz="0" w:space="0" w:color="auto"/>
          </w:divBdr>
        </w:div>
      </w:divsChild>
    </w:div>
    <w:div w:id="648050903">
      <w:bodyDiv w:val="1"/>
      <w:marLeft w:val="0"/>
      <w:marRight w:val="0"/>
      <w:marTop w:val="0"/>
      <w:marBottom w:val="0"/>
      <w:divBdr>
        <w:top w:val="none" w:sz="0" w:space="0" w:color="auto"/>
        <w:left w:val="none" w:sz="0" w:space="0" w:color="auto"/>
        <w:bottom w:val="none" w:sz="0" w:space="0" w:color="auto"/>
        <w:right w:val="none" w:sz="0" w:space="0" w:color="auto"/>
      </w:divBdr>
      <w:divsChild>
        <w:div w:id="278876677">
          <w:marLeft w:val="0"/>
          <w:marRight w:val="0"/>
          <w:marTop w:val="0"/>
          <w:marBottom w:val="0"/>
          <w:divBdr>
            <w:top w:val="none" w:sz="0" w:space="0" w:color="auto"/>
            <w:left w:val="none" w:sz="0" w:space="0" w:color="auto"/>
            <w:bottom w:val="none" w:sz="0" w:space="0" w:color="auto"/>
            <w:right w:val="none" w:sz="0" w:space="0" w:color="auto"/>
          </w:divBdr>
        </w:div>
      </w:divsChild>
    </w:div>
    <w:div w:id="1604721772">
      <w:bodyDiv w:val="1"/>
      <w:marLeft w:val="0"/>
      <w:marRight w:val="0"/>
      <w:marTop w:val="0"/>
      <w:marBottom w:val="0"/>
      <w:divBdr>
        <w:top w:val="none" w:sz="0" w:space="0" w:color="auto"/>
        <w:left w:val="none" w:sz="0" w:space="0" w:color="auto"/>
        <w:bottom w:val="none" w:sz="0" w:space="0" w:color="auto"/>
        <w:right w:val="none" w:sz="0" w:space="0" w:color="auto"/>
      </w:divBdr>
      <w:divsChild>
        <w:div w:id="992609379">
          <w:marLeft w:val="0"/>
          <w:marRight w:val="0"/>
          <w:marTop w:val="0"/>
          <w:marBottom w:val="0"/>
          <w:divBdr>
            <w:top w:val="none" w:sz="0" w:space="0" w:color="auto"/>
            <w:left w:val="none" w:sz="0" w:space="0" w:color="auto"/>
            <w:bottom w:val="none" w:sz="0" w:space="0" w:color="auto"/>
            <w:right w:val="none" w:sz="0" w:space="0" w:color="auto"/>
          </w:divBdr>
        </w:div>
      </w:divsChild>
    </w:div>
    <w:div w:id="1729187595">
      <w:bodyDiv w:val="1"/>
      <w:marLeft w:val="0"/>
      <w:marRight w:val="0"/>
      <w:marTop w:val="0"/>
      <w:marBottom w:val="0"/>
      <w:divBdr>
        <w:top w:val="none" w:sz="0" w:space="0" w:color="auto"/>
        <w:left w:val="none" w:sz="0" w:space="0" w:color="auto"/>
        <w:bottom w:val="none" w:sz="0" w:space="0" w:color="auto"/>
        <w:right w:val="none" w:sz="0" w:space="0" w:color="auto"/>
      </w:divBdr>
      <w:divsChild>
        <w:div w:id="1509759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19</Pages>
  <Words>5121</Words>
  <Characters>29191</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2025-03-10T09:59:00Z</dcterms:created>
  <dcterms:modified xsi:type="dcterms:W3CDTF">2025-03-10T11:55:00Z</dcterms:modified>
</cp:coreProperties>
</file>