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0C16E4" w14:textId="2E6050FB" w:rsidR="00BC623B" w:rsidRPr="00BC623B" w:rsidRDefault="000F42A6" w:rsidP="000778D3">
      <w:pPr>
        <w:pBdr>
          <w:bottom w:val="single" w:sz="4" w:space="1" w:color="auto"/>
        </w:pBdr>
        <w:spacing w:after="240" w:line="360" w:lineRule="auto"/>
        <w:outlineLvl w:val="2"/>
        <w:rPr>
          <w:rFonts w:ascii="Times New Roman" w:hAnsi="Times New Roman" w:hint="eastAsia"/>
          <w:b/>
          <w:bCs/>
          <w:lang w:val="en-HK"/>
        </w:rPr>
      </w:pPr>
      <w:r w:rsidRPr="000778D3">
        <w:rPr>
          <w:rFonts w:ascii="Times New Roman" w:hAnsi="Times New Roman"/>
          <w:b/>
          <w:bCs/>
          <w:lang w:val="en-HK"/>
        </w:rPr>
        <w:t xml:space="preserve">1. </w:t>
      </w:r>
      <w:r w:rsidR="00BC623B" w:rsidRPr="00BC623B">
        <w:rPr>
          <w:rFonts w:ascii="Times New Roman" w:hAnsi="Times New Roman"/>
          <w:b/>
          <w:bCs/>
          <w:lang w:val="en-HK"/>
        </w:rPr>
        <w:t>Introduction</w:t>
      </w:r>
    </w:p>
    <w:p w14:paraId="0ED723DD"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This section introduces the theme of silence, contrasting its voluntary, beneficial practice with the permanent silencing of death, and frames the essay’s focus on whether a testator’s voice persists through a will under English law.</w:t>
      </w:r>
    </w:p>
    <w:p w14:paraId="6E879280"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Cultural Context</w:t>
      </w:r>
      <w:r w:rsidRPr="00BC623B">
        <w:rPr>
          <w:rFonts w:ascii="Times New Roman" w:hAnsi="Times New Roman"/>
          <w:lang w:val="en-HK"/>
        </w:rPr>
        <w:t xml:space="preserve">: Watkins notes a contemporary embrace of silence (e.g., library signs citing Rossetti and Carlyle, BBC’s </w:t>
      </w:r>
      <w:r w:rsidRPr="00BC623B">
        <w:rPr>
          <w:rFonts w:ascii="Times New Roman" w:hAnsi="Times New Roman"/>
          <w:i/>
          <w:iCs/>
          <w:lang w:val="en-HK"/>
        </w:rPr>
        <w:t>The Big Silence</w:t>
      </w:r>
      <w:r w:rsidRPr="00BC623B">
        <w:rPr>
          <w:rFonts w:ascii="Times New Roman" w:hAnsi="Times New Roman"/>
          <w:lang w:val="en-HK"/>
        </w:rPr>
        <w:t xml:space="preserve">), suggesting benefits like clarity and soul-searching when temporary (Watkins, </w:t>
      </w:r>
      <w:r w:rsidRPr="00BC623B">
        <w:rPr>
          <w:rFonts w:ascii="Times New Roman" w:hAnsi="Times New Roman"/>
          <w:i/>
          <w:iCs/>
          <w:lang w:val="en-HK"/>
        </w:rPr>
        <w:t>The Testator’s Voice</w:t>
      </w:r>
      <w:r w:rsidRPr="00BC623B">
        <w:rPr>
          <w:rFonts w:ascii="Times New Roman" w:hAnsi="Times New Roman"/>
          <w:lang w:val="en-HK"/>
        </w:rPr>
        <w:t>, 2012).</w:t>
      </w:r>
    </w:p>
    <w:p w14:paraId="620C21B3"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Thesis</w:t>
      </w:r>
      <w:r w:rsidRPr="00BC623B">
        <w:rPr>
          <w:rFonts w:ascii="Times New Roman" w:hAnsi="Times New Roman"/>
          <w:lang w:val="en-HK"/>
        </w:rPr>
        <w:t xml:space="preserve">: The essay explores how far a will preserves a testator’s intentions post-death, using Thomas Hardy’s poems </w:t>
      </w:r>
      <w:r w:rsidRPr="00BC623B">
        <w:rPr>
          <w:rFonts w:ascii="Times New Roman" w:hAnsi="Times New Roman"/>
          <w:i/>
          <w:iCs/>
          <w:lang w:val="en-HK"/>
        </w:rPr>
        <w:t>“The Voice”</w:t>
      </w:r>
      <w:r w:rsidRPr="00BC623B">
        <w:rPr>
          <w:rFonts w:ascii="Times New Roman" w:hAnsi="Times New Roman"/>
          <w:lang w:val="en-HK"/>
        </w:rPr>
        <w:t xml:space="preserve"> and </w:t>
      </w:r>
      <w:r w:rsidRPr="00BC623B">
        <w:rPr>
          <w:rFonts w:ascii="Times New Roman" w:hAnsi="Times New Roman"/>
          <w:i/>
          <w:iCs/>
          <w:lang w:val="en-HK"/>
        </w:rPr>
        <w:t xml:space="preserve">“The </w:t>
      </w:r>
      <w:proofErr w:type="spellStart"/>
      <w:r w:rsidRPr="00BC623B">
        <w:rPr>
          <w:rFonts w:ascii="Times New Roman" w:hAnsi="Times New Roman"/>
          <w:i/>
          <w:iCs/>
          <w:lang w:val="en-HK"/>
        </w:rPr>
        <w:t>Haunter</w:t>
      </w:r>
      <w:proofErr w:type="spellEnd"/>
      <w:r w:rsidRPr="00BC623B">
        <w:rPr>
          <w:rFonts w:ascii="Times New Roman" w:hAnsi="Times New Roman"/>
          <w:i/>
          <w:iCs/>
          <w:lang w:val="en-HK"/>
        </w:rPr>
        <w:t>”</w:t>
      </w:r>
      <w:r w:rsidRPr="00BC623B">
        <w:rPr>
          <w:rFonts w:ascii="Times New Roman" w:hAnsi="Times New Roman"/>
          <w:lang w:val="en-HK"/>
        </w:rPr>
        <w:t xml:space="preserve"> to evoke regret over silencing the dead. It critiques English law’s textual approach, building on McLoughlin and Gardner’s observation that courts prioritize a will’s “face” over intent (McLoughlin and Gardner, </w:t>
      </w:r>
      <w:r w:rsidRPr="00BC623B">
        <w:rPr>
          <w:rFonts w:ascii="Times New Roman" w:hAnsi="Times New Roman"/>
          <w:i/>
          <w:iCs/>
          <w:lang w:val="en-HK"/>
        </w:rPr>
        <w:t>When Is Authorial Intention Not Authorial Intention?</w:t>
      </w:r>
      <w:r w:rsidRPr="00BC623B">
        <w:rPr>
          <w:rFonts w:ascii="Times New Roman" w:hAnsi="Times New Roman"/>
          <w:lang w:val="en-HK"/>
        </w:rPr>
        <w:t>, 2007).</w:t>
      </w:r>
    </w:p>
    <w:p w14:paraId="0675AAC5" w14:textId="77777777" w:rsidR="00BC623B" w:rsidRPr="000778D3"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Scope</w:t>
      </w:r>
      <w:r w:rsidRPr="00BC623B">
        <w:rPr>
          <w:rFonts w:ascii="Times New Roman" w:hAnsi="Times New Roman"/>
          <w:lang w:val="en-HK"/>
        </w:rPr>
        <w:t xml:space="preserve">: Rather than literary theories like the “Death of the Author,” Watkins examines legal doctrine, formalities, interpretation, and mechanisms defeating testamentary wishes (Watkins, </w:t>
      </w:r>
      <w:r w:rsidRPr="00BC623B">
        <w:rPr>
          <w:rFonts w:ascii="Times New Roman" w:hAnsi="Times New Roman"/>
          <w:i/>
          <w:iCs/>
          <w:lang w:val="en-HK"/>
        </w:rPr>
        <w:t>The Testator’s Voice</w:t>
      </w:r>
      <w:r w:rsidRPr="00BC623B">
        <w:rPr>
          <w:rFonts w:ascii="Times New Roman" w:hAnsi="Times New Roman"/>
          <w:lang w:val="en-HK"/>
        </w:rPr>
        <w:t>, 2012).</w:t>
      </w:r>
    </w:p>
    <w:p w14:paraId="664A0475" w14:textId="4099FAD5" w:rsidR="00BC623B" w:rsidRPr="00BC623B" w:rsidRDefault="00F44092" w:rsidP="000778D3">
      <w:pPr>
        <w:pBdr>
          <w:bottom w:val="single" w:sz="4" w:space="1" w:color="auto"/>
        </w:pBdr>
        <w:spacing w:after="240" w:line="360" w:lineRule="auto"/>
        <w:rPr>
          <w:rFonts w:ascii="Times New Roman" w:hAnsi="Times New Roman" w:hint="eastAsia"/>
          <w:lang w:val="en-HK"/>
        </w:rPr>
      </w:pPr>
      <w:r w:rsidRPr="00F44092">
        <w:rPr>
          <w:rFonts w:ascii="Times New Roman" w:hAnsi="Times New Roman" w:hint="eastAsia"/>
          <w:noProof/>
          <w:lang w:val="en-HK"/>
          <w14:ligatures w14:val="standardContextual"/>
        </w:rPr>
        <w:pict w14:anchorId="189F5AE5">
          <v:rect id="_x0000_i1029" alt="" style="width:451.3pt;height:.05pt;mso-width-percent:0;mso-height-percent:0;mso-width-percent:0;mso-height-percent:0" o:hralign="center" o:hrstd="t" o:hr="t" fillcolor="#a0a0a0" stroked="f"/>
        </w:pict>
      </w:r>
    </w:p>
    <w:p w14:paraId="229151F2" w14:textId="499CB68A" w:rsidR="00BC623B" w:rsidRPr="00BC623B" w:rsidRDefault="000F42A6" w:rsidP="000778D3">
      <w:pPr>
        <w:pBdr>
          <w:bottom w:val="single" w:sz="4" w:space="1" w:color="auto"/>
        </w:pBdr>
        <w:spacing w:after="240" w:line="360" w:lineRule="auto"/>
        <w:outlineLvl w:val="2"/>
        <w:rPr>
          <w:rFonts w:ascii="Times New Roman" w:hAnsi="Times New Roman"/>
          <w:b/>
          <w:bCs/>
          <w:lang w:val="en-HK"/>
        </w:rPr>
      </w:pPr>
      <w:r w:rsidRPr="000778D3">
        <w:rPr>
          <w:rFonts w:ascii="Times New Roman" w:hAnsi="Times New Roman"/>
          <w:b/>
          <w:bCs/>
          <w:lang w:val="en-HK"/>
        </w:rPr>
        <w:t xml:space="preserve">2. </w:t>
      </w:r>
      <w:r w:rsidR="00BC623B" w:rsidRPr="00BC623B">
        <w:rPr>
          <w:rFonts w:ascii="Times New Roman" w:hAnsi="Times New Roman"/>
          <w:b/>
          <w:bCs/>
          <w:lang w:val="en-HK"/>
        </w:rPr>
        <w:t xml:space="preserve">A Failure to Honor the Voice </w:t>
      </w:r>
    </w:p>
    <w:p w14:paraId="3C016630"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This section serves as an emotional and thematic pivot, leveraging Thomas Hardy’s poetry to underscore the moral imperative of </w:t>
      </w:r>
      <w:proofErr w:type="spellStart"/>
      <w:r w:rsidRPr="00BC623B">
        <w:rPr>
          <w:rFonts w:ascii="Times New Roman" w:hAnsi="Times New Roman"/>
          <w:lang w:val="en-HK"/>
        </w:rPr>
        <w:t>honoring</w:t>
      </w:r>
      <w:proofErr w:type="spellEnd"/>
      <w:r w:rsidRPr="00BC623B">
        <w:rPr>
          <w:rFonts w:ascii="Times New Roman" w:hAnsi="Times New Roman"/>
          <w:lang w:val="en-HK"/>
        </w:rPr>
        <w:t xml:space="preserve"> the voice of the deceased and setting a critical lens for the subsequent legal analysis. Watkins uses literary references to evoke a sense of regret and responsibility, contrasting this with the apparent indifference of English law to the testator’s silenced intentions.</w:t>
      </w:r>
    </w:p>
    <w:p w14:paraId="1CBA1EE6"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Literary Foundation – Thomas Hardy’s Poetry</w:t>
      </w:r>
      <w:r w:rsidRPr="00BC623B">
        <w:rPr>
          <w:rFonts w:ascii="Times New Roman" w:hAnsi="Times New Roman"/>
          <w:lang w:val="en-HK"/>
        </w:rPr>
        <w:t xml:space="preserve">: </w:t>
      </w:r>
    </w:p>
    <w:p w14:paraId="2B4020C4"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“The Voice”</w:t>
      </w:r>
      <w:r w:rsidRPr="00BC623B">
        <w:rPr>
          <w:rFonts w:ascii="Times New Roman" w:hAnsi="Times New Roman"/>
          <w:lang w:val="en-HK"/>
        </w:rPr>
        <w:t xml:space="preserve">: </w:t>
      </w:r>
    </w:p>
    <w:p w14:paraId="5635D66B"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Text</w:t>
      </w:r>
      <w:r w:rsidRPr="00BC623B">
        <w:rPr>
          <w:rFonts w:ascii="Times New Roman" w:hAnsi="Times New Roman"/>
          <w:lang w:val="en-HK"/>
        </w:rPr>
        <w:t xml:space="preserve">: The speaker mourns, “Woman much missed, how you call to me, call to me,” questioning, “Can it be you that I hear? Let me view you, then,” and describes disorientation: “Thus I; faltering forward, / Leaves around me falling, / Wind oozing thin through the thorn </w:t>
      </w:r>
      <w:r w:rsidRPr="00BC623B">
        <w:rPr>
          <w:rFonts w:ascii="Times New Roman" w:hAnsi="Times New Roman"/>
          <w:lang w:val="en-HK"/>
        </w:rPr>
        <w:lastRenderedPageBreak/>
        <w:t xml:space="preserve">from forward, / And the woman calling” (Hardy, cited in Irwin, </w:t>
      </w:r>
      <w:r w:rsidRPr="00BC623B">
        <w:rPr>
          <w:rFonts w:ascii="Times New Roman" w:hAnsi="Times New Roman"/>
          <w:i/>
          <w:iCs/>
          <w:lang w:val="en-HK"/>
        </w:rPr>
        <w:t>The Collected Poems of Thomas Hardy</w:t>
      </w:r>
      <w:r w:rsidRPr="00BC623B">
        <w:rPr>
          <w:rFonts w:ascii="Times New Roman" w:hAnsi="Times New Roman"/>
          <w:lang w:val="en-HK"/>
        </w:rPr>
        <w:t>, 1934).</w:t>
      </w:r>
    </w:p>
    <w:p w14:paraId="6A6FB131"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Interpretation</w:t>
      </w:r>
      <w:r w:rsidRPr="00BC623B">
        <w:rPr>
          <w:rFonts w:ascii="Times New Roman" w:hAnsi="Times New Roman"/>
          <w:lang w:val="en-HK"/>
        </w:rPr>
        <w:t xml:space="preserve">: Watkins interprets this as the speaker’s regret for losing the “woman much missed” and her voice, compounded by his failure to heed it when alive. The poem’s imagery—faltering steps, falling leaves, a faint call—symbolizes a haunting presence, diminished yet persistent, reflecting the testator’s voice post-death (Watkins, </w:t>
      </w:r>
      <w:r w:rsidRPr="00BC623B">
        <w:rPr>
          <w:rFonts w:ascii="Times New Roman" w:hAnsi="Times New Roman"/>
          <w:i/>
          <w:iCs/>
          <w:lang w:val="en-HK"/>
        </w:rPr>
        <w:t>The Testator’s Voice</w:t>
      </w:r>
      <w:r w:rsidRPr="00BC623B">
        <w:rPr>
          <w:rFonts w:ascii="Times New Roman" w:hAnsi="Times New Roman"/>
          <w:lang w:val="en-HK"/>
        </w:rPr>
        <w:t>, 2012).</w:t>
      </w:r>
    </w:p>
    <w:p w14:paraId="59ED9B56"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Emotional Weight</w:t>
      </w:r>
      <w:r w:rsidRPr="00BC623B">
        <w:rPr>
          <w:rFonts w:ascii="Times New Roman" w:hAnsi="Times New Roman"/>
          <w:lang w:val="en-HK"/>
        </w:rPr>
        <w:t xml:space="preserve">: The regret is dual: for the woman’s death and for inattentiveness when her voice “lost its attraction,” suggesting a missed opportunity to </w:t>
      </w:r>
      <w:proofErr w:type="spellStart"/>
      <w:r w:rsidRPr="00BC623B">
        <w:rPr>
          <w:rFonts w:ascii="Times New Roman" w:hAnsi="Times New Roman"/>
          <w:lang w:val="en-HK"/>
        </w:rPr>
        <w:t>honor</w:t>
      </w:r>
      <w:proofErr w:type="spellEnd"/>
      <w:r w:rsidRPr="00BC623B">
        <w:rPr>
          <w:rFonts w:ascii="Times New Roman" w:hAnsi="Times New Roman"/>
          <w:lang w:val="en-HK"/>
        </w:rPr>
        <w:t xml:space="preserve"> her living intent.</w:t>
      </w:r>
    </w:p>
    <w:p w14:paraId="0B6D19B9"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 xml:space="preserve">“The </w:t>
      </w:r>
      <w:proofErr w:type="spellStart"/>
      <w:r w:rsidRPr="00BC623B">
        <w:rPr>
          <w:rFonts w:ascii="Times New Roman" w:hAnsi="Times New Roman"/>
          <w:i/>
          <w:iCs/>
          <w:lang w:val="en-HK"/>
        </w:rPr>
        <w:t>Haunter</w:t>
      </w:r>
      <w:proofErr w:type="spellEnd"/>
      <w:r w:rsidRPr="00BC623B">
        <w:rPr>
          <w:rFonts w:ascii="Times New Roman" w:hAnsi="Times New Roman"/>
          <w:i/>
          <w:iCs/>
          <w:lang w:val="en-HK"/>
        </w:rPr>
        <w:t>”</w:t>
      </w:r>
      <w:r w:rsidRPr="00BC623B">
        <w:rPr>
          <w:rFonts w:ascii="Times New Roman" w:hAnsi="Times New Roman"/>
          <w:lang w:val="en-HK"/>
        </w:rPr>
        <w:t xml:space="preserve">: </w:t>
      </w:r>
    </w:p>
    <w:p w14:paraId="73807BC3"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Text</w:t>
      </w:r>
      <w:r w:rsidRPr="00BC623B">
        <w:rPr>
          <w:rFonts w:ascii="Times New Roman" w:hAnsi="Times New Roman"/>
          <w:lang w:val="en-HK"/>
        </w:rPr>
        <w:t xml:space="preserve">: The deceased narrates, “He does not think that I haunt here nightly: / How shall I let him know / That whither his fancy sets him wandering / I, too, alertly go? - / Hover and hover a few feet from him” (Hardy, cited in Irwin, </w:t>
      </w:r>
      <w:r w:rsidRPr="00BC623B">
        <w:rPr>
          <w:rFonts w:ascii="Times New Roman" w:hAnsi="Times New Roman"/>
          <w:i/>
          <w:iCs/>
          <w:lang w:val="en-HK"/>
        </w:rPr>
        <w:t>The Collected Poems of Thomas Hardy</w:t>
      </w:r>
      <w:r w:rsidRPr="00BC623B">
        <w:rPr>
          <w:rFonts w:ascii="Times New Roman" w:hAnsi="Times New Roman"/>
          <w:lang w:val="en-HK"/>
        </w:rPr>
        <w:t>, 1934).</w:t>
      </w:r>
    </w:p>
    <w:p w14:paraId="2318D277"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Interpretation</w:t>
      </w:r>
      <w:r w:rsidRPr="00BC623B">
        <w:rPr>
          <w:rFonts w:ascii="Times New Roman" w:hAnsi="Times New Roman"/>
          <w:lang w:val="en-HK"/>
        </w:rPr>
        <w:t xml:space="preserve">: Watkins highlights the deceased’s frustration at being unnoticed, yearning for recognition. The ghostly hovering implies a vigilant, unacknowledged presence, paralleling a testator’s intent lingering beyond the grave (Watkins, </w:t>
      </w:r>
      <w:r w:rsidRPr="00BC623B">
        <w:rPr>
          <w:rFonts w:ascii="Times New Roman" w:hAnsi="Times New Roman"/>
          <w:i/>
          <w:iCs/>
          <w:lang w:val="en-HK"/>
        </w:rPr>
        <w:t>The Testator’s Voice</w:t>
      </w:r>
      <w:r w:rsidRPr="00BC623B">
        <w:rPr>
          <w:rFonts w:ascii="Times New Roman" w:hAnsi="Times New Roman"/>
          <w:lang w:val="en-HK"/>
        </w:rPr>
        <w:t>, 2012).</w:t>
      </w:r>
    </w:p>
    <w:p w14:paraId="0A4EE4FE"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Regret Intensified</w:t>
      </w:r>
      <w:r w:rsidRPr="00BC623B">
        <w:rPr>
          <w:rFonts w:ascii="Times New Roman" w:hAnsi="Times New Roman"/>
          <w:lang w:val="en-HK"/>
        </w:rPr>
        <w:t xml:space="preserve">: Unlike </w:t>
      </w:r>
      <w:r w:rsidRPr="00BC623B">
        <w:rPr>
          <w:rFonts w:ascii="Times New Roman" w:hAnsi="Times New Roman"/>
          <w:i/>
          <w:iCs/>
          <w:lang w:val="en-HK"/>
        </w:rPr>
        <w:t>“The Voice”</w:t>
      </w:r>
      <w:r w:rsidRPr="00BC623B">
        <w:rPr>
          <w:rFonts w:ascii="Times New Roman" w:hAnsi="Times New Roman"/>
          <w:lang w:val="en-HK"/>
        </w:rPr>
        <w:t>, the deceased speaks directly, amplifying the plea for attention and the living’s obliviousness, a stronger accusation of neglect.</w:t>
      </w:r>
    </w:p>
    <w:p w14:paraId="0FB39BE0"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Purpose of Literary Reference</w:t>
      </w:r>
      <w:r w:rsidRPr="00BC623B">
        <w:rPr>
          <w:rFonts w:ascii="Times New Roman" w:hAnsi="Times New Roman"/>
          <w:lang w:val="en-HK"/>
        </w:rPr>
        <w:t xml:space="preserve">: </w:t>
      </w:r>
    </w:p>
    <w:p w14:paraId="786F8B4E" w14:textId="77777777" w:rsidR="00BC623B" w:rsidRPr="00BC623B" w:rsidRDefault="00BC623B" w:rsidP="000778D3">
      <w:pPr>
        <w:numPr>
          <w:ilvl w:val="1"/>
          <w:numId w:val="2"/>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Watkins employs Hardy’s poems to establish an emotional benchmark: </w:t>
      </w:r>
      <w:r w:rsidRPr="00BC623B">
        <w:rPr>
          <w:rFonts w:ascii="Times New Roman" w:hAnsi="Times New Roman"/>
          <w:b/>
          <w:bCs/>
          <w:color w:val="FF0000"/>
          <w:lang w:val="en-HK"/>
        </w:rPr>
        <w:t>the voices of the dead “call for attention,” resisting oblivion, and their disregard evokes “intense regret”</w:t>
      </w:r>
      <w:r w:rsidRPr="00BC623B">
        <w:rPr>
          <w:rFonts w:ascii="Times New Roman" w:hAnsi="Times New Roman"/>
          <w:lang w:val="en-HK"/>
        </w:rPr>
        <w:t xml:space="preserve"> (Watkins, </w:t>
      </w:r>
      <w:r w:rsidRPr="00BC623B">
        <w:rPr>
          <w:rFonts w:ascii="Times New Roman" w:hAnsi="Times New Roman"/>
          <w:i/>
          <w:iCs/>
          <w:lang w:val="en-HK"/>
        </w:rPr>
        <w:t>The Testator’s Voice</w:t>
      </w:r>
      <w:r w:rsidRPr="00BC623B">
        <w:rPr>
          <w:rFonts w:ascii="Times New Roman" w:hAnsi="Times New Roman"/>
          <w:lang w:val="en-HK"/>
        </w:rPr>
        <w:t>, 2012). This regret—personal in Hardy, moral in intent—frames the essay’s critique of legal mechanisms that silence the testator’s will.</w:t>
      </w:r>
    </w:p>
    <w:p w14:paraId="6A40329C" w14:textId="77777777" w:rsidR="00BC623B" w:rsidRPr="00BC623B" w:rsidRDefault="00BC623B" w:rsidP="000778D3">
      <w:pPr>
        <w:numPr>
          <w:ilvl w:val="1"/>
          <w:numId w:val="2"/>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The poems bridge the literary and legal, suggesting that failing to </w:t>
      </w:r>
      <w:proofErr w:type="spellStart"/>
      <w:r w:rsidRPr="00BC623B">
        <w:rPr>
          <w:rFonts w:ascii="Times New Roman" w:hAnsi="Times New Roman"/>
          <w:lang w:val="en-HK"/>
        </w:rPr>
        <w:t>honor</w:t>
      </w:r>
      <w:proofErr w:type="spellEnd"/>
      <w:r w:rsidRPr="00BC623B">
        <w:rPr>
          <w:rFonts w:ascii="Times New Roman" w:hAnsi="Times New Roman"/>
          <w:lang w:val="en-HK"/>
        </w:rPr>
        <w:t xml:space="preserve"> the deceased’s voice is not merely a technical lapse but a profound ethical failing, a lens Watkins applies to English law.</w:t>
      </w:r>
    </w:p>
    <w:p w14:paraId="3BE26D81"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Judicial Acknowledgment – Case Law Reference</w:t>
      </w:r>
      <w:r w:rsidRPr="00BC623B">
        <w:rPr>
          <w:rFonts w:ascii="Times New Roman" w:hAnsi="Times New Roman"/>
          <w:lang w:val="en-HK"/>
        </w:rPr>
        <w:t xml:space="preserve">: </w:t>
      </w:r>
    </w:p>
    <w:p w14:paraId="788FB7BD"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lastRenderedPageBreak/>
        <w:t>Case Law: Re Rowland [1963] Ch 1 (Dissenting Judgment by Lord Denning MR)</w:t>
      </w:r>
      <w:r w:rsidRPr="00BC623B">
        <w:rPr>
          <w:rFonts w:ascii="Times New Roman" w:hAnsi="Times New Roman"/>
          <w:lang w:val="en-HK"/>
        </w:rPr>
        <w:t xml:space="preserve">: </w:t>
      </w:r>
    </w:p>
    <w:p w14:paraId="3C88D19C" w14:textId="77777777" w:rsidR="00BC623B" w:rsidRPr="00BC623B" w:rsidRDefault="00BC623B" w:rsidP="000778D3">
      <w:pPr>
        <w:numPr>
          <w:ilvl w:val="2"/>
          <w:numId w:val="3"/>
        </w:num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Facts</w:t>
      </w:r>
      <w:r w:rsidRPr="00BC623B">
        <w:rPr>
          <w:rFonts w:ascii="Times New Roman" w:hAnsi="Times New Roman"/>
          <w:lang w:val="en-HK"/>
        </w:rPr>
        <w:t>: The case involved construing a will where a condition precedent (survivorship) was ambiguous due to simultaneous deaths. The majority prioritized a strict textual reading, potentially defeating the testator’s intent.</w:t>
      </w:r>
    </w:p>
    <w:p w14:paraId="67DE2290" w14:textId="77777777" w:rsidR="00BC623B" w:rsidRPr="00BC623B" w:rsidRDefault="00BC623B" w:rsidP="000778D3">
      <w:pPr>
        <w:numPr>
          <w:ilvl w:val="2"/>
          <w:numId w:val="3"/>
        </w:numPr>
        <w:pBdr>
          <w:bottom w:val="single" w:sz="4" w:space="1" w:color="auto"/>
        </w:pBdr>
        <w:spacing w:after="240" w:line="360" w:lineRule="auto"/>
        <w:rPr>
          <w:rFonts w:ascii="Times New Roman" w:hAnsi="Times New Roman"/>
          <w:b/>
          <w:bCs/>
          <w:lang w:val="en-HK"/>
        </w:rPr>
      </w:pPr>
      <w:r w:rsidRPr="00BC623B">
        <w:rPr>
          <w:rFonts w:ascii="Times New Roman" w:hAnsi="Times New Roman"/>
          <w:i/>
          <w:iCs/>
          <w:lang w:val="en-HK"/>
        </w:rPr>
        <w:t>Held (Dissent)</w:t>
      </w:r>
      <w:r w:rsidRPr="00BC623B">
        <w:rPr>
          <w:rFonts w:ascii="Times New Roman" w:hAnsi="Times New Roman"/>
          <w:lang w:val="en-HK"/>
        </w:rPr>
        <w:t xml:space="preserve">: </w:t>
      </w:r>
      <w:r w:rsidRPr="00BC623B">
        <w:rPr>
          <w:rFonts w:ascii="Times New Roman" w:hAnsi="Times New Roman"/>
          <w:b/>
          <w:bCs/>
          <w:lang w:val="en-HK"/>
        </w:rPr>
        <w:t>Lord Denning dissented</w:t>
      </w:r>
      <w:r w:rsidRPr="00BC623B">
        <w:rPr>
          <w:rFonts w:ascii="Times New Roman" w:hAnsi="Times New Roman"/>
          <w:lang w:val="en-HK"/>
        </w:rPr>
        <w:t xml:space="preserve">, </w:t>
      </w:r>
      <w:proofErr w:type="spellStart"/>
      <w:r w:rsidRPr="00BC623B">
        <w:rPr>
          <w:rFonts w:ascii="Times New Roman" w:hAnsi="Times New Roman"/>
          <w:b/>
          <w:bCs/>
          <w:lang w:val="en-HK"/>
        </w:rPr>
        <w:t>favoring</w:t>
      </w:r>
      <w:proofErr w:type="spellEnd"/>
      <w:r w:rsidRPr="00BC623B">
        <w:rPr>
          <w:rFonts w:ascii="Times New Roman" w:hAnsi="Times New Roman"/>
          <w:b/>
          <w:bCs/>
          <w:lang w:val="en-HK"/>
        </w:rPr>
        <w:t xml:space="preserve"> an interpretation </w:t>
      </w:r>
      <w:proofErr w:type="spellStart"/>
      <w:r w:rsidRPr="00BC623B">
        <w:rPr>
          <w:rFonts w:ascii="Times New Roman" w:hAnsi="Times New Roman"/>
          <w:b/>
          <w:bCs/>
          <w:lang w:val="en-HK"/>
        </w:rPr>
        <w:t>honoring</w:t>
      </w:r>
      <w:proofErr w:type="spellEnd"/>
      <w:r w:rsidRPr="00BC623B">
        <w:rPr>
          <w:rFonts w:ascii="Times New Roman" w:hAnsi="Times New Roman"/>
          <w:b/>
          <w:bCs/>
          <w:lang w:val="en-HK"/>
        </w:rPr>
        <w:t xml:space="preserve"> the testator’s likely wishes, though the majority prevailed.</w:t>
      </w:r>
    </w:p>
    <w:p w14:paraId="4FE0E6CC" w14:textId="77777777" w:rsidR="00BC623B" w:rsidRPr="00BC623B" w:rsidRDefault="00BC623B" w:rsidP="000778D3">
      <w:pPr>
        <w:numPr>
          <w:ilvl w:val="2"/>
          <w:numId w:val="3"/>
        </w:num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Reasoning</w:t>
      </w:r>
      <w:r w:rsidRPr="00BC623B">
        <w:rPr>
          <w:rFonts w:ascii="Times New Roman" w:hAnsi="Times New Roman"/>
          <w:lang w:val="en-HK"/>
        </w:rPr>
        <w:t xml:space="preserve">: He cited Lord Atkin in </w:t>
      </w:r>
      <w:r w:rsidRPr="00BC623B">
        <w:rPr>
          <w:rFonts w:ascii="Times New Roman" w:hAnsi="Times New Roman"/>
          <w:i/>
          <w:iCs/>
          <w:lang w:val="en-HK"/>
        </w:rPr>
        <w:t>Perrin v Morgan [1943] AC 399</w:t>
      </w:r>
      <w:r w:rsidRPr="00BC623B">
        <w:rPr>
          <w:rFonts w:ascii="Times New Roman" w:hAnsi="Times New Roman"/>
          <w:lang w:val="en-HK"/>
        </w:rPr>
        <w:t xml:space="preserve">, who referenced a “late Chancery judge” envisioning “a group of ghosts of dissatisfied testators who ... wait on the other bank of the Styx, to receive the judicial personages who have misconstrued their wills” (Watkins, </w:t>
      </w:r>
      <w:r w:rsidRPr="00BC623B">
        <w:rPr>
          <w:rFonts w:ascii="Times New Roman" w:hAnsi="Times New Roman"/>
          <w:i/>
          <w:iCs/>
          <w:lang w:val="en-HK"/>
        </w:rPr>
        <w:t>The Testator’s Voice</w:t>
      </w:r>
      <w:r w:rsidRPr="00BC623B">
        <w:rPr>
          <w:rFonts w:ascii="Times New Roman" w:hAnsi="Times New Roman"/>
          <w:lang w:val="en-HK"/>
        </w:rPr>
        <w:t>, 2012, p. 62). This vivid imagery acknowledges that legal doctrine can frustrate intent, a recurring judicial concern.</w:t>
      </w:r>
    </w:p>
    <w:p w14:paraId="0202FCF3"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Case Law: Perrin v Morgan [1943] AC 399</w:t>
      </w:r>
      <w:r w:rsidRPr="00BC623B">
        <w:rPr>
          <w:rFonts w:ascii="Times New Roman" w:hAnsi="Times New Roman"/>
          <w:lang w:val="en-HK"/>
        </w:rPr>
        <w:t xml:space="preserve">: </w:t>
      </w:r>
    </w:p>
    <w:p w14:paraId="47AEABC7" w14:textId="77777777" w:rsidR="00BC623B" w:rsidRPr="00BC623B" w:rsidRDefault="00BC623B" w:rsidP="000778D3">
      <w:pPr>
        <w:numPr>
          <w:ilvl w:val="2"/>
          <w:numId w:val="3"/>
        </w:num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Facts</w:t>
      </w:r>
      <w:r w:rsidRPr="00BC623B">
        <w:rPr>
          <w:rFonts w:ascii="Times New Roman" w:hAnsi="Times New Roman"/>
          <w:lang w:val="en-HK"/>
        </w:rPr>
        <w:t>: The House of Lords interpreted “money” in a will broadly (including securities), aligning with probable intent over a narrow reading.</w:t>
      </w:r>
    </w:p>
    <w:p w14:paraId="1300BF4C" w14:textId="77777777" w:rsidR="00BC623B" w:rsidRPr="00BC623B" w:rsidRDefault="00BC623B" w:rsidP="000778D3">
      <w:pPr>
        <w:numPr>
          <w:ilvl w:val="2"/>
          <w:numId w:val="3"/>
        </w:num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Held</w:t>
      </w:r>
      <w:r w:rsidRPr="00BC623B">
        <w:rPr>
          <w:rFonts w:ascii="Times New Roman" w:hAnsi="Times New Roman"/>
          <w:lang w:val="en-HK"/>
        </w:rPr>
        <w:t xml:space="preserve">: Lord Atkin’s majority opinion </w:t>
      </w:r>
      <w:proofErr w:type="spellStart"/>
      <w:r w:rsidRPr="00BC623B">
        <w:rPr>
          <w:rFonts w:ascii="Times New Roman" w:hAnsi="Times New Roman"/>
          <w:lang w:val="en-HK"/>
        </w:rPr>
        <w:t>favored</w:t>
      </w:r>
      <w:proofErr w:type="spellEnd"/>
      <w:r w:rsidRPr="00BC623B">
        <w:rPr>
          <w:rFonts w:ascii="Times New Roman" w:hAnsi="Times New Roman"/>
          <w:lang w:val="en-HK"/>
        </w:rPr>
        <w:t xml:space="preserve"> a contextual approach, but his ghost metaphor (via a Chancery judge) highlighted past missteps.</w:t>
      </w:r>
    </w:p>
    <w:p w14:paraId="1EB79476" w14:textId="77777777" w:rsidR="00BC623B" w:rsidRPr="00BC623B" w:rsidRDefault="00BC623B" w:rsidP="000778D3">
      <w:pPr>
        <w:numPr>
          <w:ilvl w:val="2"/>
          <w:numId w:val="3"/>
        </w:num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Reasoning</w:t>
      </w:r>
      <w:r w:rsidRPr="00BC623B">
        <w:rPr>
          <w:rFonts w:ascii="Times New Roman" w:hAnsi="Times New Roman"/>
          <w:lang w:val="en-HK"/>
        </w:rPr>
        <w:t>: The metaphor reflects a historical strand of judicial unease with rigid constructions, though not a legal rule, suggesting awareness of the testator’s silenced voice.</w:t>
      </w:r>
    </w:p>
    <w:p w14:paraId="03C74225"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Analysis</w:t>
      </w:r>
      <w:r w:rsidRPr="00BC623B">
        <w:rPr>
          <w:rFonts w:ascii="Times New Roman" w:hAnsi="Times New Roman"/>
          <w:lang w:val="en-HK"/>
        </w:rPr>
        <w:t xml:space="preserve">: Watkins traces this imagery’s genealogy through English case law, noting its persistence as a “strand of thought” </w:t>
      </w:r>
      <w:r w:rsidRPr="00BC623B">
        <w:rPr>
          <w:rFonts w:ascii="Times New Roman" w:hAnsi="Times New Roman"/>
          <w:b/>
          <w:bCs/>
          <w:color w:val="FF0000"/>
          <w:lang w:val="en-HK"/>
        </w:rPr>
        <w:t>recognizing intent’s defeat</w:t>
      </w:r>
      <w:r w:rsidRPr="00BC623B">
        <w:rPr>
          <w:rFonts w:ascii="Times New Roman" w:hAnsi="Times New Roman"/>
          <w:lang w:val="en-HK"/>
        </w:rPr>
        <w:t xml:space="preserve">. However, she finds “less apparent” any “deep sense of concern or remorse,” implying courts note the issue without systemic redress (Watkins, </w:t>
      </w:r>
      <w:r w:rsidRPr="00BC623B">
        <w:rPr>
          <w:rFonts w:ascii="Times New Roman" w:hAnsi="Times New Roman"/>
          <w:i/>
          <w:iCs/>
          <w:lang w:val="en-HK"/>
        </w:rPr>
        <w:t>The Testator’s Voice</w:t>
      </w:r>
      <w:r w:rsidRPr="00BC623B">
        <w:rPr>
          <w:rFonts w:ascii="Times New Roman" w:hAnsi="Times New Roman"/>
          <w:lang w:val="en-HK"/>
        </w:rPr>
        <w:t>, 2012).</w:t>
      </w:r>
    </w:p>
    <w:p w14:paraId="0E413FAA"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Scholar’s Opinion</w:t>
      </w:r>
      <w:r w:rsidRPr="00BC623B">
        <w:rPr>
          <w:rFonts w:ascii="Times New Roman" w:hAnsi="Times New Roman"/>
          <w:lang w:val="en-HK"/>
        </w:rPr>
        <w:t xml:space="preserve">: </w:t>
      </w:r>
    </w:p>
    <w:p w14:paraId="78341567" w14:textId="77777777" w:rsidR="00BC623B" w:rsidRPr="00BC623B" w:rsidRDefault="00BC623B" w:rsidP="000778D3">
      <w:pPr>
        <w:numPr>
          <w:ilvl w:val="1"/>
          <w:numId w:val="3"/>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Watkins aligns with McLoughlin and Gardner’s premise that courts prioritize a will’s text over intent, often counter-intuitively (McLoughlin and Gardner, </w:t>
      </w:r>
      <w:r w:rsidRPr="00BC623B">
        <w:rPr>
          <w:rFonts w:ascii="Times New Roman" w:hAnsi="Times New Roman"/>
          <w:i/>
          <w:iCs/>
          <w:lang w:val="en-HK"/>
        </w:rPr>
        <w:t>When Is Authorial Intention Not Authorial Intention?</w:t>
      </w:r>
      <w:r w:rsidRPr="00BC623B">
        <w:rPr>
          <w:rFonts w:ascii="Times New Roman" w:hAnsi="Times New Roman"/>
          <w:lang w:val="en-HK"/>
        </w:rPr>
        <w:t>, 2007). She extends this by suggesting Hardy’s regret should provoke a deeper legal response, absent in practice.</w:t>
      </w:r>
    </w:p>
    <w:p w14:paraId="0125F68D" w14:textId="77777777" w:rsidR="00BC623B" w:rsidRPr="00BC623B" w:rsidRDefault="00BC623B" w:rsidP="000778D3">
      <w:pPr>
        <w:numPr>
          <w:ilvl w:val="1"/>
          <w:numId w:val="3"/>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lastRenderedPageBreak/>
        <w:t xml:space="preserve">Implicitly, she contrasts literary sensitivity (Hardy’s remorse) with legal detachment, framing the latter as deficient in </w:t>
      </w:r>
      <w:proofErr w:type="spellStart"/>
      <w:r w:rsidRPr="00BC623B">
        <w:rPr>
          <w:rFonts w:ascii="Times New Roman" w:hAnsi="Times New Roman"/>
          <w:lang w:val="en-HK"/>
        </w:rPr>
        <w:t>honoring</w:t>
      </w:r>
      <w:proofErr w:type="spellEnd"/>
      <w:r w:rsidRPr="00BC623B">
        <w:rPr>
          <w:rFonts w:ascii="Times New Roman" w:hAnsi="Times New Roman"/>
          <w:lang w:val="en-HK"/>
        </w:rPr>
        <w:t xml:space="preserve"> the deceased.</w:t>
      </w:r>
    </w:p>
    <w:p w14:paraId="28702284"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Detailed Analysis</w:t>
      </w:r>
      <w:r w:rsidRPr="00BC623B">
        <w:rPr>
          <w:rFonts w:ascii="Times New Roman" w:hAnsi="Times New Roman"/>
          <w:lang w:val="en-HK"/>
        </w:rPr>
        <w:t xml:space="preserve">: </w:t>
      </w:r>
    </w:p>
    <w:p w14:paraId="70E8EAA2"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Emotional vs. Legal Regret</w:t>
      </w:r>
      <w:r w:rsidRPr="00BC623B">
        <w:rPr>
          <w:rFonts w:ascii="Times New Roman" w:hAnsi="Times New Roman"/>
          <w:lang w:val="en-HK"/>
        </w:rPr>
        <w:t>: Hardy’s speakers express personal guilt—inaction toward a loved one’s voice—while Lord Denning’s ghosts imply a collective judicial failing, yet without actionable remorse. Watkins uses this disparity to critique law’s impersonal approach.</w:t>
      </w:r>
    </w:p>
    <w:p w14:paraId="327E3589"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Moral Imperative</w:t>
      </w:r>
      <w:r w:rsidRPr="00BC623B">
        <w:rPr>
          <w:rFonts w:ascii="Times New Roman" w:hAnsi="Times New Roman"/>
          <w:lang w:val="en-HK"/>
        </w:rPr>
        <w:t>: The poems’ “voices from beyond the grave” demand attention, paralleling a testator’s will as a lingering call. Watkins posits that ignoring this call—legally permissible—should provoke regret akin to Hardy’s, a standard English law fails to meet.</w:t>
      </w:r>
    </w:p>
    <w:p w14:paraId="2ED8A169"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Transition to Doctrine</w:t>
      </w:r>
      <w:r w:rsidRPr="00BC623B">
        <w:rPr>
          <w:rFonts w:ascii="Times New Roman" w:hAnsi="Times New Roman"/>
          <w:lang w:val="en-HK"/>
        </w:rPr>
        <w:t xml:space="preserve">: This section primes the legal discussion by establishing an ethical baseline. Watkins questions whether law’s silencing (via formalities, interpretation, overrides) reflects sufficient </w:t>
      </w:r>
      <w:proofErr w:type="spellStart"/>
      <w:r w:rsidRPr="00BC623B">
        <w:rPr>
          <w:rFonts w:ascii="Times New Roman" w:hAnsi="Times New Roman"/>
          <w:lang w:val="en-HK"/>
        </w:rPr>
        <w:t>honor</w:t>
      </w:r>
      <w:proofErr w:type="spellEnd"/>
      <w:r w:rsidRPr="00BC623B">
        <w:rPr>
          <w:rFonts w:ascii="Times New Roman" w:hAnsi="Times New Roman"/>
          <w:lang w:val="en-HK"/>
        </w:rPr>
        <w:t xml:space="preserve">, a theme explored in subsequent sections like </w:t>
      </w:r>
      <w:r w:rsidRPr="00BC623B">
        <w:rPr>
          <w:rFonts w:ascii="Times New Roman" w:hAnsi="Times New Roman"/>
          <w:i/>
          <w:iCs/>
          <w:lang w:val="en-HK"/>
        </w:rPr>
        <w:t>“From Wishes to Will”</w:t>
      </w:r>
      <w:r w:rsidRPr="00BC623B">
        <w:rPr>
          <w:rFonts w:ascii="Times New Roman" w:hAnsi="Times New Roman"/>
          <w:lang w:val="en-HK"/>
        </w:rPr>
        <w:t>.</w:t>
      </w:r>
    </w:p>
    <w:p w14:paraId="47B50E6A"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Contextual Link</w:t>
      </w:r>
      <w:r w:rsidRPr="00BC623B">
        <w:rPr>
          <w:rFonts w:ascii="Times New Roman" w:hAnsi="Times New Roman"/>
          <w:lang w:val="en-HK"/>
        </w:rPr>
        <w:t xml:space="preserve">: </w:t>
      </w:r>
    </w:p>
    <w:p w14:paraId="07F6C71D"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Watkins avoids literary theories (e.g., Barthes’ </w:t>
      </w:r>
      <w:r w:rsidRPr="00BC623B">
        <w:rPr>
          <w:rFonts w:ascii="Times New Roman" w:hAnsi="Times New Roman"/>
          <w:i/>
          <w:iCs/>
          <w:lang w:val="en-HK"/>
        </w:rPr>
        <w:t>Death of the Author</w:t>
      </w:r>
      <w:r w:rsidRPr="00BC623B">
        <w:rPr>
          <w:rFonts w:ascii="Times New Roman" w:hAnsi="Times New Roman"/>
          <w:lang w:val="en-HK"/>
        </w:rPr>
        <w:t xml:space="preserve">) noted earlier, focusing instead on Hardy’s visceral regret to humanize the testator’s plight (Watkins, </w:t>
      </w:r>
      <w:r w:rsidRPr="00BC623B">
        <w:rPr>
          <w:rFonts w:ascii="Times New Roman" w:hAnsi="Times New Roman"/>
          <w:i/>
          <w:iCs/>
          <w:lang w:val="en-HK"/>
        </w:rPr>
        <w:t>The Testator’s Voice</w:t>
      </w:r>
      <w:r w:rsidRPr="00BC623B">
        <w:rPr>
          <w:rFonts w:ascii="Times New Roman" w:hAnsi="Times New Roman"/>
          <w:lang w:val="en-HK"/>
        </w:rPr>
        <w:t>, 2012). This sets up her doctrinal critique, starting with the Wills Act’s rigidity, as a failure to mirror this emotional depth.</w:t>
      </w:r>
    </w:p>
    <w:p w14:paraId="21414568"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Conclusion</w:t>
      </w:r>
      <w:r w:rsidRPr="00BC623B">
        <w:rPr>
          <w:rFonts w:ascii="Times New Roman" w:hAnsi="Times New Roman"/>
          <w:lang w:val="en-HK"/>
        </w:rPr>
        <w:t xml:space="preserve">: </w:t>
      </w:r>
    </w:p>
    <w:p w14:paraId="60105E27"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The section asserts that failing to </w:t>
      </w:r>
      <w:proofErr w:type="spellStart"/>
      <w:r w:rsidRPr="00BC623B">
        <w:rPr>
          <w:rFonts w:ascii="Times New Roman" w:hAnsi="Times New Roman"/>
          <w:lang w:val="en-HK"/>
        </w:rPr>
        <w:t>honor</w:t>
      </w:r>
      <w:proofErr w:type="spellEnd"/>
      <w:r w:rsidRPr="00BC623B">
        <w:rPr>
          <w:rFonts w:ascii="Times New Roman" w:hAnsi="Times New Roman"/>
          <w:lang w:val="en-HK"/>
        </w:rPr>
        <w:t xml:space="preserve"> the deceased’s voice—poetically poignant in Hardy, judicially acknowledged in Denning’s dissent—</w:t>
      </w:r>
      <w:r w:rsidRPr="00BC623B">
        <w:rPr>
          <w:rFonts w:ascii="Times New Roman" w:hAnsi="Times New Roman"/>
          <w:b/>
          <w:bCs/>
          <w:lang w:val="en-HK"/>
        </w:rPr>
        <w:t>carries a moral weight English law largely ignores.</w:t>
      </w:r>
      <w:r w:rsidRPr="00BC623B">
        <w:rPr>
          <w:rFonts w:ascii="Times New Roman" w:hAnsi="Times New Roman"/>
          <w:lang w:val="en-HK"/>
        </w:rPr>
        <w:t xml:space="preserve"> Watkins uses this to challenge the </w:t>
      </w:r>
      <w:r w:rsidRPr="00BC623B">
        <w:rPr>
          <w:rFonts w:ascii="Times New Roman" w:hAnsi="Times New Roman"/>
          <w:b/>
          <w:bCs/>
          <w:lang w:val="en-HK"/>
        </w:rPr>
        <w:t>legal system’s apparent lack of remorse</w:t>
      </w:r>
      <w:r w:rsidRPr="00BC623B">
        <w:rPr>
          <w:rFonts w:ascii="Times New Roman" w:hAnsi="Times New Roman"/>
          <w:lang w:val="en-HK"/>
        </w:rPr>
        <w:t>, a thread she weaves through the essay’s examination of wills’ creation, interpretation, and defeat.</w:t>
      </w:r>
    </w:p>
    <w:p w14:paraId="6EF8E0EC" w14:textId="77777777" w:rsidR="00BC623B" w:rsidRPr="000778D3" w:rsidRDefault="00F44092" w:rsidP="000778D3">
      <w:pPr>
        <w:pBdr>
          <w:bottom w:val="single" w:sz="4" w:space="1" w:color="auto"/>
        </w:pBdr>
        <w:spacing w:after="240" w:line="360" w:lineRule="auto"/>
        <w:rPr>
          <w:rFonts w:ascii="Times New Roman" w:hAnsi="Times New Roman"/>
          <w:lang w:val="en-HK"/>
        </w:rPr>
      </w:pPr>
      <w:r w:rsidRPr="00F44092">
        <w:rPr>
          <w:rFonts w:ascii="Times New Roman" w:hAnsi="Times New Roman"/>
          <w:noProof/>
          <w:lang w:val="en-HK"/>
          <w14:ligatures w14:val="standardContextual"/>
        </w:rPr>
        <w:pict w14:anchorId="48EDCBA8">
          <v:rect id="_x0000_i1028" alt="" style="width:451.3pt;height:.05pt;mso-width-percent:0;mso-height-percent:0;mso-width-percent:0;mso-height-percent:0" o:hralign="center" o:hrstd="t" o:hr="t" fillcolor="#a0a0a0" stroked="f"/>
        </w:pict>
      </w:r>
    </w:p>
    <w:p w14:paraId="4F8AC7F4" w14:textId="77D041F9" w:rsidR="00BC623B" w:rsidRPr="00BC623B" w:rsidRDefault="000F42A6" w:rsidP="000778D3">
      <w:pPr>
        <w:pBdr>
          <w:bottom w:val="single" w:sz="4" w:space="1" w:color="auto"/>
        </w:pBdr>
        <w:spacing w:after="240" w:line="360" w:lineRule="auto"/>
        <w:outlineLvl w:val="2"/>
        <w:rPr>
          <w:rFonts w:ascii="Times New Roman" w:hAnsi="Times New Roman"/>
          <w:b/>
          <w:bCs/>
          <w:lang w:val="en-HK"/>
        </w:rPr>
      </w:pPr>
      <w:r w:rsidRPr="000778D3">
        <w:rPr>
          <w:rFonts w:ascii="Times New Roman" w:hAnsi="Times New Roman"/>
          <w:b/>
          <w:bCs/>
          <w:lang w:val="en-HK"/>
        </w:rPr>
        <w:t xml:space="preserve">3. </w:t>
      </w:r>
      <w:r w:rsidR="00BC623B" w:rsidRPr="00BC623B">
        <w:rPr>
          <w:rFonts w:ascii="Times New Roman" w:hAnsi="Times New Roman"/>
          <w:b/>
          <w:bCs/>
          <w:lang w:val="en-HK"/>
        </w:rPr>
        <w:t>From Wishes to Will – The Voiced Intent (pp. 62–64) – Detailed Analysis</w:t>
      </w:r>
    </w:p>
    <w:p w14:paraId="1A25B329"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lastRenderedPageBreak/>
        <w:t xml:space="preserve">This section examines the initial stage of translating a testator’s voiced intentions into a legally enforceable will under English law, focusing on the stringent formalities imposed by the </w:t>
      </w:r>
      <w:r w:rsidRPr="00BC623B">
        <w:rPr>
          <w:rFonts w:ascii="Times New Roman" w:hAnsi="Times New Roman"/>
          <w:i/>
          <w:iCs/>
          <w:lang w:val="en-HK"/>
        </w:rPr>
        <w:t>Wills Act 1837, s 9</w:t>
      </w:r>
      <w:r w:rsidRPr="00BC623B">
        <w:rPr>
          <w:rFonts w:ascii="Times New Roman" w:hAnsi="Times New Roman"/>
          <w:lang w:val="en-HK"/>
        </w:rPr>
        <w:t>. Watkins argues that these requirements constrain and often silence the testator’s authentic voice, sacrificing it for institutional certainty, a theme she illustrates through case law and scholarly critique.</w:t>
      </w:r>
    </w:p>
    <w:p w14:paraId="3356E55E"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Core Argument</w:t>
      </w:r>
      <w:r w:rsidRPr="00BC623B">
        <w:rPr>
          <w:rFonts w:ascii="Times New Roman" w:hAnsi="Times New Roman"/>
          <w:lang w:val="en-HK"/>
        </w:rPr>
        <w:t xml:space="preserve">: </w:t>
      </w:r>
    </w:p>
    <w:p w14:paraId="27AA06D7" w14:textId="77777777" w:rsidR="00BC623B" w:rsidRPr="00BC623B" w:rsidRDefault="00BC623B" w:rsidP="000778D3">
      <w:pPr>
        <w:numPr>
          <w:ilvl w:val="1"/>
          <w:numId w:val="4"/>
        </w:numPr>
        <w:pBdr>
          <w:bottom w:val="single" w:sz="4" w:space="1" w:color="auto"/>
        </w:pBdr>
        <w:spacing w:after="240" w:line="360" w:lineRule="auto"/>
        <w:rPr>
          <w:rFonts w:ascii="Times New Roman" w:hAnsi="Times New Roman"/>
          <w:lang w:val="en-HK"/>
        </w:rPr>
      </w:pPr>
      <w:r w:rsidRPr="00BC623B">
        <w:rPr>
          <w:rFonts w:ascii="Times New Roman" w:hAnsi="Times New Roman"/>
          <w:b/>
          <w:bCs/>
          <w:color w:val="FF0000"/>
          <w:lang w:val="en-HK"/>
        </w:rPr>
        <w:t>Watkins posits that a testator’s oral intent carries legal weight only in exceptional circumstances (e.g., military nuncupative wills), while generally, it must be fixed in a written, formalized will to be recognized</w:t>
      </w:r>
      <w:r w:rsidRPr="00BC623B">
        <w:rPr>
          <w:rFonts w:ascii="Times New Roman" w:hAnsi="Times New Roman"/>
          <w:lang w:val="en-HK"/>
        </w:rPr>
        <w:t xml:space="preserve">. This process inherently limits the testator’s voice, and strict enforcement of formalities can defeat intent altogether (Watkins, </w:t>
      </w:r>
      <w:r w:rsidRPr="00BC623B">
        <w:rPr>
          <w:rFonts w:ascii="Times New Roman" w:hAnsi="Times New Roman"/>
          <w:i/>
          <w:iCs/>
          <w:lang w:val="en-HK"/>
        </w:rPr>
        <w:t>The Testator’s Voice</w:t>
      </w:r>
      <w:r w:rsidRPr="00BC623B">
        <w:rPr>
          <w:rFonts w:ascii="Times New Roman" w:hAnsi="Times New Roman"/>
          <w:lang w:val="en-HK"/>
        </w:rPr>
        <w:t>, 2012).</w:t>
      </w:r>
    </w:p>
    <w:p w14:paraId="40D528B8" w14:textId="77777777" w:rsidR="00BC623B" w:rsidRPr="00BC623B" w:rsidRDefault="00BC623B" w:rsidP="000778D3">
      <w:pPr>
        <w:numPr>
          <w:ilvl w:val="1"/>
          <w:numId w:val="4"/>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The section “steps behind” McLoughlin and Gardner’s focus on interpretation (</w:t>
      </w:r>
      <w:r w:rsidRPr="00BC623B">
        <w:rPr>
          <w:rFonts w:ascii="Times New Roman" w:hAnsi="Times New Roman"/>
          <w:i/>
          <w:iCs/>
          <w:lang w:val="en-HK"/>
        </w:rPr>
        <w:t>When Is Authorial Intention Not Authorial Intention?</w:t>
      </w:r>
      <w:r w:rsidRPr="00BC623B">
        <w:rPr>
          <w:rFonts w:ascii="Times New Roman" w:hAnsi="Times New Roman"/>
          <w:lang w:val="en-HK"/>
        </w:rPr>
        <w:t xml:space="preserve">, 2007), </w:t>
      </w:r>
      <w:proofErr w:type="spellStart"/>
      <w:r w:rsidRPr="00BC623B">
        <w:rPr>
          <w:rFonts w:ascii="Times New Roman" w:hAnsi="Times New Roman"/>
          <w:lang w:val="en-HK"/>
        </w:rPr>
        <w:t>analyzing</w:t>
      </w:r>
      <w:proofErr w:type="spellEnd"/>
      <w:r w:rsidRPr="00BC623B">
        <w:rPr>
          <w:rFonts w:ascii="Times New Roman" w:hAnsi="Times New Roman"/>
          <w:lang w:val="en-HK"/>
        </w:rPr>
        <w:t xml:space="preserve"> the prerequisites for a will’s validity as the first barrier to </w:t>
      </w:r>
      <w:proofErr w:type="spellStart"/>
      <w:r w:rsidRPr="00BC623B">
        <w:rPr>
          <w:rFonts w:ascii="Times New Roman" w:hAnsi="Times New Roman"/>
          <w:lang w:val="en-HK"/>
        </w:rPr>
        <w:t>honoring</w:t>
      </w:r>
      <w:proofErr w:type="spellEnd"/>
      <w:r w:rsidRPr="00BC623B">
        <w:rPr>
          <w:rFonts w:ascii="Times New Roman" w:hAnsi="Times New Roman"/>
          <w:lang w:val="en-HK"/>
        </w:rPr>
        <w:t xml:space="preserve"> intent.</w:t>
      </w:r>
    </w:p>
    <w:p w14:paraId="4C87E0AD"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Exceptional Recognition of Oral Intent</w:t>
      </w:r>
      <w:r w:rsidRPr="00BC623B">
        <w:rPr>
          <w:rFonts w:ascii="Times New Roman" w:hAnsi="Times New Roman"/>
          <w:lang w:val="en-HK"/>
        </w:rPr>
        <w:t xml:space="preserve">: </w:t>
      </w:r>
    </w:p>
    <w:p w14:paraId="13C331C7"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Statute: Wills (Soldiers and Sailors) Act 1918</w:t>
      </w:r>
      <w:r w:rsidRPr="00BC623B">
        <w:rPr>
          <w:rFonts w:ascii="Times New Roman" w:hAnsi="Times New Roman"/>
          <w:lang w:val="en-HK"/>
        </w:rPr>
        <w:t xml:space="preserve"> (supplementing </w:t>
      </w:r>
      <w:r w:rsidRPr="00BC623B">
        <w:rPr>
          <w:rFonts w:ascii="Times New Roman" w:hAnsi="Times New Roman"/>
          <w:i/>
          <w:iCs/>
          <w:lang w:val="en-HK"/>
        </w:rPr>
        <w:t>Wills Act 1837, s 11</w:t>
      </w:r>
      <w:r w:rsidRPr="00BC623B">
        <w:rPr>
          <w:rFonts w:ascii="Times New Roman" w:hAnsi="Times New Roman"/>
          <w:lang w:val="en-HK"/>
        </w:rPr>
        <w:t xml:space="preserve">)): </w:t>
      </w:r>
    </w:p>
    <w:p w14:paraId="42596C78"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Provision</w:t>
      </w:r>
      <w:r w:rsidRPr="00BC623B">
        <w:rPr>
          <w:rFonts w:ascii="Times New Roman" w:hAnsi="Times New Roman"/>
          <w:lang w:val="en-HK"/>
        </w:rPr>
        <w:t xml:space="preserve">: Permits oral (nuncupative) wills for military personnel in active service, provided they express a “deliberate expression of his wishes as to the disposition of his property in the event of death” (Barlow et al., </w:t>
      </w:r>
      <w:r w:rsidRPr="00BC623B">
        <w:rPr>
          <w:rFonts w:ascii="Times New Roman" w:hAnsi="Times New Roman"/>
          <w:i/>
          <w:iCs/>
          <w:lang w:val="en-HK"/>
        </w:rPr>
        <w:t>Williams on Wills</w:t>
      </w:r>
      <w:r w:rsidRPr="00BC623B">
        <w:rPr>
          <w:rFonts w:ascii="Times New Roman" w:hAnsi="Times New Roman"/>
          <w:lang w:val="en-HK"/>
        </w:rPr>
        <w:t>, 2008).</w:t>
      </w:r>
    </w:p>
    <w:p w14:paraId="7BA314E0"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Scope</w:t>
      </w:r>
      <w:r w:rsidRPr="00BC623B">
        <w:rPr>
          <w:rFonts w:ascii="Times New Roman" w:hAnsi="Times New Roman"/>
          <w:lang w:val="en-HK"/>
        </w:rPr>
        <w:t>: This exception applies only to soldiers, sailors, or airmen during wartime or active duty, reflecting a historical concession to battlefield exigencies where writing is impractical.</w:t>
      </w:r>
    </w:p>
    <w:p w14:paraId="3A64DB0C"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Example</w:t>
      </w:r>
      <w:r w:rsidRPr="00BC623B">
        <w:rPr>
          <w:rFonts w:ascii="Times New Roman" w:hAnsi="Times New Roman"/>
          <w:lang w:val="en-HK"/>
        </w:rPr>
        <w:t>: A dying soldier’s spoken bequest to a comrade could suffice if witnessed and deliberate, bypassing written formalities (</w:t>
      </w:r>
      <w:proofErr w:type="spellStart"/>
      <w:r w:rsidRPr="00BC623B">
        <w:rPr>
          <w:rFonts w:ascii="Times New Roman" w:hAnsi="Times New Roman"/>
          <w:lang w:val="en-HK"/>
        </w:rPr>
        <w:t>Hancher</w:t>
      </w:r>
      <w:proofErr w:type="spellEnd"/>
      <w:r w:rsidRPr="00BC623B">
        <w:rPr>
          <w:rFonts w:ascii="Times New Roman" w:hAnsi="Times New Roman"/>
          <w:lang w:val="en-HK"/>
        </w:rPr>
        <w:t xml:space="preserve">, </w:t>
      </w:r>
      <w:r w:rsidRPr="00BC623B">
        <w:rPr>
          <w:rFonts w:ascii="Times New Roman" w:hAnsi="Times New Roman"/>
          <w:i/>
          <w:iCs/>
          <w:lang w:val="en-HK"/>
        </w:rPr>
        <w:t>Dead Letters: Wills and Poems</w:t>
      </w:r>
      <w:r w:rsidRPr="00BC623B">
        <w:rPr>
          <w:rFonts w:ascii="Times New Roman" w:hAnsi="Times New Roman"/>
          <w:lang w:val="en-HK"/>
        </w:rPr>
        <w:t>, 1988).</w:t>
      </w:r>
    </w:p>
    <w:p w14:paraId="4A3436FF"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Analysis</w:t>
      </w:r>
      <w:r w:rsidRPr="00BC623B">
        <w:rPr>
          <w:rFonts w:ascii="Times New Roman" w:hAnsi="Times New Roman"/>
          <w:lang w:val="en-HK"/>
        </w:rPr>
        <w:t>: Watkins notes this as a rare instance where the testator’s voice is “</w:t>
      </w:r>
      <w:proofErr w:type="spellStart"/>
      <w:r w:rsidRPr="00BC623B">
        <w:rPr>
          <w:rFonts w:ascii="Times New Roman" w:hAnsi="Times New Roman"/>
          <w:lang w:val="en-HK"/>
        </w:rPr>
        <w:t>honored</w:t>
      </w:r>
      <w:proofErr w:type="spellEnd"/>
      <w:r w:rsidRPr="00BC623B">
        <w:rPr>
          <w:rFonts w:ascii="Times New Roman" w:hAnsi="Times New Roman"/>
          <w:lang w:val="en-HK"/>
        </w:rPr>
        <w:t xml:space="preserve"> exceptionally,” but its narrow application underscores the norm: oral intent lacks authority unless textualized (Watkins, </w:t>
      </w:r>
      <w:r w:rsidRPr="00BC623B">
        <w:rPr>
          <w:rFonts w:ascii="Times New Roman" w:hAnsi="Times New Roman"/>
          <w:i/>
          <w:iCs/>
          <w:lang w:val="en-HK"/>
        </w:rPr>
        <w:t>The Testator’s Voice</w:t>
      </w:r>
      <w:r w:rsidRPr="00BC623B">
        <w:rPr>
          <w:rFonts w:ascii="Times New Roman" w:hAnsi="Times New Roman"/>
          <w:lang w:val="en-HK"/>
        </w:rPr>
        <w:t>, 2012).</w:t>
      </w:r>
    </w:p>
    <w:p w14:paraId="502EB418"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General Requirement – The Written Will</w:t>
      </w:r>
      <w:r w:rsidRPr="00BC623B">
        <w:rPr>
          <w:rFonts w:ascii="Times New Roman" w:hAnsi="Times New Roman"/>
          <w:lang w:val="en-HK"/>
        </w:rPr>
        <w:t xml:space="preserve">: </w:t>
      </w:r>
    </w:p>
    <w:p w14:paraId="2ABFE64B" w14:textId="77777777" w:rsidR="00BC623B" w:rsidRPr="00BC623B" w:rsidRDefault="00BC623B" w:rsidP="000778D3">
      <w:pPr>
        <w:pBdr>
          <w:bottom w:val="single" w:sz="4" w:space="1" w:color="auto"/>
        </w:pBdr>
        <w:spacing w:after="240" w:line="360" w:lineRule="auto"/>
        <w:rPr>
          <w:rFonts w:ascii="Times New Roman" w:hAnsi="Times New Roman"/>
          <w:b/>
          <w:bCs/>
          <w:color w:val="FF0000"/>
          <w:lang w:val="en-HK"/>
        </w:rPr>
      </w:pPr>
      <w:r w:rsidRPr="00BC623B">
        <w:rPr>
          <w:rFonts w:ascii="Times New Roman" w:hAnsi="Times New Roman"/>
          <w:b/>
          <w:bCs/>
          <w:i/>
          <w:iCs/>
          <w:color w:val="FF0000"/>
          <w:lang w:val="en-HK"/>
        </w:rPr>
        <w:lastRenderedPageBreak/>
        <w:t>Statute: Wills Act 1837, s 9</w:t>
      </w:r>
      <w:r w:rsidRPr="00BC623B">
        <w:rPr>
          <w:rFonts w:ascii="Times New Roman" w:hAnsi="Times New Roman"/>
          <w:b/>
          <w:bCs/>
          <w:color w:val="FF0000"/>
          <w:lang w:val="en-HK"/>
        </w:rPr>
        <w:t xml:space="preserve">: </w:t>
      </w:r>
    </w:p>
    <w:p w14:paraId="1EF2A277" w14:textId="77777777" w:rsidR="00BC623B" w:rsidRPr="00BC623B" w:rsidRDefault="00BC623B" w:rsidP="000778D3">
      <w:pPr>
        <w:pBdr>
          <w:bottom w:val="single" w:sz="4" w:space="1" w:color="auto"/>
        </w:pBdr>
        <w:spacing w:after="240" w:line="360" w:lineRule="auto"/>
        <w:rPr>
          <w:rFonts w:ascii="Times New Roman" w:hAnsi="Times New Roman"/>
          <w:b/>
          <w:bCs/>
          <w:color w:val="FF0000"/>
          <w:lang w:val="en-HK"/>
        </w:rPr>
      </w:pPr>
      <w:r w:rsidRPr="00BC623B">
        <w:rPr>
          <w:rFonts w:ascii="Times New Roman" w:hAnsi="Times New Roman"/>
          <w:b/>
          <w:bCs/>
          <w:i/>
          <w:iCs/>
          <w:color w:val="FF0000"/>
          <w:lang w:val="en-HK"/>
        </w:rPr>
        <w:t>Text</w:t>
      </w:r>
      <w:r w:rsidRPr="00BC623B">
        <w:rPr>
          <w:rFonts w:ascii="Times New Roman" w:hAnsi="Times New Roman"/>
          <w:b/>
          <w:bCs/>
          <w:color w:val="FF0000"/>
          <w:lang w:val="en-HK"/>
        </w:rPr>
        <w:t>: “No will shall be valid unless—(a) it is in writing, and signed by the testator, or by some other person in his presence and by his direction; and (b) such signature is made or acknowledged by the testator in the presence of two or more witnesses present at the same time; and (c) each witness either—(</w:t>
      </w:r>
      <w:proofErr w:type="spellStart"/>
      <w:r w:rsidRPr="00BC623B">
        <w:rPr>
          <w:rFonts w:ascii="Times New Roman" w:hAnsi="Times New Roman"/>
          <w:b/>
          <w:bCs/>
          <w:color w:val="FF0000"/>
          <w:lang w:val="en-HK"/>
        </w:rPr>
        <w:t>i</w:t>
      </w:r>
      <w:proofErr w:type="spellEnd"/>
      <w:r w:rsidRPr="00BC623B">
        <w:rPr>
          <w:rFonts w:ascii="Times New Roman" w:hAnsi="Times New Roman"/>
          <w:b/>
          <w:bCs/>
          <w:color w:val="FF0000"/>
          <w:lang w:val="en-HK"/>
        </w:rPr>
        <w:t>) attests and signs the will; or (ii) acknowledges his signature, in the presence of the testator.”</w:t>
      </w:r>
    </w:p>
    <w:p w14:paraId="5D4F7330"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Purpose</w:t>
      </w:r>
      <w:r w:rsidRPr="00BC623B">
        <w:rPr>
          <w:rFonts w:ascii="Times New Roman" w:hAnsi="Times New Roman"/>
          <w:lang w:val="en-HK"/>
        </w:rPr>
        <w:t>: Ensures certainty, authenticity, and protection against fraud or undue influence in testamentary dispositions.</w:t>
      </w:r>
    </w:p>
    <w:p w14:paraId="4C02EEF9"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Implication</w:t>
      </w:r>
      <w:r w:rsidRPr="00BC623B">
        <w:rPr>
          <w:rFonts w:ascii="Times New Roman" w:hAnsi="Times New Roman"/>
          <w:lang w:val="en-HK"/>
        </w:rPr>
        <w:t xml:space="preserve">: Watkins argues that to influence property distribution post-death, the testator must “constrain his voice to within the confines of the written text” and submit to its “fixing” of meaning, sacrificing authenticity for legal recognition (Watkins, </w:t>
      </w:r>
      <w:r w:rsidRPr="00BC623B">
        <w:rPr>
          <w:rFonts w:ascii="Times New Roman" w:hAnsi="Times New Roman"/>
          <w:i/>
          <w:iCs/>
          <w:lang w:val="en-HK"/>
        </w:rPr>
        <w:t>The Testator’s Voice</w:t>
      </w:r>
      <w:r w:rsidRPr="00BC623B">
        <w:rPr>
          <w:rFonts w:ascii="Times New Roman" w:hAnsi="Times New Roman"/>
          <w:lang w:val="en-HK"/>
        </w:rPr>
        <w:t>, 2012).</w:t>
      </w:r>
    </w:p>
    <w:p w14:paraId="2796ADEF"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 xml:space="preserve">Case Law: Re Colling, Lawson v von </w:t>
      </w:r>
      <w:proofErr w:type="spellStart"/>
      <w:r w:rsidRPr="00BC623B">
        <w:rPr>
          <w:rFonts w:ascii="Times New Roman" w:hAnsi="Times New Roman"/>
          <w:b/>
          <w:bCs/>
          <w:lang w:val="en-HK"/>
        </w:rPr>
        <w:t>Winckler</w:t>
      </w:r>
      <w:proofErr w:type="spellEnd"/>
      <w:r w:rsidRPr="00BC623B">
        <w:rPr>
          <w:rFonts w:ascii="Times New Roman" w:hAnsi="Times New Roman"/>
          <w:b/>
          <w:bCs/>
          <w:lang w:val="en-HK"/>
        </w:rPr>
        <w:t xml:space="preserve"> [1972] 3 All ER 729</w:t>
      </w:r>
      <w:r w:rsidRPr="00BC623B">
        <w:rPr>
          <w:rFonts w:ascii="Times New Roman" w:hAnsi="Times New Roman"/>
          <w:lang w:val="en-HK"/>
        </w:rPr>
        <w:t xml:space="preserve">: </w:t>
      </w:r>
    </w:p>
    <w:p w14:paraId="5A9B7DBE"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Facts</w:t>
      </w:r>
      <w:r w:rsidRPr="00BC623B">
        <w:rPr>
          <w:rFonts w:ascii="Times New Roman" w:hAnsi="Times New Roman"/>
          <w:lang w:val="en-HK"/>
        </w:rPr>
        <w:t>: Mr. Colling, a hospital patient, drafted a will and asked a fellow patient and a nurse to witness his signature. As he signed, the nurse was briefly called away, returning after he completed it. The fellow patient witnessed the full act, and the nurse signed upon return in both their presence. After Colling’s death, the will’s validity was contested.</w:t>
      </w:r>
    </w:p>
    <w:p w14:paraId="1A33CCA6"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Held</w:t>
      </w:r>
      <w:r w:rsidRPr="00BC623B">
        <w:rPr>
          <w:rFonts w:ascii="Times New Roman" w:hAnsi="Times New Roman"/>
          <w:lang w:val="en-HK"/>
        </w:rPr>
        <w:t xml:space="preserve">: </w:t>
      </w:r>
      <w:proofErr w:type="spellStart"/>
      <w:r w:rsidRPr="00BC623B">
        <w:rPr>
          <w:rFonts w:ascii="Times New Roman" w:hAnsi="Times New Roman"/>
          <w:lang w:val="en-HK"/>
        </w:rPr>
        <w:t>Ungoed</w:t>
      </w:r>
      <w:proofErr w:type="spellEnd"/>
      <w:r w:rsidRPr="00BC623B">
        <w:rPr>
          <w:rFonts w:ascii="Times New Roman" w:hAnsi="Times New Roman"/>
          <w:lang w:val="en-HK"/>
        </w:rPr>
        <w:t xml:space="preserve">-Thomas J declared the will invalid under s 9 of the </w:t>
      </w:r>
      <w:r w:rsidRPr="00BC623B">
        <w:rPr>
          <w:rFonts w:ascii="Times New Roman" w:hAnsi="Times New Roman"/>
          <w:i/>
          <w:iCs/>
          <w:lang w:val="en-HK"/>
        </w:rPr>
        <w:t>Wills Act 1837</w:t>
      </w:r>
      <w:r w:rsidRPr="00BC623B">
        <w:rPr>
          <w:rFonts w:ascii="Times New Roman" w:hAnsi="Times New Roman"/>
          <w:lang w:val="en-HK"/>
        </w:rPr>
        <w:t>.</w:t>
      </w:r>
    </w:p>
    <w:p w14:paraId="503EC1FD"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Reasoning</w:t>
      </w:r>
      <w:r w:rsidRPr="00BC623B">
        <w:rPr>
          <w:rFonts w:ascii="Times New Roman" w:hAnsi="Times New Roman"/>
          <w:lang w:val="en-HK"/>
        </w:rPr>
        <w:t xml:space="preserve">: </w:t>
      </w:r>
    </w:p>
    <w:p w14:paraId="12A4DDE8" w14:textId="77777777" w:rsidR="00BC623B" w:rsidRPr="00BC623B" w:rsidRDefault="00BC623B" w:rsidP="000778D3">
      <w:pPr>
        <w:numPr>
          <w:ilvl w:val="2"/>
          <w:numId w:val="4"/>
        </w:numPr>
        <w:pBdr>
          <w:bottom w:val="single" w:sz="4" w:space="1" w:color="auto"/>
        </w:pBdr>
        <w:spacing w:after="240" w:line="360" w:lineRule="auto"/>
        <w:rPr>
          <w:rFonts w:ascii="Times New Roman" w:hAnsi="Times New Roman"/>
          <w:color w:val="FF0000"/>
          <w:lang w:val="en-HK"/>
        </w:rPr>
      </w:pPr>
      <w:r w:rsidRPr="00BC623B">
        <w:rPr>
          <w:rFonts w:ascii="Times New Roman" w:hAnsi="Times New Roman"/>
          <w:b/>
          <w:bCs/>
          <w:color w:val="FF0000"/>
          <w:lang w:val="en-HK"/>
        </w:rPr>
        <w:t xml:space="preserve">The statute mandates that the testator’s signature be made or acknowledged in the presence of two witnesses simultaneously. </w:t>
      </w:r>
      <w:r w:rsidRPr="00BC623B">
        <w:rPr>
          <w:rFonts w:ascii="Times New Roman" w:hAnsi="Times New Roman"/>
          <w:color w:val="FF0000"/>
          <w:lang w:val="en-HK"/>
        </w:rPr>
        <w:t>The nurse’s absence during part of the signing meant only one witness observed the complete act, violating s 9(b).</w:t>
      </w:r>
    </w:p>
    <w:p w14:paraId="59E1BC56" w14:textId="77777777" w:rsidR="00BC623B" w:rsidRPr="00BC623B" w:rsidRDefault="00BC623B" w:rsidP="000778D3">
      <w:pPr>
        <w:numPr>
          <w:ilvl w:val="2"/>
          <w:numId w:val="4"/>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The judge conceded that “the section has manifestly on occasion defeated the intention of the testator and, in some cases, of which this is one, glaringly so,” but stressed its “strict and technical” requirements (Watkins, </w:t>
      </w:r>
      <w:r w:rsidRPr="00BC623B">
        <w:rPr>
          <w:rFonts w:ascii="Times New Roman" w:hAnsi="Times New Roman"/>
          <w:i/>
          <w:iCs/>
          <w:lang w:val="en-HK"/>
        </w:rPr>
        <w:t>The Testator’s Voice</w:t>
      </w:r>
      <w:r w:rsidRPr="00BC623B">
        <w:rPr>
          <w:rFonts w:ascii="Times New Roman" w:hAnsi="Times New Roman"/>
          <w:lang w:val="en-HK"/>
        </w:rPr>
        <w:t>, 2012, p. 63).</w:t>
      </w:r>
    </w:p>
    <w:p w14:paraId="44030BC7" w14:textId="77777777" w:rsidR="00BC623B" w:rsidRPr="00BC623B" w:rsidRDefault="00BC623B" w:rsidP="000778D3">
      <w:pPr>
        <w:numPr>
          <w:ilvl w:val="2"/>
          <w:numId w:val="4"/>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He cited </w:t>
      </w:r>
      <w:r w:rsidRPr="00BC623B">
        <w:rPr>
          <w:rFonts w:ascii="Times New Roman" w:hAnsi="Times New Roman"/>
          <w:i/>
          <w:iCs/>
          <w:lang w:val="en-HK"/>
        </w:rPr>
        <w:t>Davies, Russell v Delaney</w:t>
      </w:r>
      <w:r w:rsidRPr="00BC623B">
        <w:rPr>
          <w:rFonts w:ascii="Times New Roman" w:hAnsi="Times New Roman"/>
          <w:lang w:val="en-HK"/>
        </w:rPr>
        <w:t xml:space="preserve"> (Morris J), where a similar regretful ruling upheld legal form over intent: “I am compelled to decide the case in accordance with law, even </w:t>
      </w:r>
      <w:r w:rsidRPr="00BC623B">
        <w:rPr>
          <w:rFonts w:ascii="Times New Roman" w:hAnsi="Times New Roman"/>
          <w:lang w:val="en-HK"/>
        </w:rPr>
        <w:lastRenderedPageBreak/>
        <w:t xml:space="preserve">though my decision has the effect of defeating the purpose and intention of the testatrix” (Watkins, </w:t>
      </w:r>
      <w:r w:rsidRPr="00BC623B">
        <w:rPr>
          <w:rFonts w:ascii="Times New Roman" w:hAnsi="Times New Roman"/>
          <w:i/>
          <w:iCs/>
          <w:lang w:val="en-HK"/>
        </w:rPr>
        <w:t>The Testator’s Voice</w:t>
      </w:r>
      <w:r w:rsidRPr="00BC623B">
        <w:rPr>
          <w:rFonts w:ascii="Times New Roman" w:hAnsi="Times New Roman"/>
          <w:lang w:val="en-HK"/>
        </w:rPr>
        <w:t>, 2012, p. 63).</w:t>
      </w:r>
    </w:p>
    <w:p w14:paraId="43E7B7A5"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Procedure</w:t>
      </w:r>
      <w:r w:rsidRPr="00BC623B">
        <w:rPr>
          <w:rFonts w:ascii="Times New Roman" w:hAnsi="Times New Roman"/>
          <w:lang w:val="en-HK"/>
        </w:rPr>
        <w:t>: Post-ruling, witnesses might testify to presence, but here, the nurse’s absence was undisputed, sealing the outcome.</w:t>
      </w:r>
    </w:p>
    <w:p w14:paraId="2B7D136D"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Significance</w:t>
      </w:r>
      <w:r w:rsidRPr="00BC623B">
        <w:rPr>
          <w:rFonts w:ascii="Times New Roman" w:hAnsi="Times New Roman"/>
          <w:lang w:val="en-HK"/>
        </w:rPr>
        <w:t xml:space="preserve">: Watkins uses </w:t>
      </w:r>
      <w:r w:rsidRPr="00BC623B">
        <w:rPr>
          <w:rFonts w:ascii="Times New Roman" w:hAnsi="Times New Roman"/>
          <w:i/>
          <w:iCs/>
          <w:lang w:val="en-HK"/>
        </w:rPr>
        <w:t>Re Colling</w:t>
      </w:r>
      <w:r w:rsidRPr="00BC623B">
        <w:rPr>
          <w:rFonts w:ascii="Times New Roman" w:hAnsi="Times New Roman"/>
          <w:lang w:val="en-HK"/>
        </w:rPr>
        <w:t xml:space="preserve"> to exemplify how rigid formalities silence intent, even when intent is clear and execution nearly compliant.</w:t>
      </w:r>
    </w:p>
    <w:p w14:paraId="785F184F"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Scholar’s Opinion</w:t>
      </w:r>
      <w:r w:rsidRPr="00BC623B">
        <w:rPr>
          <w:rFonts w:ascii="Times New Roman" w:hAnsi="Times New Roman"/>
          <w:lang w:val="en-HK"/>
        </w:rPr>
        <w:t xml:space="preserve">: </w:t>
      </w:r>
    </w:p>
    <w:p w14:paraId="73347520"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Leslie’s Critique</w:t>
      </w:r>
      <w:r w:rsidRPr="00BC623B">
        <w:rPr>
          <w:rFonts w:ascii="Times New Roman" w:hAnsi="Times New Roman"/>
          <w:lang w:val="en-HK"/>
        </w:rPr>
        <w:t>: Melanie B. Leslie describes such strictness as “</w:t>
      </w:r>
      <w:r w:rsidRPr="00BC623B">
        <w:rPr>
          <w:rFonts w:ascii="Times New Roman" w:hAnsi="Times New Roman"/>
          <w:b/>
          <w:bCs/>
          <w:lang w:val="en-HK"/>
        </w:rPr>
        <w:t>intent-defeating formalism”</w:t>
      </w:r>
      <w:r w:rsidRPr="00BC623B">
        <w:rPr>
          <w:rFonts w:ascii="Times New Roman" w:hAnsi="Times New Roman"/>
          <w:lang w:val="en-HK"/>
        </w:rPr>
        <w:t xml:space="preserve"> under analogous U.S. law (requiring writing and two witnesses in most states). She identifies formalities’ functions: </w:t>
      </w:r>
    </w:p>
    <w:p w14:paraId="3E7E3227" w14:textId="77777777" w:rsidR="00BC623B" w:rsidRPr="00BC623B" w:rsidRDefault="00BC623B" w:rsidP="000778D3">
      <w:pPr>
        <w:numPr>
          <w:ilvl w:val="2"/>
          <w:numId w:val="4"/>
        </w:numPr>
        <w:pBdr>
          <w:bottom w:val="single" w:sz="4" w:space="1" w:color="auto"/>
        </w:pBdr>
        <w:spacing w:after="240" w:line="360" w:lineRule="auto"/>
        <w:rPr>
          <w:rFonts w:ascii="Times New Roman" w:hAnsi="Times New Roman"/>
          <w:lang w:val="en-HK"/>
        </w:rPr>
      </w:pPr>
      <w:proofErr w:type="spellStart"/>
      <w:r w:rsidRPr="00BC623B">
        <w:rPr>
          <w:rFonts w:ascii="Times New Roman" w:hAnsi="Times New Roman"/>
          <w:i/>
          <w:iCs/>
          <w:lang w:val="en-HK"/>
        </w:rPr>
        <w:t>Channeling</w:t>
      </w:r>
      <w:proofErr w:type="spellEnd"/>
      <w:r w:rsidRPr="00BC623B">
        <w:rPr>
          <w:rFonts w:ascii="Times New Roman" w:hAnsi="Times New Roman"/>
          <w:i/>
          <w:iCs/>
          <w:lang w:val="en-HK"/>
        </w:rPr>
        <w:t xml:space="preserve"> Function</w:t>
      </w:r>
      <w:r w:rsidRPr="00BC623B">
        <w:rPr>
          <w:rFonts w:ascii="Times New Roman" w:hAnsi="Times New Roman"/>
          <w:lang w:val="en-HK"/>
        </w:rPr>
        <w:t>: Standardizes property distribution for judicial efficiency.</w:t>
      </w:r>
    </w:p>
    <w:p w14:paraId="0A56E0CE" w14:textId="77777777" w:rsidR="00BC623B" w:rsidRPr="00BC623B" w:rsidRDefault="00BC623B" w:rsidP="000778D3">
      <w:pPr>
        <w:numPr>
          <w:ilvl w:val="2"/>
          <w:numId w:val="4"/>
        </w:num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Cautionary Function</w:t>
      </w:r>
      <w:r w:rsidRPr="00BC623B">
        <w:rPr>
          <w:rFonts w:ascii="Times New Roman" w:hAnsi="Times New Roman"/>
          <w:lang w:val="en-HK"/>
        </w:rPr>
        <w:t>: Alerts testators to the act’s gravity.</w:t>
      </w:r>
    </w:p>
    <w:p w14:paraId="41FB021F" w14:textId="77777777" w:rsidR="00BC623B" w:rsidRPr="00BC623B" w:rsidRDefault="00BC623B" w:rsidP="000778D3">
      <w:pPr>
        <w:numPr>
          <w:ilvl w:val="2"/>
          <w:numId w:val="4"/>
        </w:num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Protective Function</w:t>
      </w:r>
      <w:r w:rsidRPr="00BC623B">
        <w:rPr>
          <w:rFonts w:ascii="Times New Roman" w:hAnsi="Times New Roman"/>
          <w:lang w:val="en-HK"/>
        </w:rPr>
        <w:t>: Guards against undue influence.</w:t>
      </w:r>
    </w:p>
    <w:p w14:paraId="558D3D72" w14:textId="77777777" w:rsidR="00BC623B" w:rsidRPr="00BC623B" w:rsidRDefault="00BC623B" w:rsidP="000778D3">
      <w:pPr>
        <w:numPr>
          <w:ilvl w:val="2"/>
          <w:numId w:val="4"/>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Yet, Leslie argues these aim to ensure intent, creating a “paradox” when strict compliance aborts clear wishes (Leslie, </w:t>
      </w:r>
      <w:r w:rsidRPr="00BC623B">
        <w:rPr>
          <w:rFonts w:ascii="Times New Roman" w:hAnsi="Times New Roman"/>
          <w:i/>
          <w:iCs/>
          <w:lang w:val="en-HK"/>
        </w:rPr>
        <w:t>The Myth of Testamentary Freedom</w:t>
      </w:r>
      <w:r w:rsidRPr="00BC623B">
        <w:rPr>
          <w:rFonts w:ascii="Times New Roman" w:hAnsi="Times New Roman"/>
          <w:lang w:val="en-HK"/>
        </w:rPr>
        <w:t>, 1996).</w:t>
      </w:r>
    </w:p>
    <w:p w14:paraId="267B249E"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Watkins’ Extension</w:t>
      </w:r>
      <w:r w:rsidRPr="00BC623B">
        <w:rPr>
          <w:rFonts w:ascii="Times New Roman" w:hAnsi="Times New Roman"/>
          <w:lang w:val="en-HK"/>
        </w:rPr>
        <w:t xml:space="preserve">: Watkins endorses Leslie, applying this to England, where s 9’s “stringent” and “rigorous” application mirrors U.S. formalism, defeating intent from the outset (Watkins, </w:t>
      </w:r>
      <w:r w:rsidRPr="00BC623B">
        <w:rPr>
          <w:rFonts w:ascii="Times New Roman" w:hAnsi="Times New Roman"/>
          <w:i/>
          <w:iCs/>
          <w:lang w:val="en-HK"/>
        </w:rPr>
        <w:t>The Testator’s Voice</w:t>
      </w:r>
      <w:r w:rsidRPr="00BC623B">
        <w:rPr>
          <w:rFonts w:ascii="Times New Roman" w:hAnsi="Times New Roman"/>
          <w:lang w:val="en-HK"/>
        </w:rPr>
        <w:t>, 2012).</w:t>
      </w:r>
    </w:p>
    <w:p w14:paraId="5D3891F2" w14:textId="77777777" w:rsidR="00BC623B" w:rsidRPr="00BC623B" w:rsidRDefault="00BC623B" w:rsidP="000778D3">
      <w:pPr>
        <w:pBdr>
          <w:bottom w:val="single" w:sz="4" w:space="1" w:color="auto"/>
        </w:pBdr>
        <w:spacing w:after="240" w:line="360" w:lineRule="auto"/>
        <w:rPr>
          <w:rFonts w:ascii="Times New Roman" w:hAnsi="Times New Roman"/>
          <w:lang w:val="en-HK"/>
        </w:rPr>
      </w:pPr>
      <w:proofErr w:type="spellStart"/>
      <w:r w:rsidRPr="00BC623B">
        <w:rPr>
          <w:rFonts w:ascii="Times New Roman" w:hAnsi="Times New Roman"/>
          <w:i/>
          <w:iCs/>
          <w:lang w:val="en-HK"/>
        </w:rPr>
        <w:t>Hancher’s</w:t>
      </w:r>
      <w:proofErr w:type="spellEnd"/>
      <w:r w:rsidRPr="00BC623B">
        <w:rPr>
          <w:rFonts w:ascii="Times New Roman" w:hAnsi="Times New Roman"/>
          <w:i/>
          <w:iCs/>
          <w:lang w:val="en-HK"/>
        </w:rPr>
        <w:t xml:space="preserve"> Insight</w:t>
      </w:r>
      <w:r w:rsidRPr="00BC623B">
        <w:rPr>
          <w:rFonts w:ascii="Times New Roman" w:hAnsi="Times New Roman"/>
          <w:lang w:val="en-HK"/>
        </w:rPr>
        <w:t xml:space="preserve">: </w:t>
      </w:r>
      <w:proofErr w:type="spellStart"/>
      <w:r w:rsidRPr="00BC623B">
        <w:rPr>
          <w:rFonts w:ascii="Times New Roman" w:hAnsi="Times New Roman"/>
          <w:lang w:val="en-HK"/>
        </w:rPr>
        <w:t>Hancher</w:t>
      </w:r>
      <w:proofErr w:type="spellEnd"/>
      <w:r w:rsidRPr="00BC623B">
        <w:rPr>
          <w:rFonts w:ascii="Times New Roman" w:hAnsi="Times New Roman"/>
          <w:lang w:val="en-HK"/>
        </w:rPr>
        <w:t xml:space="preserve"> notes wills as a genre emphasizing the author’s death, where legal form trumps voice unless exceptionally preserved (e.g., military wills) (</w:t>
      </w:r>
      <w:proofErr w:type="spellStart"/>
      <w:r w:rsidRPr="00BC623B">
        <w:rPr>
          <w:rFonts w:ascii="Times New Roman" w:hAnsi="Times New Roman"/>
          <w:lang w:val="en-HK"/>
        </w:rPr>
        <w:t>Hancher</w:t>
      </w:r>
      <w:proofErr w:type="spellEnd"/>
      <w:r w:rsidRPr="00BC623B">
        <w:rPr>
          <w:rFonts w:ascii="Times New Roman" w:hAnsi="Times New Roman"/>
          <w:lang w:val="en-HK"/>
        </w:rPr>
        <w:t xml:space="preserve">, </w:t>
      </w:r>
      <w:r w:rsidRPr="00BC623B">
        <w:rPr>
          <w:rFonts w:ascii="Times New Roman" w:hAnsi="Times New Roman"/>
          <w:i/>
          <w:iCs/>
          <w:lang w:val="en-HK"/>
        </w:rPr>
        <w:t>Dead Letters: Wills and Poems</w:t>
      </w:r>
      <w:r w:rsidRPr="00BC623B">
        <w:rPr>
          <w:rFonts w:ascii="Times New Roman" w:hAnsi="Times New Roman"/>
          <w:lang w:val="en-HK"/>
        </w:rPr>
        <w:t>, 1988).</w:t>
      </w:r>
    </w:p>
    <w:p w14:paraId="5E43D4DE"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Detailed Analysis</w:t>
      </w:r>
      <w:r w:rsidRPr="00BC623B">
        <w:rPr>
          <w:rFonts w:ascii="Times New Roman" w:hAnsi="Times New Roman"/>
          <w:lang w:val="en-HK"/>
        </w:rPr>
        <w:t xml:space="preserve">: </w:t>
      </w:r>
    </w:p>
    <w:p w14:paraId="6B4A2E53"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Constraint of Voice</w:t>
      </w:r>
      <w:r w:rsidRPr="00BC623B">
        <w:rPr>
          <w:rFonts w:ascii="Times New Roman" w:hAnsi="Times New Roman"/>
          <w:lang w:val="en-HK"/>
        </w:rPr>
        <w:t xml:space="preserve">: Watkins argues that requiring a written, witnessed will forces the testator to “translate” intent into a rigid format, losing its oral authenticity. The </w:t>
      </w:r>
      <w:r w:rsidRPr="00BC623B">
        <w:rPr>
          <w:rFonts w:ascii="Times New Roman" w:hAnsi="Times New Roman"/>
          <w:i/>
          <w:iCs/>
          <w:lang w:val="en-HK"/>
        </w:rPr>
        <w:t>Wills Act</w:t>
      </w:r>
      <w:r w:rsidRPr="00BC623B">
        <w:rPr>
          <w:rFonts w:ascii="Times New Roman" w:hAnsi="Times New Roman"/>
          <w:lang w:val="en-HK"/>
        </w:rPr>
        <w:t xml:space="preserve"> prioritizes certainty over spontaneity, unlike nuncupative exceptions (Watkins, </w:t>
      </w:r>
      <w:r w:rsidRPr="00BC623B">
        <w:rPr>
          <w:rFonts w:ascii="Times New Roman" w:hAnsi="Times New Roman"/>
          <w:i/>
          <w:iCs/>
          <w:lang w:val="en-HK"/>
        </w:rPr>
        <w:t>The Testator’s Voice</w:t>
      </w:r>
      <w:r w:rsidRPr="00BC623B">
        <w:rPr>
          <w:rFonts w:ascii="Times New Roman" w:hAnsi="Times New Roman"/>
          <w:lang w:val="en-HK"/>
        </w:rPr>
        <w:t>, 2012).</w:t>
      </w:r>
    </w:p>
    <w:p w14:paraId="17E012A7"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lastRenderedPageBreak/>
        <w:t>Sacrifice for Certainty</w:t>
      </w:r>
      <w:r w:rsidRPr="00BC623B">
        <w:rPr>
          <w:rFonts w:ascii="Times New Roman" w:hAnsi="Times New Roman"/>
          <w:lang w:val="en-HK"/>
        </w:rPr>
        <w:t xml:space="preserve">: The “fixing” of meaning in text—versus fluid oral expression—means intent is “sacrificed” for institutional needs, a trade-off </w:t>
      </w:r>
      <w:r w:rsidRPr="00BC623B">
        <w:rPr>
          <w:rFonts w:ascii="Times New Roman" w:hAnsi="Times New Roman"/>
          <w:i/>
          <w:iCs/>
          <w:lang w:val="en-HK"/>
        </w:rPr>
        <w:t>Re Colling</w:t>
      </w:r>
      <w:r w:rsidRPr="00BC623B">
        <w:rPr>
          <w:rFonts w:ascii="Times New Roman" w:hAnsi="Times New Roman"/>
          <w:lang w:val="en-HK"/>
        </w:rPr>
        <w:t xml:space="preserve"> starkly illustrates. </w:t>
      </w:r>
      <w:proofErr w:type="spellStart"/>
      <w:r w:rsidRPr="00BC623B">
        <w:rPr>
          <w:rFonts w:ascii="Times New Roman" w:hAnsi="Times New Roman"/>
          <w:lang w:val="en-HK"/>
        </w:rPr>
        <w:t>Ungoed</w:t>
      </w:r>
      <w:proofErr w:type="spellEnd"/>
      <w:r w:rsidRPr="00BC623B">
        <w:rPr>
          <w:rFonts w:ascii="Times New Roman" w:hAnsi="Times New Roman"/>
          <w:lang w:val="en-HK"/>
        </w:rPr>
        <w:t>-Thomas J’s regret acknowledges this, yet legal duty prevails.</w:t>
      </w:r>
    </w:p>
    <w:p w14:paraId="0A3844BF"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Judicial Reluctance</w:t>
      </w:r>
      <w:r w:rsidRPr="00BC623B">
        <w:rPr>
          <w:rFonts w:ascii="Times New Roman" w:hAnsi="Times New Roman"/>
          <w:lang w:val="en-HK"/>
        </w:rPr>
        <w:t xml:space="preserve">: The judge’s concession in </w:t>
      </w:r>
      <w:r w:rsidRPr="00BC623B">
        <w:rPr>
          <w:rFonts w:ascii="Times New Roman" w:hAnsi="Times New Roman"/>
          <w:i/>
          <w:iCs/>
          <w:lang w:val="en-HK"/>
        </w:rPr>
        <w:t>Re Colling</w:t>
      </w:r>
      <w:r w:rsidRPr="00BC623B">
        <w:rPr>
          <w:rFonts w:ascii="Times New Roman" w:hAnsi="Times New Roman"/>
          <w:lang w:val="en-HK"/>
        </w:rPr>
        <w:t xml:space="preserve"> reflects awareness of intent’s defeat, but Watkins finds this regret superficial, lacking systemic reform to prioritize voice over form.</w:t>
      </w:r>
    </w:p>
    <w:p w14:paraId="2BB21015"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Paradox Highlighted</w:t>
      </w:r>
      <w:r w:rsidRPr="00BC623B">
        <w:rPr>
          <w:rFonts w:ascii="Times New Roman" w:hAnsi="Times New Roman"/>
          <w:lang w:val="en-HK"/>
        </w:rPr>
        <w:t xml:space="preserve">: Leslie’s paradox—formalities meant to secure intent undermine it—resonates in </w:t>
      </w:r>
      <w:r w:rsidRPr="00BC623B">
        <w:rPr>
          <w:rFonts w:ascii="Times New Roman" w:hAnsi="Times New Roman"/>
          <w:i/>
          <w:iCs/>
          <w:lang w:val="en-HK"/>
        </w:rPr>
        <w:t>Re Colling</w:t>
      </w:r>
      <w:r w:rsidRPr="00BC623B">
        <w:rPr>
          <w:rFonts w:ascii="Times New Roman" w:hAnsi="Times New Roman"/>
          <w:lang w:val="en-HK"/>
        </w:rPr>
        <w:t>, where a minor procedural lapse (nurse’s absence) voided a clear bequest, silencing Colling’s wishes.</w:t>
      </w:r>
    </w:p>
    <w:p w14:paraId="691FAE0C"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Contextual Link</w:t>
      </w:r>
      <w:r w:rsidRPr="00BC623B">
        <w:rPr>
          <w:rFonts w:ascii="Times New Roman" w:hAnsi="Times New Roman"/>
          <w:lang w:val="en-HK"/>
        </w:rPr>
        <w:t xml:space="preserve">: </w:t>
      </w:r>
    </w:p>
    <w:p w14:paraId="7F64F9F1" w14:textId="77777777" w:rsidR="00BC623B" w:rsidRPr="00BC623B" w:rsidRDefault="00BC623B" w:rsidP="000778D3">
      <w:pPr>
        <w:numPr>
          <w:ilvl w:val="1"/>
          <w:numId w:val="4"/>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This section connects to </w:t>
      </w:r>
      <w:r w:rsidRPr="00BC623B">
        <w:rPr>
          <w:rFonts w:ascii="Times New Roman" w:hAnsi="Times New Roman"/>
          <w:i/>
          <w:iCs/>
          <w:lang w:val="en-HK"/>
        </w:rPr>
        <w:t>“A Failure to Honor the Voice”</w:t>
      </w:r>
      <w:r w:rsidRPr="00BC623B">
        <w:rPr>
          <w:rFonts w:ascii="Times New Roman" w:hAnsi="Times New Roman"/>
          <w:lang w:val="en-HK"/>
        </w:rPr>
        <w:t xml:space="preserve"> by grounding Hardy’s regret in legal reality: the testator’s call is stifled not just post-death but at creation. It precedes </w:t>
      </w:r>
      <w:r w:rsidRPr="00BC623B">
        <w:rPr>
          <w:rFonts w:ascii="Times New Roman" w:hAnsi="Times New Roman"/>
          <w:i/>
          <w:iCs/>
          <w:lang w:val="en-HK"/>
        </w:rPr>
        <w:t>“The Textual Analysis of Wills”</w:t>
      </w:r>
      <w:r w:rsidRPr="00BC623B">
        <w:rPr>
          <w:rFonts w:ascii="Times New Roman" w:hAnsi="Times New Roman"/>
          <w:lang w:val="en-HK"/>
        </w:rPr>
        <w:t xml:space="preserve">, showing how formalities set the stage for further silencing through interpretation (Watkins, </w:t>
      </w:r>
      <w:r w:rsidRPr="00BC623B">
        <w:rPr>
          <w:rFonts w:ascii="Times New Roman" w:hAnsi="Times New Roman"/>
          <w:i/>
          <w:iCs/>
          <w:lang w:val="en-HK"/>
        </w:rPr>
        <w:t>The Testator’s Voice</w:t>
      </w:r>
      <w:r w:rsidRPr="00BC623B">
        <w:rPr>
          <w:rFonts w:ascii="Times New Roman" w:hAnsi="Times New Roman"/>
          <w:lang w:val="en-HK"/>
        </w:rPr>
        <w:t>, 2012).</w:t>
      </w:r>
    </w:p>
    <w:p w14:paraId="5FD58EDB" w14:textId="77777777" w:rsidR="00BC623B" w:rsidRPr="00BC623B" w:rsidRDefault="00BC623B" w:rsidP="000778D3">
      <w:pPr>
        <w:numPr>
          <w:ilvl w:val="1"/>
          <w:numId w:val="4"/>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Watkins contrasts the military exception—where voice retains power—with the norm, reinforcing her thesis that law systematically constrains intent.</w:t>
      </w:r>
    </w:p>
    <w:p w14:paraId="1ED64E96"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Conclusion</w:t>
      </w:r>
      <w:r w:rsidRPr="00BC623B">
        <w:rPr>
          <w:rFonts w:ascii="Times New Roman" w:hAnsi="Times New Roman"/>
          <w:lang w:val="en-HK"/>
        </w:rPr>
        <w:t xml:space="preserve">: </w:t>
      </w:r>
    </w:p>
    <w:p w14:paraId="1E91A0F8"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w:t>
      </w:r>
      <w:r w:rsidRPr="00BC623B">
        <w:rPr>
          <w:rFonts w:ascii="Times New Roman" w:hAnsi="Times New Roman"/>
          <w:b/>
          <w:bCs/>
          <w:i/>
          <w:iCs/>
          <w:lang w:val="en-HK"/>
        </w:rPr>
        <w:t>From Wishes to Will”</w:t>
      </w:r>
      <w:r w:rsidRPr="00BC623B">
        <w:rPr>
          <w:rFonts w:ascii="Times New Roman" w:hAnsi="Times New Roman"/>
          <w:b/>
          <w:bCs/>
          <w:lang w:val="en-HK"/>
        </w:rPr>
        <w:t xml:space="preserve"> establishes that the testator’s voice, vibrant in life, must conform to rigid legal text, often losing its essence.</w:t>
      </w:r>
      <w:r w:rsidRPr="00BC623B">
        <w:rPr>
          <w:rFonts w:ascii="Times New Roman" w:hAnsi="Times New Roman"/>
          <w:lang w:val="en-HK"/>
        </w:rPr>
        <w:t xml:space="preserve"> </w:t>
      </w:r>
      <w:r w:rsidRPr="00BC623B">
        <w:rPr>
          <w:rFonts w:ascii="Times New Roman" w:hAnsi="Times New Roman"/>
          <w:i/>
          <w:iCs/>
          <w:lang w:val="en-HK"/>
        </w:rPr>
        <w:t>Re Colling</w:t>
      </w:r>
      <w:r w:rsidRPr="00BC623B">
        <w:rPr>
          <w:rFonts w:ascii="Times New Roman" w:hAnsi="Times New Roman"/>
          <w:lang w:val="en-HK"/>
        </w:rPr>
        <w:t xml:space="preserve"> exemplifies how s 9’s strictness can nullify intent, a silencing Watkins critiques as institutionally entrenched, lacking the remorse Hardy’s poetry demands. This sets up her broader argument: law’s mechanisms—from creation to execution—progressively </w:t>
      </w:r>
      <w:proofErr w:type="spellStart"/>
      <w:r w:rsidRPr="00BC623B">
        <w:rPr>
          <w:rFonts w:ascii="Times New Roman" w:hAnsi="Times New Roman"/>
          <w:lang w:val="en-HK"/>
        </w:rPr>
        <w:t>dishonor</w:t>
      </w:r>
      <w:proofErr w:type="spellEnd"/>
      <w:r w:rsidRPr="00BC623B">
        <w:rPr>
          <w:rFonts w:ascii="Times New Roman" w:hAnsi="Times New Roman"/>
          <w:lang w:val="en-HK"/>
        </w:rPr>
        <w:t xml:space="preserve"> the testator.</w:t>
      </w:r>
    </w:p>
    <w:p w14:paraId="53D900B7" w14:textId="77777777" w:rsidR="00BC623B" w:rsidRPr="000778D3" w:rsidRDefault="00F44092" w:rsidP="000778D3">
      <w:pPr>
        <w:pBdr>
          <w:bottom w:val="single" w:sz="4" w:space="1" w:color="auto"/>
        </w:pBdr>
        <w:spacing w:after="240" w:line="360" w:lineRule="auto"/>
        <w:rPr>
          <w:rFonts w:ascii="Times New Roman" w:hAnsi="Times New Roman"/>
          <w:lang w:val="en-HK"/>
        </w:rPr>
      </w:pPr>
      <w:r w:rsidRPr="00F44092">
        <w:rPr>
          <w:rFonts w:ascii="Times New Roman" w:hAnsi="Times New Roman"/>
          <w:noProof/>
          <w:lang w:val="en-HK"/>
          <w14:ligatures w14:val="standardContextual"/>
        </w:rPr>
        <w:pict w14:anchorId="7F060DF2">
          <v:rect id="_x0000_i1027" alt="" style="width:451.3pt;height:.05pt;mso-width-percent:0;mso-height-percent:0;mso-width-percent:0;mso-height-percent:0" o:hralign="center" o:hrstd="t" o:hr="t" fillcolor="#a0a0a0" stroked="f"/>
        </w:pict>
      </w:r>
    </w:p>
    <w:p w14:paraId="367816D2" w14:textId="27187FAD" w:rsidR="000F42A6" w:rsidRPr="000F42A6" w:rsidRDefault="000F42A6" w:rsidP="000778D3">
      <w:pPr>
        <w:pBdr>
          <w:bottom w:val="single" w:sz="4" w:space="1" w:color="auto"/>
        </w:pBdr>
        <w:spacing w:after="240" w:line="360" w:lineRule="auto"/>
        <w:outlineLvl w:val="2"/>
        <w:rPr>
          <w:rFonts w:ascii="Times New Roman" w:hAnsi="Times New Roman"/>
          <w:b/>
          <w:bCs/>
          <w:lang w:val="en-HK"/>
        </w:rPr>
      </w:pPr>
      <w:r w:rsidRPr="000778D3">
        <w:rPr>
          <w:rFonts w:ascii="Times New Roman" w:hAnsi="Times New Roman"/>
          <w:b/>
          <w:bCs/>
          <w:lang w:val="en-HK"/>
        </w:rPr>
        <w:t xml:space="preserve">4. </w:t>
      </w:r>
      <w:r w:rsidRPr="000F42A6">
        <w:rPr>
          <w:rFonts w:ascii="Times New Roman" w:hAnsi="Times New Roman"/>
          <w:b/>
          <w:bCs/>
          <w:lang w:val="en-HK"/>
        </w:rPr>
        <w:t>The Textual Analysis of Wills – The Voice Constrained (pp. 64–67) – Detailed Analysis</w:t>
      </w:r>
    </w:p>
    <w:p w14:paraId="38104C88" w14:textId="77777777" w:rsidR="000F42A6" w:rsidRPr="000778D3" w:rsidRDefault="000F42A6" w:rsidP="000778D3">
      <w:pPr>
        <w:pBdr>
          <w:bottom w:val="single" w:sz="4" w:space="1" w:color="auto"/>
        </w:pBdr>
        <w:spacing w:after="240" w:line="360" w:lineRule="auto"/>
        <w:rPr>
          <w:rFonts w:ascii="Times New Roman" w:hAnsi="Times New Roman"/>
          <w:lang w:val="en-HK"/>
        </w:rPr>
      </w:pPr>
      <w:r w:rsidRPr="000778D3">
        <w:rPr>
          <w:rFonts w:ascii="Times New Roman" w:hAnsi="Times New Roman"/>
          <w:b/>
          <w:bCs/>
          <w:color w:val="FF0000"/>
          <w:lang w:val="en-HK"/>
        </w:rPr>
        <w:t>This section critiques the English courts’ predominantly textual approach to interpreting wills, arguing that it constrains the testator’s voice by prioritizing the document’s wording over the testator’s underlying intentions.</w:t>
      </w:r>
      <w:r w:rsidRPr="000778D3">
        <w:rPr>
          <w:rFonts w:ascii="Times New Roman" w:hAnsi="Times New Roman"/>
          <w:color w:val="FF0000"/>
          <w:lang w:val="en-HK"/>
        </w:rPr>
        <w:t xml:space="preserve"> </w:t>
      </w:r>
      <w:r w:rsidRPr="000778D3">
        <w:rPr>
          <w:rFonts w:ascii="Times New Roman" w:hAnsi="Times New Roman"/>
          <w:lang w:val="en-HK"/>
        </w:rPr>
        <w:t xml:space="preserve">Watkins builds on </w:t>
      </w:r>
      <w:r w:rsidRPr="000778D3">
        <w:rPr>
          <w:rFonts w:ascii="Times New Roman" w:hAnsi="Times New Roman"/>
          <w:lang w:val="en-HK"/>
        </w:rPr>
        <w:lastRenderedPageBreak/>
        <w:t>McLoughlin and Gardner’s observations, examining how this formalism—rooted in legal doctrine, statutory exceptions, and historical judicial shifts—further silences the testator after the will’s validation, often without significant judicial remorse. The analysis spans the general principle of textual interpretation, exceptional cases admitting extrinsic evidence, and historical changes in judicial norms, particularly regarding precatory words.</w:t>
      </w:r>
    </w:p>
    <w:p w14:paraId="6454D9DE"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Core Argument</w:t>
      </w:r>
      <w:r w:rsidRPr="000F42A6">
        <w:rPr>
          <w:rFonts w:ascii="Times New Roman" w:hAnsi="Times New Roman"/>
          <w:lang w:val="en-HK"/>
        </w:rPr>
        <w:t xml:space="preserve">: </w:t>
      </w:r>
    </w:p>
    <w:p w14:paraId="2636F909"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t xml:space="preserve">Watkins asserts that once a will is deemed valid under the </w:t>
      </w:r>
      <w:r w:rsidRPr="000F42A6">
        <w:rPr>
          <w:rFonts w:ascii="Times New Roman" w:hAnsi="Times New Roman"/>
          <w:i/>
          <w:iCs/>
          <w:lang w:val="en-HK"/>
        </w:rPr>
        <w:t>Wills Act 1837</w:t>
      </w:r>
      <w:r w:rsidRPr="000F42A6">
        <w:rPr>
          <w:rFonts w:ascii="Times New Roman" w:hAnsi="Times New Roman"/>
          <w:lang w:val="en-HK"/>
        </w:rPr>
        <w:t xml:space="preserve">, its interpretation shifts to a textual exercise, sidelining the testator’s true intent. This aligns with McLoughlin and Gardner’s view that courts focus on the “apparent meaning of the text or ‘face’ of the will,” even when contrary to intent, often yielding counterintuitive results (McLoughlin and Gardner, </w:t>
      </w:r>
      <w:r w:rsidRPr="000F42A6">
        <w:rPr>
          <w:rFonts w:ascii="Times New Roman" w:hAnsi="Times New Roman"/>
          <w:i/>
          <w:iCs/>
          <w:lang w:val="en-HK"/>
        </w:rPr>
        <w:t>When Is Authorial Intention Not Authorial Intention?</w:t>
      </w:r>
      <w:r w:rsidRPr="000F42A6">
        <w:rPr>
          <w:rFonts w:ascii="Times New Roman" w:hAnsi="Times New Roman"/>
          <w:lang w:val="en-HK"/>
        </w:rPr>
        <w:t xml:space="preserve">, 2007). She describes this as a “paradox” where the will, activated by death, “takes on a life of its own,” becoming the court’s central focus rather than the testator’s voice (Watkins, </w:t>
      </w:r>
      <w:r w:rsidRPr="000F42A6">
        <w:rPr>
          <w:rFonts w:ascii="Times New Roman" w:hAnsi="Times New Roman"/>
          <w:i/>
          <w:iCs/>
          <w:lang w:val="en-HK"/>
        </w:rPr>
        <w:t>The Testator’s Voice</w:t>
      </w:r>
      <w:r w:rsidRPr="000F42A6">
        <w:rPr>
          <w:rFonts w:ascii="Times New Roman" w:hAnsi="Times New Roman"/>
          <w:lang w:val="en-HK"/>
        </w:rPr>
        <w:t>, 2012).</w:t>
      </w:r>
    </w:p>
    <w:p w14:paraId="25FC8A84"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t>The section bridges the prior discussion of formalities (</w:t>
      </w:r>
      <w:r w:rsidRPr="000F42A6">
        <w:rPr>
          <w:rFonts w:ascii="Times New Roman" w:hAnsi="Times New Roman"/>
          <w:i/>
          <w:iCs/>
          <w:lang w:val="en-HK"/>
        </w:rPr>
        <w:t>From Wishes to Will</w:t>
      </w:r>
      <w:r w:rsidRPr="000F42A6">
        <w:rPr>
          <w:rFonts w:ascii="Times New Roman" w:hAnsi="Times New Roman"/>
          <w:lang w:val="en-HK"/>
        </w:rPr>
        <w:t>) and previews mechanisms defeating intent (</w:t>
      </w:r>
      <w:r w:rsidRPr="000F42A6">
        <w:rPr>
          <w:rFonts w:ascii="Times New Roman" w:hAnsi="Times New Roman"/>
          <w:i/>
          <w:iCs/>
          <w:lang w:val="en-HK"/>
        </w:rPr>
        <w:t>The Defeat of the Testator’s Wishes</w:t>
      </w:r>
      <w:r w:rsidRPr="000F42A6">
        <w:rPr>
          <w:rFonts w:ascii="Times New Roman" w:hAnsi="Times New Roman"/>
          <w:lang w:val="en-HK"/>
        </w:rPr>
        <w:t>), highlighting interpretation as a critical stage of silencing.</w:t>
      </w:r>
    </w:p>
    <w:p w14:paraId="645A9EED"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General Principle of Textual Interpretation</w:t>
      </w:r>
      <w:r w:rsidRPr="000F42A6">
        <w:rPr>
          <w:rFonts w:ascii="Times New Roman" w:hAnsi="Times New Roman"/>
          <w:lang w:val="en-HK"/>
        </w:rPr>
        <w:t xml:space="preserve">: </w:t>
      </w:r>
    </w:p>
    <w:p w14:paraId="038FD40D"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Legal Duty</w:t>
      </w:r>
      <w:r w:rsidRPr="000F42A6">
        <w:rPr>
          <w:rFonts w:ascii="Times New Roman" w:hAnsi="Times New Roman"/>
          <w:lang w:val="en-HK"/>
        </w:rPr>
        <w:t xml:space="preserve">: Courts must discern the testator’s intention “as expressed in the words of the will” (Barlow et al., </w:t>
      </w:r>
      <w:r w:rsidRPr="000F42A6">
        <w:rPr>
          <w:rFonts w:ascii="Times New Roman" w:hAnsi="Times New Roman"/>
          <w:i/>
          <w:iCs/>
          <w:lang w:val="en-HK"/>
        </w:rPr>
        <w:t>Williams on Wills</w:t>
      </w:r>
      <w:r w:rsidRPr="000F42A6">
        <w:rPr>
          <w:rFonts w:ascii="Times New Roman" w:hAnsi="Times New Roman"/>
          <w:lang w:val="en-HK"/>
        </w:rPr>
        <w:t>, 2008), without obligation to follow prior authority, emphasizing each will’s unique text.</w:t>
      </w:r>
    </w:p>
    <w:p w14:paraId="3FC6A40E"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Case Law Reference: Lindley LJ’s Directive (Cited in Oakley, Constructive Trusts, 2008)</w:t>
      </w:r>
      <w:r w:rsidRPr="000F42A6">
        <w:rPr>
          <w:rFonts w:ascii="Times New Roman" w:hAnsi="Times New Roman"/>
          <w:lang w:val="en-HK"/>
        </w:rPr>
        <w:t xml:space="preserve">: </w:t>
      </w:r>
    </w:p>
    <w:p w14:paraId="429082CE"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Context</w:t>
      </w:r>
      <w:r w:rsidRPr="000F42A6">
        <w:rPr>
          <w:rFonts w:ascii="Times New Roman" w:hAnsi="Times New Roman"/>
          <w:lang w:val="en-HK"/>
        </w:rPr>
        <w:t>: In construing will trusts, Lindley LJ instructed</w:t>
      </w:r>
      <w:r w:rsidRPr="000F42A6">
        <w:rPr>
          <w:rFonts w:ascii="Times New Roman" w:hAnsi="Times New Roman"/>
          <w:b/>
          <w:bCs/>
          <w:lang w:val="en-HK"/>
        </w:rPr>
        <w:t xml:space="preserve">, “you must take the will which you have to construe and see what it means, and if you come to the conclusion that no trust was intended you say so, although previous judges have said the contrary on some wills more or less similar” </w:t>
      </w:r>
      <w:r w:rsidRPr="000F42A6">
        <w:rPr>
          <w:rFonts w:ascii="Times New Roman" w:hAnsi="Times New Roman"/>
          <w:lang w:val="en-HK"/>
        </w:rPr>
        <w:t xml:space="preserve">(Watkins, </w:t>
      </w:r>
      <w:r w:rsidRPr="000F42A6">
        <w:rPr>
          <w:rFonts w:ascii="Times New Roman" w:hAnsi="Times New Roman"/>
          <w:i/>
          <w:iCs/>
          <w:lang w:val="en-HK"/>
        </w:rPr>
        <w:t>The Testator’s Voice</w:t>
      </w:r>
      <w:r w:rsidRPr="000F42A6">
        <w:rPr>
          <w:rFonts w:ascii="Times New Roman" w:hAnsi="Times New Roman"/>
          <w:lang w:val="en-HK"/>
        </w:rPr>
        <w:t>, 2012, p. 65).</w:t>
      </w:r>
    </w:p>
    <w:p w14:paraId="3CF6EAE2"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Reasoning</w:t>
      </w:r>
      <w:r w:rsidRPr="000F42A6">
        <w:rPr>
          <w:rFonts w:ascii="Times New Roman" w:hAnsi="Times New Roman"/>
          <w:lang w:val="en-HK"/>
        </w:rPr>
        <w:t xml:space="preserve">: This reflects a textual primacy where meaning derives from the “precise verbal and factual context” of the will itself, not external precedents or circumstances surrounding its creation (Morris, </w:t>
      </w:r>
      <w:r w:rsidRPr="000F42A6">
        <w:rPr>
          <w:rFonts w:ascii="Times New Roman" w:hAnsi="Times New Roman"/>
          <w:i/>
          <w:iCs/>
          <w:lang w:val="en-HK"/>
        </w:rPr>
        <w:t>The Principles of Trusts and Trustees</w:t>
      </w:r>
      <w:r w:rsidRPr="000F42A6">
        <w:rPr>
          <w:rFonts w:ascii="Times New Roman" w:hAnsi="Times New Roman"/>
          <w:lang w:val="en-HK"/>
        </w:rPr>
        <w:t>, 2000).</w:t>
      </w:r>
    </w:p>
    <w:p w14:paraId="679DB5F8"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lastRenderedPageBreak/>
        <w:t>Implication</w:t>
      </w:r>
      <w:r w:rsidRPr="000F42A6">
        <w:rPr>
          <w:rFonts w:ascii="Times New Roman" w:hAnsi="Times New Roman"/>
          <w:lang w:val="en-HK"/>
        </w:rPr>
        <w:t xml:space="preserve">: Watkins notes this approach, while ostensibly intent-focused, limits inquiry to the document, excluding broader evidence of the testator’s wishes unless explicitly textualized (Watkins, </w:t>
      </w:r>
      <w:r w:rsidRPr="000F42A6">
        <w:rPr>
          <w:rFonts w:ascii="Times New Roman" w:hAnsi="Times New Roman"/>
          <w:i/>
          <w:iCs/>
          <w:lang w:val="en-HK"/>
        </w:rPr>
        <w:t>The Testator’s Voice</w:t>
      </w:r>
      <w:r w:rsidRPr="000F42A6">
        <w:rPr>
          <w:rFonts w:ascii="Times New Roman" w:hAnsi="Times New Roman"/>
          <w:lang w:val="en-HK"/>
        </w:rPr>
        <w:t>, 2012).</w:t>
      </w:r>
    </w:p>
    <w:p w14:paraId="285ACB14" w14:textId="77777777" w:rsidR="000F42A6" w:rsidRPr="000F42A6" w:rsidRDefault="000F42A6" w:rsidP="000778D3">
      <w:pPr>
        <w:pBdr>
          <w:bottom w:val="single" w:sz="4" w:space="1" w:color="auto"/>
        </w:pBdr>
        <w:spacing w:after="240" w:line="360" w:lineRule="auto"/>
        <w:rPr>
          <w:rFonts w:ascii="Times New Roman" w:hAnsi="Times New Roman"/>
          <w:b/>
          <w:bCs/>
          <w:color w:val="FF0000"/>
          <w:lang w:val="en-HK"/>
        </w:rPr>
      </w:pPr>
      <w:r w:rsidRPr="000F42A6">
        <w:rPr>
          <w:rFonts w:ascii="Times New Roman" w:hAnsi="Times New Roman"/>
          <w:b/>
          <w:bCs/>
          <w:color w:val="FF0000"/>
          <w:lang w:val="en-HK"/>
        </w:rPr>
        <w:t xml:space="preserve">Exceptional Case: Admitting Extrinsic Evidence: </w:t>
      </w:r>
    </w:p>
    <w:p w14:paraId="3E2D8BE4" w14:textId="5F3A5EA7" w:rsidR="000F42A6" w:rsidRPr="000F42A6" w:rsidRDefault="000F42A6" w:rsidP="000778D3">
      <w:pPr>
        <w:pBdr>
          <w:bottom w:val="single" w:sz="4" w:space="1" w:color="auto"/>
        </w:pBdr>
        <w:spacing w:after="240" w:line="360" w:lineRule="auto"/>
        <w:rPr>
          <w:rFonts w:ascii="Times New Roman" w:hAnsi="Times New Roman"/>
          <w:b/>
          <w:bCs/>
          <w:color w:val="FF0000"/>
          <w:lang w:val="en-HK"/>
        </w:rPr>
      </w:pPr>
      <w:r w:rsidRPr="000F42A6">
        <w:rPr>
          <w:rFonts w:ascii="Times New Roman" w:hAnsi="Times New Roman"/>
          <w:b/>
          <w:bCs/>
          <w:i/>
          <w:iCs/>
          <w:color w:val="FF0000"/>
          <w:lang w:val="en-HK"/>
        </w:rPr>
        <w:t>Case Law: Re Steele’s Will Trusts [1948] Ch 603</w:t>
      </w:r>
      <w:r w:rsidRPr="000F42A6">
        <w:rPr>
          <w:rFonts w:ascii="Times New Roman" w:hAnsi="Times New Roman"/>
          <w:b/>
          <w:bCs/>
          <w:color w:val="FF0000"/>
          <w:lang w:val="en-HK"/>
        </w:rPr>
        <w:t xml:space="preserve">: </w:t>
      </w:r>
      <w:r w:rsidRPr="000778D3">
        <w:rPr>
          <w:rFonts w:ascii="Times New Roman" w:hAnsi="Times New Roman"/>
          <w:b/>
          <w:bCs/>
          <w:color w:val="FF0000"/>
          <w:lang w:val="en-HK"/>
        </w:rPr>
        <w:t>(intention)</w:t>
      </w:r>
    </w:p>
    <w:p w14:paraId="745C8A8F"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Facts</w:t>
      </w:r>
      <w:r w:rsidRPr="000F42A6">
        <w:rPr>
          <w:rFonts w:ascii="Times New Roman" w:hAnsi="Times New Roman"/>
          <w:lang w:val="en-HK"/>
        </w:rPr>
        <w:t xml:space="preserve">: </w:t>
      </w:r>
      <w:r w:rsidRPr="000F42A6">
        <w:rPr>
          <w:rFonts w:ascii="Times New Roman" w:hAnsi="Times New Roman"/>
          <w:b/>
          <w:bCs/>
          <w:lang w:val="en-HK"/>
        </w:rPr>
        <w:t>A solicitor drafted a will using wording identical to a prior will (</w:t>
      </w:r>
      <w:r w:rsidRPr="000F42A6">
        <w:rPr>
          <w:rFonts w:ascii="Times New Roman" w:hAnsi="Times New Roman"/>
          <w:b/>
          <w:bCs/>
          <w:i/>
          <w:iCs/>
          <w:lang w:val="en-HK"/>
        </w:rPr>
        <w:t xml:space="preserve">Knight v Knight (1840) 3 </w:t>
      </w:r>
      <w:proofErr w:type="spellStart"/>
      <w:r w:rsidRPr="000F42A6">
        <w:rPr>
          <w:rFonts w:ascii="Times New Roman" w:hAnsi="Times New Roman"/>
          <w:b/>
          <w:bCs/>
          <w:i/>
          <w:iCs/>
          <w:lang w:val="en-HK"/>
        </w:rPr>
        <w:t>Beav</w:t>
      </w:r>
      <w:proofErr w:type="spellEnd"/>
      <w:r w:rsidRPr="000F42A6">
        <w:rPr>
          <w:rFonts w:ascii="Times New Roman" w:hAnsi="Times New Roman"/>
          <w:b/>
          <w:bCs/>
          <w:i/>
          <w:iCs/>
          <w:lang w:val="en-HK"/>
        </w:rPr>
        <w:t xml:space="preserve"> 148</w:t>
      </w:r>
      <w:r w:rsidRPr="000F42A6">
        <w:rPr>
          <w:rFonts w:ascii="Times New Roman" w:hAnsi="Times New Roman"/>
          <w:b/>
          <w:bCs/>
          <w:lang w:val="en-HK"/>
        </w:rPr>
        <w:t>), where precatory language created a valid trust</w:t>
      </w:r>
      <w:r w:rsidRPr="000F42A6">
        <w:rPr>
          <w:rFonts w:ascii="Times New Roman" w:hAnsi="Times New Roman"/>
          <w:lang w:val="en-HK"/>
        </w:rPr>
        <w:t>. By 1948, judicial views had shifted, and a strict textual reading would invalidate the trust.</w:t>
      </w:r>
    </w:p>
    <w:p w14:paraId="1D3C7CE6" w14:textId="77777777" w:rsidR="000F42A6" w:rsidRPr="000F42A6" w:rsidRDefault="000F42A6" w:rsidP="000778D3">
      <w:pPr>
        <w:pBdr>
          <w:bottom w:val="single" w:sz="4" w:space="1" w:color="auto"/>
        </w:pBdr>
        <w:spacing w:after="240" w:line="360" w:lineRule="auto"/>
        <w:rPr>
          <w:rFonts w:ascii="Times New Roman" w:hAnsi="Times New Roman"/>
          <w:b/>
          <w:bCs/>
          <w:lang w:val="en-HK"/>
        </w:rPr>
      </w:pPr>
      <w:r w:rsidRPr="000F42A6">
        <w:rPr>
          <w:rFonts w:ascii="Times New Roman" w:hAnsi="Times New Roman"/>
          <w:i/>
          <w:iCs/>
          <w:lang w:val="en-HK"/>
        </w:rPr>
        <w:t>Held</w:t>
      </w:r>
      <w:r w:rsidRPr="000F42A6">
        <w:rPr>
          <w:rFonts w:ascii="Times New Roman" w:hAnsi="Times New Roman"/>
          <w:lang w:val="en-HK"/>
        </w:rPr>
        <w:t>: The court upheld the trust</w:t>
      </w:r>
      <w:r w:rsidRPr="000F42A6">
        <w:rPr>
          <w:rFonts w:ascii="Times New Roman" w:hAnsi="Times New Roman"/>
          <w:b/>
          <w:bCs/>
          <w:lang w:val="en-HK"/>
        </w:rPr>
        <w:t>, admitting the solicitor’s intent to replicate a precedent.</w:t>
      </w:r>
    </w:p>
    <w:p w14:paraId="34903B14"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Reasoning</w:t>
      </w:r>
      <w:r w:rsidRPr="000F42A6">
        <w:rPr>
          <w:rFonts w:ascii="Times New Roman" w:hAnsi="Times New Roman"/>
          <w:lang w:val="en-HK"/>
        </w:rPr>
        <w:t xml:space="preserve">: The deliberate copying demonstrated “requisite certainty of intention” to create a trust, despite contemporary norms against precatory trusts. Extrinsic evidence (the precedent’s validity) was exceptionally considered to align with the testator’s presumed intent (Watkins, </w:t>
      </w:r>
      <w:r w:rsidRPr="000F42A6">
        <w:rPr>
          <w:rFonts w:ascii="Times New Roman" w:hAnsi="Times New Roman"/>
          <w:i/>
          <w:iCs/>
          <w:lang w:val="en-HK"/>
        </w:rPr>
        <w:t>The Testator’s Voice</w:t>
      </w:r>
      <w:r w:rsidRPr="000F42A6">
        <w:rPr>
          <w:rFonts w:ascii="Times New Roman" w:hAnsi="Times New Roman"/>
          <w:lang w:val="en-HK"/>
        </w:rPr>
        <w:t>, 2012).</w:t>
      </w:r>
    </w:p>
    <w:p w14:paraId="1C373899"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Criticism</w:t>
      </w:r>
      <w:r w:rsidRPr="000F42A6">
        <w:rPr>
          <w:rFonts w:ascii="Times New Roman" w:hAnsi="Times New Roman"/>
          <w:lang w:val="en-HK"/>
        </w:rPr>
        <w:t xml:space="preserve">: Described as a “rogue decision” by commentators, it “disregards the actual wording,” imputes “artificial intention,” and deviates from the rule barring extrinsic evidence in trust construction (Morris, </w:t>
      </w:r>
      <w:r w:rsidRPr="000F42A6">
        <w:rPr>
          <w:rFonts w:ascii="Times New Roman" w:hAnsi="Times New Roman"/>
          <w:i/>
          <w:iCs/>
          <w:lang w:val="en-HK"/>
        </w:rPr>
        <w:t>The Principles of Trusts and Trustees</w:t>
      </w:r>
      <w:r w:rsidRPr="000F42A6">
        <w:rPr>
          <w:rFonts w:ascii="Times New Roman" w:hAnsi="Times New Roman"/>
          <w:lang w:val="en-HK"/>
        </w:rPr>
        <w:t xml:space="preserve">, 2000; Haley &amp; McMurtry, </w:t>
      </w:r>
      <w:r w:rsidRPr="000F42A6">
        <w:rPr>
          <w:rFonts w:ascii="Times New Roman" w:hAnsi="Times New Roman"/>
          <w:i/>
          <w:iCs/>
          <w:lang w:val="en-HK"/>
        </w:rPr>
        <w:t>Equity and Trusts</w:t>
      </w:r>
      <w:r w:rsidRPr="000F42A6">
        <w:rPr>
          <w:rFonts w:ascii="Times New Roman" w:hAnsi="Times New Roman"/>
          <w:lang w:val="en-HK"/>
        </w:rPr>
        <w:t>, 2009).</w:t>
      </w:r>
    </w:p>
    <w:p w14:paraId="0D830041" w14:textId="77777777" w:rsidR="000F42A6" w:rsidRPr="000F42A6" w:rsidRDefault="000F42A6" w:rsidP="000778D3">
      <w:pPr>
        <w:pBdr>
          <w:bottom w:val="single" w:sz="4" w:space="1" w:color="auto"/>
        </w:pBdr>
        <w:spacing w:after="240" w:line="360" w:lineRule="auto"/>
        <w:rPr>
          <w:rFonts w:ascii="Times New Roman" w:hAnsi="Times New Roman"/>
          <w:b/>
          <w:bCs/>
          <w:lang w:val="en-HK"/>
        </w:rPr>
      </w:pPr>
      <w:r w:rsidRPr="000F42A6">
        <w:rPr>
          <w:rFonts w:ascii="Times New Roman" w:hAnsi="Times New Roman"/>
          <w:b/>
          <w:bCs/>
          <w:i/>
          <w:iCs/>
          <w:lang w:val="en-HK"/>
        </w:rPr>
        <w:t>Statute: Administration of Justice Act 1982, s 21</w:t>
      </w:r>
      <w:r w:rsidRPr="000F42A6">
        <w:rPr>
          <w:rFonts w:ascii="Times New Roman" w:hAnsi="Times New Roman"/>
          <w:b/>
          <w:bCs/>
          <w:lang w:val="en-HK"/>
        </w:rPr>
        <w:t xml:space="preserve">: </w:t>
      </w:r>
    </w:p>
    <w:p w14:paraId="75AD79B4" w14:textId="0FF43AD5" w:rsidR="000F42A6" w:rsidRPr="000F42A6" w:rsidRDefault="000F42A6" w:rsidP="000778D3">
      <w:pPr>
        <w:pBdr>
          <w:bottom w:val="single" w:sz="4" w:space="1" w:color="auto"/>
        </w:pBdr>
        <w:spacing w:after="240" w:line="360" w:lineRule="auto"/>
        <w:rPr>
          <w:rFonts w:ascii="Times New Roman" w:hAnsi="Times New Roman"/>
          <w:b/>
          <w:bCs/>
          <w:lang w:val="en-HK"/>
        </w:rPr>
      </w:pPr>
      <w:r w:rsidRPr="000F42A6">
        <w:rPr>
          <w:rFonts w:ascii="Times New Roman" w:hAnsi="Times New Roman"/>
          <w:b/>
          <w:bCs/>
          <w:i/>
          <w:iCs/>
          <w:lang w:val="en-HK"/>
        </w:rPr>
        <w:t>Provision</w:t>
      </w:r>
      <w:r w:rsidRPr="000F42A6">
        <w:rPr>
          <w:rFonts w:ascii="Times New Roman" w:hAnsi="Times New Roman"/>
          <w:b/>
          <w:bCs/>
          <w:lang w:val="en-HK"/>
        </w:rPr>
        <w:t>: Allows extrinsic evidence, including testator intent, when will terms are “meaningless” or “ambiguous” to determine “the true meaning of any part of a Will”</w:t>
      </w:r>
      <w:r w:rsidRPr="000778D3">
        <w:rPr>
          <w:rFonts w:ascii="Times New Roman" w:hAnsi="Times New Roman"/>
          <w:b/>
          <w:bCs/>
          <w:lang w:val="en-HK"/>
        </w:rPr>
        <w:t xml:space="preserve"> </w:t>
      </w:r>
      <w:r w:rsidRPr="000F42A6">
        <w:rPr>
          <w:rFonts w:ascii="Times New Roman" w:hAnsi="Times New Roman"/>
          <w:b/>
          <w:bCs/>
          <w:lang w:val="en-HK"/>
        </w:rPr>
        <w:t xml:space="preserve">(Watkins, </w:t>
      </w:r>
      <w:r w:rsidRPr="000F42A6">
        <w:rPr>
          <w:rFonts w:ascii="Times New Roman" w:hAnsi="Times New Roman"/>
          <w:b/>
          <w:bCs/>
          <w:i/>
          <w:iCs/>
          <w:lang w:val="en-HK"/>
        </w:rPr>
        <w:t>The Testator’s Voice</w:t>
      </w:r>
      <w:r w:rsidRPr="000F42A6">
        <w:rPr>
          <w:rFonts w:ascii="Times New Roman" w:hAnsi="Times New Roman"/>
          <w:b/>
          <w:bCs/>
          <w:lang w:val="en-HK"/>
        </w:rPr>
        <w:t>, 2012, p. 65).</w:t>
      </w:r>
    </w:p>
    <w:p w14:paraId="1B22E228"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Limit</w:t>
      </w:r>
      <w:r w:rsidRPr="000F42A6">
        <w:rPr>
          <w:rFonts w:ascii="Times New Roman" w:hAnsi="Times New Roman"/>
          <w:lang w:val="en-HK"/>
        </w:rPr>
        <w:t xml:space="preserve">: Applies only to clarify text, not override clear meaning, even if erroneous (Morris, </w:t>
      </w:r>
      <w:r w:rsidRPr="000F42A6">
        <w:rPr>
          <w:rFonts w:ascii="Times New Roman" w:hAnsi="Times New Roman"/>
          <w:i/>
          <w:iCs/>
          <w:lang w:val="en-HK"/>
        </w:rPr>
        <w:t>The Principles of Trusts and Trustees</w:t>
      </w:r>
      <w:r w:rsidRPr="000F42A6">
        <w:rPr>
          <w:rFonts w:ascii="Times New Roman" w:hAnsi="Times New Roman"/>
          <w:lang w:val="en-HK"/>
        </w:rPr>
        <w:t>, 2000).</w:t>
      </w:r>
    </w:p>
    <w:p w14:paraId="244AE470"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Rectification Exception (Post-1983 Wills)</w:t>
      </w:r>
      <w:r w:rsidRPr="000F42A6">
        <w:rPr>
          <w:rFonts w:ascii="Times New Roman" w:hAnsi="Times New Roman"/>
          <w:lang w:val="en-HK"/>
        </w:rPr>
        <w:t xml:space="preserve">: </w:t>
      </w:r>
    </w:p>
    <w:p w14:paraId="682A503C"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Statute: Administration of Justice Act 1982, s 20</w:t>
      </w:r>
      <w:r w:rsidRPr="000F42A6">
        <w:rPr>
          <w:rFonts w:ascii="Times New Roman" w:hAnsi="Times New Roman"/>
          <w:lang w:val="en-HK"/>
        </w:rPr>
        <w:t>: Courts may rectify wills due to clerical errors or draftsman’s failure to understand instructions, aiming to reflect “true intentions.”</w:t>
      </w:r>
    </w:p>
    <w:p w14:paraId="3A550CCD"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lastRenderedPageBreak/>
        <w:t>Challenge</w:t>
      </w:r>
      <w:r w:rsidRPr="000F42A6">
        <w:rPr>
          <w:rFonts w:ascii="Times New Roman" w:hAnsi="Times New Roman"/>
          <w:lang w:val="en-HK"/>
        </w:rPr>
        <w:t xml:space="preserve">: Clerical errors are detectable (e.g., typos), but proving misunderstanding is complex, reliant on confidential draftsman testimony, often implying negligence (Barlow et al., </w:t>
      </w:r>
      <w:r w:rsidRPr="000F42A6">
        <w:rPr>
          <w:rFonts w:ascii="Times New Roman" w:hAnsi="Times New Roman"/>
          <w:i/>
          <w:iCs/>
          <w:lang w:val="en-HK"/>
        </w:rPr>
        <w:t>Williams on Wills</w:t>
      </w:r>
      <w:r w:rsidRPr="000F42A6">
        <w:rPr>
          <w:rFonts w:ascii="Times New Roman" w:hAnsi="Times New Roman"/>
          <w:lang w:val="en-HK"/>
        </w:rPr>
        <w:t>, 2008).</w:t>
      </w:r>
    </w:p>
    <w:p w14:paraId="6BD8E9BD"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Analysis</w:t>
      </w:r>
      <w:r w:rsidRPr="000F42A6">
        <w:rPr>
          <w:rFonts w:ascii="Times New Roman" w:hAnsi="Times New Roman"/>
          <w:lang w:val="en-HK"/>
        </w:rPr>
        <w:t>: Watkins argues these exceptions are narrow—</w:t>
      </w:r>
      <w:r w:rsidRPr="000F42A6">
        <w:rPr>
          <w:rFonts w:ascii="Times New Roman" w:hAnsi="Times New Roman"/>
          <w:i/>
          <w:iCs/>
          <w:lang w:val="en-HK"/>
        </w:rPr>
        <w:t>Re Steele</w:t>
      </w:r>
      <w:r w:rsidRPr="000F42A6">
        <w:rPr>
          <w:rFonts w:ascii="Times New Roman" w:hAnsi="Times New Roman"/>
          <w:lang w:val="en-HK"/>
        </w:rPr>
        <w:t xml:space="preserve"> is an outlier, and statutory relief is limited—reinforcing that clear text prevails, silencing intent when unambiguous but inaccurate (Watkins, </w:t>
      </w:r>
      <w:r w:rsidRPr="000F42A6">
        <w:rPr>
          <w:rFonts w:ascii="Times New Roman" w:hAnsi="Times New Roman"/>
          <w:i/>
          <w:iCs/>
          <w:lang w:val="en-HK"/>
        </w:rPr>
        <w:t>The Testator’s Voice</w:t>
      </w:r>
      <w:r w:rsidRPr="000F42A6">
        <w:rPr>
          <w:rFonts w:ascii="Times New Roman" w:hAnsi="Times New Roman"/>
          <w:lang w:val="en-HK"/>
        </w:rPr>
        <w:t>, 2012).</w:t>
      </w:r>
    </w:p>
    <w:p w14:paraId="7B8BEC9F"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Historical Shift – Precatory Words and Normative Influence</w:t>
      </w:r>
      <w:r w:rsidRPr="000F42A6">
        <w:rPr>
          <w:rFonts w:ascii="Times New Roman" w:hAnsi="Times New Roman"/>
          <w:lang w:val="en-HK"/>
        </w:rPr>
        <w:t xml:space="preserve">: </w:t>
      </w:r>
    </w:p>
    <w:p w14:paraId="42017E6E"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Pre-Executors Act 1830 Context</w:t>
      </w:r>
      <w:r w:rsidRPr="000F42A6">
        <w:rPr>
          <w:rFonts w:ascii="Times New Roman" w:hAnsi="Times New Roman"/>
          <w:lang w:val="en-HK"/>
        </w:rPr>
        <w:t xml:space="preserve">: </w:t>
      </w:r>
    </w:p>
    <w:p w14:paraId="4E5C26BD"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Practice</w:t>
      </w:r>
      <w:r w:rsidRPr="000F42A6">
        <w:rPr>
          <w:rFonts w:ascii="Times New Roman" w:hAnsi="Times New Roman"/>
          <w:lang w:val="en-HK"/>
        </w:rPr>
        <w:t xml:space="preserve">: Executors took undisposed estate portions, prompting courts to interpret precatory words (“hope,” “desire”) as trusts to negate this benefit (Oakley, </w:t>
      </w:r>
      <w:r w:rsidRPr="000F42A6">
        <w:rPr>
          <w:rFonts w:ascii="Times New Roman" w:hAnsi="Times New Roman"/>
          <w:i/>
          <w:iCs/>
          <w:lang w:val="en-HK"/>
        </w:rPr>
        <w:t>Constructive Trusts</w:t>
      </w:r>
      <w:r w:rsidRPr="000F42A6">
        <w:rPr>
          <w:rFonts w:ascii="Times New Roman" w:hAnsi="Times New Roman"/>
          <w:lang w:val="en-HK"/>
        </w:rPr>
        <w:t>, 2008).</w:t>
      </w:r>
    </w:p>
    <w:p w14:paraId="40470643"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Example</w:t>
      </w:r>
      <w:r w:rsidRPr="000F42A6">
        <w:rPr>
          <w:rFonts w:ascii="Times New Roman" w:hAnsi="Times New Roman"/>
          <w:lang w:val="en-HK"/>
        </w:rPr>
        <w:t xml:space="preserve">: A will expressing “hope” a widow use funds for children was construed as a binding trust, imputing intent where unclear (Watkins, </w:t>
      </w:r>
      <w:r w:rsidRPr="000F42A6">
        <w:rPr>
          <w:rFonts w:ascii="Times New Roman" w:hAnsi="Times New Roman"/>
          <w:i/>
          <w:iCs/>
          <w:lang w:val="en-HK"/>
        </w:rPr>
        <w:t>The Testator’s Voice</w:t>
      </w:r>
      <w:r w:rsidRPr="000F42A6">
        <w:rPr>
          <w:rFonts w:ascii="Times New Roman" w:hAnsi="Times New Roman"/>
          <w:lang w:val="en-HK"/>
        </w:rPr>
        <w:t>, 2012).</w:t>
      </w:r>
    </w:p>
    <w:p w14:paraId="7FC81DDD"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Statute: Executors Act 1830</w:t>
      </w:r>
      <w:r w:rsidRPr="000F42A6">
        <w:rPr>
          <w:rFonts w:ascii="Times New Roman" w:hAnsi="Times New Roman"/>
          <w:lang w:val="en-HK"/>
        </w:rPr>
        <w:t xml:space="preserve">: </w:t>
      </w:r>
    </w:p>
    <w:p w14:paraId="3B2EAC35" w14:textId="77777777" w:rsidR="000F42A6" w:rsidRPr="000F42A6" w:rsidRDefault="000F42A6" w:rsidP="000778D3">
      <w:pPr>
        <w:pBdr>
          <w:bottom w:val="single" w:sz="4" w:space="1" w:color="auto"/>
        </w:pBdr>
        <w:spacing w:after="240" w:line="360" w:lineRule="auto"/>
        <w:rPr>
          <w:rFonts w:ascii="Times New Roman" w:hAnsi="Times New Roman"/>
          <w:b/>
          <w:bCs/>
          <w:lang w:val="en-HK"/>
        </w:rPr>
      </w:pPr>
      <w:r w:rsidRPr="000F42A6">
        <w:rPr>
          <w:rFonts w:ascii="Times New Roman" w:hAnsi="Times New Roman"/>
          <w:i/>
          <w:iCs/>
          <w:lang w:val="en-HK"/>
        </w:rPr>
        <w:t>Change</w:t>
      </w:r>
      <w:r w:rsidRPr="000F42A6">
        <w:rPr>
          <w:rFonts w:ascii="Times New Roman" w:hAnsi="Times New Roman"/>
          <w:lang w:val="en-HK"/>
        </w:rPr>
        <w:t xml:space="preserve">: </w:t>
      </w:r>
      <w:r w:rsidRPr="000F42A6">
        <w:rPr>
          <w:rFonts w:ascii="Times New Roman" w:hAnsi="Times New Roman"/>
          <w:b/>
          <w:bCs/>
          <w:lang w:val="en-HK"/>
        </w:rPr>
        <w:t>Prevented executors from taking residual estate, reducing the need for such constructions.</w:t>
      </w:r>
    </w:p>
    <w:p w14:paraId="08914FF0"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 xml:space="preserve">Case Law: Knight v Knight (1840) 3 </w:t>
      </w:r>
      <w:proofErr w:type="spellStart"/>
      <w:r w:rsidRPr="000F42A6">
        <w:rPr>
          <w:rFonts w:ascii="Times New Roman" w:hAnsi="Times New Roman"/>
          <w:i/>
          <w:iCs/>
          <w:lang w:val="en-HK"/>
        </w:rPr>
        <w:t>Beav</w:t>
      </w:r>
      <w:proofErr w:type="spellEnd"/>
      <w:r w:rsidRPr="000F42A6">
        <w:rPr>
          <w:rFonts w:ascii="Times New Roman" w:hAnsi="Times New Roman"/>
          <w:i/>
          <w:iCs/>
          <w:lang w:val="en-HK"/>
        </w:rPr>
        <w:t xml:space="preserve"> 148</w:t>
      </w:r>
      <w:r w:rsidRPr="000F42A6">
        <w:rPr>
          <w:rFonts w:ascii="Times New Roman" w:hAnsi="Times New Roman"/>
          <w:lang w:val="en-HK"/>
        </w:rPr>
        <w:t xml:space="preserve">: </w:t>
      </w:r>
    </w:p>
    <w:p w14:paraId="49B46621"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Facts</w:t>
      </w:r>
      <w:r w:rsidRPr="000F42A6">
        <w:rPr>
          <w:rFonts w:ascii="Times New Roman" w:hAnsi="Times New Roman"/>
          <w:lang w:val="en-HK"/>
        </w:rPr>
        <w:t>: Precatory language was historically upheld as a trust.</w:t>
      </w:r>
    </w:p>
    <w:p w14:paraId="28BEE5D1"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Held</w:t>
      </w:r>
      <w:r w:rsidRPr="000F42A6">
        <w:rPr>
          <w:rFonts w:ascii="Times New Roman" w:hAnsi="Times New Roman"/>
          <w:lang w:val="en-HK"/>
        </w:rPr>
        <w:t>: A trust was found, reflecting pre-1830 norms.</w:t>
      </w:r>
    </w:p>
    <w:p w14:paraId="3E8356FF"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Reasoning</w:t>
      </w:r>
      <w:r w:rsidRPr="000F42A6">
        <w:rPr>
          <w:rFonts w:ascii="Times New Roman" w:hAnsi="Times New Roman"/>
          <w:lang w:val="en-HK"/>
        </w:rPr>
        <w:t xml:space="preserve">: Courts “seized upon” expressions to protect beneficiaries, often artificially (Oakley, </w:t>
      </w:r>
      <w:r w:rsidRPr="000F42A6">
        <w:rPr>
          <w:rFonts w:ascii="Times New Roman" w:hAnsi="Times New Roman"/>
          <w:i/>
          <w:iCs/>
          <w:lang w:val="en-HK"/>
        </w:rPr>
        <w:t>Constructive Trusts</w:t>
      </w:r>
      <w:r w:rsidRPr="000F42A6">
        <w:rPr>
          <w:rFonts w:ascii="Times New Roman" w:hAnsi="Times New Roman"/>
          <w:lang w:val="en-HK"/>
        </w:rPr>
        <w:t>, 2008).</w:t>
      </w:r>
    </w:p>
    <w:p w14:paraId="4FAD46D5"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 xml:space="preserve">Case Law: </w:t>
      </w:r>
      <w:proofErr w:type="spellStart"/>
      <w:r w:rsidRPr="000F42A6">
        <w:rPr>
          <w:rFonts w:ascii="Times New Roman" w:hAnsi="Times New Roman"/>
          <w:i/>
          <w:iCs/>
          <w:lang w:val="en-HK"/>
        </w:rPr>
        <w:t>Lambe</w:t>
      </w:r>
      <w:proofErr w:type="spellEnd"/>
      <w:r w:rsidRPr="000F42A6">
        <w:rPr>
          <w:rFonts w:ascii="Times New Roman" w:hAnsi="Times New Roman"/>
          <w:i/>
          <w:iCs/>
          <w:lang w:val="en-HK"/>
        </w:rPr>
        <w:t xml:space="preserve"> v Eames (1871) LR 6 Ch 597</w:t>
      </w:r>
      <w:r w:rsidRPr="000F42A6">
        <w:rPr>
          <w:rFonts w:ascii="Times New Roman" w:hAnsi="Times New Roman"/>
          <w:lang w:val="en-HK"/>
        </w:rPr>
        <w:t xml:space="preserve">: </w:t>
      </w:r>
    </w:p>
    <w:p w14:paraId="45833D2F"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Facts</w:t>
      </w:r>
      <w:r w:rsidRPr="000F42A6">
        <w:rPr>
          <w:rFonts w:ascii="Times New Roman" w:hAnsi="Times New Roman"/>
          <w:lang w:val="en-HK"/>
        </w:rPr>
        <w:t>: A testator gave his estate to his widow “to be at her disposal in any way she may think best, for the benefit of herself and her family.”</w:t>
      </w:r>
    </w:p>
    <w:p w14:paraId="56CF0BD0"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Held</w:t>
      </w:r>
      <w:r w:rsidRPr="000F42A6">
        <w:rPr>
          <w:rFonts w:ascii="Times New Roman" w:hAnsi="Times New Roman"/>
          <w:lang w:val="en-HK"/>
        </w:rPr>
        <w:t>: The court deemed it an absolute gift, not a trust.</w:t>
      </w:r>
    </w:p>
    <w:p w14:paraId="60051F4D"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lastRenderedPageBreak/>
        <w:t>Reasoning</w:t>
      </w:r>
      <w:r w:rsidRPr="000F42A6">
        <w:rPr>
          <w:rFonts w:ascii="Times New Roman" w:hAnsi="Times New Roman"/>
          <w:lang w:val="en-HK"/>
        </w:rPr>
        <w:t xml:space="preserve">: Post-1830, precatory words no longer implied trustee obligations, marking a “final turning point” in rejecting artificial intent (Watkins, </w:t>
      </w:r>
      <w:r w:rsidRPr="000F42A6">
        <w:rPr>
          <w:rFonts w:ascii="Times New Roman" w:hAnsi="Times New Roman"/>
          <w:i/>
          <w:iCs/>
          <w:lang w:val="en-HK"/>
        </w:rPr>
        <w:t>The Testator’s Voice</w:t>
      </w:r>
      <w:r w:rsidRPr="000F42A6">
        <w:rPr>
          <w:rFonts w:ascii="Times New Roman" w:hAnsi="Times New Roman"/>
          <w:lang w:val="en-HK"/>
        </w:rPr>
        <w:t>, 2012).</w:t>
      </w:r>
    </w:p>
    <w:p w14:paraId="3F8EA6AA"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Scholar’s Opinion</w:t>
      </w:r>
      <w:r w:rsidRPr="000F42A6">
        <w:rPr>
          <w:rFonts w:ascii="Times New Roman" w:hAnsi="Times New Roman"/>
          <w:lang w:val="en-HK"/>
        </w:rPr>
        <w:t xml:space="preserve">: Leslie argues that even modern textualism is influenced by “broader principles” or “normative visions of justice,” not purely the will’s words (Leslie, </w:t>
      </w:r>
      <w:r w:rsidRPr="000F42A6">
        <w:rPr>
          <w:rFonts w:ascii="Times New Roman" w:hAnsi="Times New Roman"/>
          <w:i/>
          <w:iCs/>
          <w:lang w:val="en-HK"/>
        </w:rPr>
        <w:t>The Myth of Testamentary Freedom</w:t>
      </w:r>
      <w:r w:rsidRPr="000F42A6">
        <w:rPr>
          <w:rFonts w:ascii="Times New Roman" w:hAnsi="Times New Roman"/>
          <w:lang w:val="en-HK"/>
        </w:rPr>
        <w:t>, 1996).</w:t>
      </w:r>
    </w:p>
    <w:p w14:paraId="5E9C8B7E"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Analysis</w:t>
      </w:r>
      <w:r w:rsidRPr="000F42A6">
        <w:rPr>
          <w:rFonts w:ascii="Times New Roman" w:hAnsi="Times New Roman"/>
          <w:lang w:val="en-HK"/>
        </w:rPr>
        <w:t xml:space="preserve">: Watkins notes this shift as evidence that interpretation, while textual, reflects judicial norms—pre-1830 paternalism versus post-1830 autonomy—sometimes imposing meaning beyond intent (Watkins, </w:t>
      </w:r>
      <w:r w:rsidRPr="000F42A6">
        <w:rPr>
          <w:rFonts w:ascii="Times New Roman" w:hAnsi="Times New Roman"/>
          <w:i/>
          <w:iCs/>
          <w:lang w:val="en-HK"/>
        </w:rPr>
        <w:t>The Testator’s Voice</w:t>
      </w:r>
      <w:r w:rsidRPr="000F42A6">
        <w:rPr>
          <w:rFonts w:ascii="Times New Roman" w:hAnsi="Times New Roman"/>
          <w:lang w:val="en-HK"/>
        </w:rPr>
        <w:t>, 2012).</w:t>
      </w:r>
    </w:p>
    <w:p w14:paraId="36A04268"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Detailed Analysis</w:t>
      </w:r>
      <w:r w:rsidRPr="000F42A6">
        <w:rPr>
          <w:rFonts w:ascii="Times New Roman" w:hAnsi="Times New Roman"/>
          <w:lang w:val="en-HK"/>
        </w:rPr>
        <w:t xml:space="preserve">: </w:t>
      </w:r>
    </w:p>
    <w:p w14:paraId="3D205D42"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Textual Primacy</w:t>
      </w:r>
      <w:r w:rsidRPr="000F42A6">
        <w:rPr>
          <w:rFonts w:ascii="Times New Roman" w:hAnsi="Times New Roman"/>
          <w:lang w:val="en-HK"/>
        </w:rPr>
        <w:t xml:space="preserve">: Watkins aligns with McLoughlin and Gardner’s “New Critical close reading” analogy, where the will’s text is paramount, sidelining the testator’s mind (McLoughlin and Gardner, </w:t>
      </w:r>
      <w:r w:rsidRPr="000F42A6">
        <w:rPr>
          <w:rFonts w:ascii="Times New Roman" w:hAnsi="Times New Roman"/>
          <w:i/>
          <w:iCs/>
          <w:lang w:val="en-HK"/>
        </w:rPr>
        <w:t>When Is Authorial Intention Not Authorial Intention?</w:t>
      </w:r>
      <w:r w:rsidRPr="000F42A6">
        <w:rPr>
          <w:rFonts w:ascii="Times New Roman" w:hAnsi="Times New Roman"/>
          <w:lang w:val="en-HK"/>
        </w:rPr>
        <w:t xml:space="preserve">, 2007). Barlow et al.’s practitioner note—“reference to a person’s will ... more commonly refers to the document itself”—unwittingly underscores this shift (Barlow et al., </w:t>
      </w:r>
      <w:r w:rsidRPr="000F42A6">
        <w:rPr>
          <w:rFonts w:ascii="Times New Roman" w:hAnsi="Times New Roman"/>
          <w:i/>
          <w:iCs/>
          <w:lang w:val="en-HK"/>
        </w:rPr>
        <w:t>Williams on Wills</w:t>
      </w:r>
      <w:r w:rsidRPr="000F42A6">
        <w:rPr>
          <w:rFonts w:ascii="Times New Roman" w:hAnsi="Times New Roman"/>
          <w:lang w:val="en-HK"/>
        </w:rPr>
        <w:t>, 2008).</w:t>
      </w:r>
    </w:p>
    <w:p w14:paraId="1DA67FC6"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Constrained Voice</w:t>
      </w:r>
      <w:r w:rsidRPr="000F42A6">
        <w:rPr>
          <w:rFonts w:ascii="Times New Roman" w:hAnsi="Times New Roman"/>
          <w:lang w:val="en-HK"/>
        </w:rPr>
        <w:t xml:space="preserve">: The testator’s voice, fixed by formalities, is further silenced as courts interpret only what the text conveys, not what was meant, unless ambiguity triggers exceptions (Watkins, </w:t>
      </w:r>
      <w:r w:rsidRPr="000F42A6">
        <w:rPr>
          <w:rFonts w:ascii="Times New Roman" w:hAnsi="Times New Roman"/>
          <w:i/>
          <w:iCs/>
          <w:lang w:val="en-HK"/>
        </w:rPr>
        <w:t>The Testator’s Voice</w:t>
      </w:r>
      <w:r w:rsidRPr="000F42A6">
        <w:rPr>
          <w:rFonts w:ascii="Times New Roman" w:hAnsi="Times New Roman"/>
          <w:lang w:val="en-HK"/>
        </w:rPr>
        <w:t>, 2012).</w:t>
      </w:r>
    </w:p>
    <w:p w14:paraId="17809DC2"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Normative Overlay</w:t>
      </w:r>
      <w:r w:rsidRPr="000F42A6">
        <w:rPr>
          <w:rFonts w:ascii="Times New Roman" w:hAnsi="Times New Roman"/>
          <w:lang w:val="en-HK"/>
        </w:rPr>
        <w:t xml:space="preserve">: Watkins critiques the historical precatory shift as “reader response criticism,” where courts impose meaning based on extraneous legal changes (e.g., </w:t>
      </w:r>
      <w:r w:rsidRPr="000F42A6">
        <w:rPr>
          <w:rFonts w:ascii="Times New Roman" w:hAnsi="Times New Roman"/>
          <w:i/>
          <w:iCs/>
          <w:lang w:val="en-HK"/>
        </w:rPr>
        <w:t>Executors Act</w:t>
      </w:r>
      <w:r w:rsidRPr="000F42A6">
        <w:rPr>
          <w:rFonts w:ascii="Times New Roman" w:hAnsi="Times New Roman"/>
          <w:lang w:val="en-HK"/>
        </w:rPr>
        <w:t>), not testator context, a subtle but significant departure from pure textualism.</w:t>
      </w:r>
    </w:p>
    <w:p w14:paraId="3C30D240"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Judicial Regret</w:t>
      </w:r>
      <w:r w:rsidRPr="000F42A6">
        <w:rPr>
          <w:rFonts w:ascii="Times New Roman" w:hAnsi="Times New Roman"/>
          <w:lang w:val="en-HK"/>
        </w:rPr>
        <w:t xml:space="preserve">: Unlike </w:t>
      </w:r>
      <w:r w:rsidRPr="000F42A6">
        <w:rPr>
          <w:rFonts w:ascii="Times New Roman" w:hAnsi="Times New Roman"/>
          <w:i/>
          <w:iCs/>
          <w:lang w:val="en-HK"/>
        </w:rPr>
        <w:t>Re Colling</w:t>
      </w:r>
      <w:r w:rsidRPr="000F42A6">
        <w:rPr>
          <w:rFonts w:ascii="Times New Roman" w:hAnsi="Times New Roman"/>
          <w:lang w:val="en-HK"/>
        </w:rPr>
        <w:t>’s formal regret, interpretation lacks overt remorse, accepting textual outcomes as duty-bound, even when intent is thwarted.</w:t>
      </w:r>
    </w:p>
    <w:p w14:paraId="37FEB29F"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Contextual Link</w:t>
      </w:r>
      <w:r w:rsidRPr="000F42A6">
        <w:rPr>
          <w:rFonts w:ascii="Times New Roman" w:hAnsi="Times New Roman"/>
          <w:lang w:val="en-HK"/>
        </w:rPr>
        <w:t xml:space="preserve">: </w:t>
      </w:r>
    </w:p>
    <w:p w14:paraId="411761A4"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t xml:space="preserve">Following </w:t>
      </w:r>
      <w:r w:rsidRPr="000F42A6">
        <w:rPr>
          <w:rFonts w:ascii="Times New Roman" w:hAnsi="Times New Roman"/>
          <w:i/>
          <w:iCs/>
          <w:lang w:val="en-HK"/>
        </w:rPr>
        <w:t>“From Wishes to Will”</w:t>
      </w:r>
      <w:r w:rsidRPr="000F42A6">
        <w:rPr>
          <w:rFonts w:ascii="Times New Roman" w:hAnsi="Times New Roman"/>
          <w:lang w:val="en-HK"/>
        </w:rPr>
        <w:t xml:space="preserve">, this section shows how validation’s constraints extend into interpretation, reinforcing silencing. It precedes </w:t>
      </w:r>
      <w:r w:rsidRPr="000F42A6">
        <w:rPr>
          <w:rFonts w:ascii="Times New Roman" w:hAnsi="Times New Roman"/>
          <w:i/>
          <w:iCs/>
          <w:lang w:val="en-HK"/>
        </w:rPr>
        <w:t>“The Defeat of the Testator’s Wishes”</w:t>
      </w:r>
      <w:r w:rsidRPr="000F42A6">
        <w:rPr>
          <w:rFonts w:ascii="Times New Roman" w:hAnsi="Times New Roman"/>
          <w:lang w:val="en-HK"/>
        </w:rPr>
        <w:t xml:space="preserve">, where intent faces active overrides, highlighting a progression of disregard (Watkins, </w:t>
      </w:r>
      <w:r w:rsidRPr="000F42A6">
        <w:rPr>
          <w:rFonts w:ascii="Times New Roman" w:hAnsi="Times New Roman"/>
          <w:i/>
          <w:iCs/>
          <w:lang w:val="en-HK"/>
        </w:rPr>
        <w:t>The Testator’s Voice</w:t>
      </w:r>
      <w:r w:rsidRPr="000F42A6">
        <w:rPr>
          <w:rFonts w:ascii="Times New Roman" w:hAnsi="Times New Roman"/>
          <w:lang w:val="en-HK"/>
        </w:rPr>
        <w:t>, 2012).</w:t>
      </w:r>
    </w:p>
    <w:p w14:paraId="3909AF4A"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lastRenderedPageBreak/>
        <w:t>Conclusion</w:t>
      </w:r>
      <w:r w:rsidRPr="000F42A6">
        <w:rPr>
          <w:rFonts w:ascii="Times New Roman" w:hAnsi="Times New Roman"/>
          <w:lang w:val="en-HK"/>
        </w:rPr>
        <w:t xml:space="preserve">: </w:t>
      </w:r>
    </w:p>
    <w:p w14:paraId="43967423"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t>Watkins argues that textual analysis constrains the testator’s voice within the will’s words, upheld by rigid principles (</w:t>
      </w:r>
      <w:r w:rsidRPr="000F42A6">
        <w:rPr>
          <w:rFonts w:ascii="Times New Roman" w:hAnsi="Times New Roman"/>
          <w:i/>
          <w:iCs/>
          <w:lang w:val="en-HK"/>
        </w:rPr>
        <w:t>Lindley LJ</w:t>
      </w:r>
      <w:r w:rsidRPr="000F42A6">
        <w:rPr>
          <w:rFonts w:ascii="Times New Roman" w:hAnsi="Times New Roman"/>
          <w:lang w:val="en-HK"/>
        </w:rPr>
        <w:t>), rare exceptions (</w:t>
      </w:r>
      <w:r w:rsidRPr="000F42A6">
        <w:rPr>
          <w:rFonts w:ascii="Times New Roman" w:hAnsi="Times New Roman"/>
          <w:i/>
          <w:iCs/>
          <w:lang w:val="en-HK"/>
        </w:rPr>
        <w:t>Re Steele</w:t>
      </w:r>
      <w:r w:rsidRPr="000F42A6">
        <w:rPr>
          <w:rFonts w:ascii="Times New Roman" w:hAnsi="Times New Roman"/>
          <w:lang w:val="en-HK"/>
        </w:rPr>
        <w:t>), and normative shifts (</w:t>
      </w:r>
      <w:proofErr w:type="spellStart"/>
      <w:r w:rsidRPr="000F42A6">
        <w:rPr>
          <w:rFonts w:ascii="Times New Roman" w:hAnsi="Times New Roman"/>
          <w:i/>
          <w:iCs/>
          <w:lang w:val="en-HK"/>
        </w:rPr>
        <w:t>Lambe</w:t>
      </w:r>
      <w:proofErr w:type="spellEnd"/>
      <w:r w:rsidRPr="000F42A6">
        <w:rPr>
          <w:rFonts w:ascii="Times New Roman" w:hAnsi="Times New Roman"/>
          <w:i/>
          <w:iCs/>
          <w:lang w:val="en-HK"/>
        </w:rPr>
        <w:t xml:space="preserve"> v Eames</w:t>
      </w:r>
      <w:r w:rsidRPr="000F42A6">
        <w:rPr>
          <w:rFonts w:ascii="Times New Roman" w:hAnsi="Times New Roman"/>
          <w:lang w:val="en-HK"/>
        </w:rPr>
        <w:t xml:space="preserve">). This process, while systematic, often </w:t>
      </w:r>
      <w:proofErr w:type="spellStart"/>
      <w:r w:rsidRPr="000F42A6">
        <w:rPr>
          <w:rFonts w:ascii="Times New Roman" w:hAnsi="Times New Roman"/>
          <w:lang w:val="en-HK"/>
        </w:rPr>
        <w:t>dishonors</w:t>
      </w:r>
      <w:proofErr w:type="spellEnd"/>
      <w:r w:rsidRPr="000F42A6">
        <w:rPr>
          <w:rFonts w:ascii="Times New Roman" w:hAnsi="Times New Roman"/>
          <w:lang w:val="en-HK"/>
        </w:rPr>
        <w:t xml:space="preserve"> intent without the regret Hardy’s poetry evokes, setting the stage for further silencing mechanisms.</w:t>
      </w:r>
    </w:p>
    <w:p w14:paraId="254F4C62" w14:textId="537271D7" w:rsidR="00BC623B" w:rsidRPr="00BC623B" w:rsidRDefault="00F44092" w:rsidP="000778D3">
      <w:pPr>
        <w:pBdr>
          <w:bottom w:val="single" w:sz="4" w:space="1" w:color="auto"/>
        </w:pBdr>
        <w:spacing w:after="240" w:line="360" w:lineRule="auto"/>
        <w:rPr>
          <w:rFonts w:ascii="Times New Roman" w:hAnsi="Times New Roman" w:hint="eastAsia"/>
          <w:lang w:val="en-HK"/>
        </w:rPr>
      </w:pPr>
      <w:r w:rsidRPr="00F44092">
        <w:rPr>
          <w:rFonts w:ascii="Times New Roman" w:hAnsi="Times New Roman"/>
          <w:noProof/>
          <w:lang w:val="en-HK"/>
          <w14:ligatures w14:val="standardContextual"/>
        </w:rPr>
        <w:pict w14:anchorId="326ACD51">
          <v:rect id="_x0000_i1026" alt="" style="width:451.3pt;height:.05pt;mso-width-percent:0;mso-height-percent:0;mso-width-percent:0;mso-height-percent:0" o:hralign="center" o:hrstd="t" o:hr="t" fillcolor="#a0a0a0" stroked="f"/>
        </w:pict>
      </w:r>
    </w:p>
    <w:p w14:paraId="4671AF99" w14:textId="74131F67" w:rsidR="00BC623B" w:rsidRPr="00BC623B" w:rsidRDefault="000F42A6" w:rsidP="000778D3">
      <w:pPr>
        <w:pBdr>
          <w:bottom w:val="single" w:sz="4" w:space="1" w:color="auto"/>
        </w:pBdr>
        <w:spacing w:after="240" w:line="360" w:lineRule="auto"/>
        <w:outlineLvl w:val="2"/>
        <w:rPr>
          <w:rFonts w:ascii="Times New Roman" w:hAnsi="Times New Roman"/>
          <w:b/>
          <w:bCs/>
          <w:lang w:val="en-HK"/>
        </w:rPr>
      </w:pPr>
      <w:r w:rsidRPr="000778D3">
        <w:rPr>
          <w:rFonts w:ascii="Times New Roman" w:hAnsi="Times New Roman"/>
          <w:b/>
          <w:bCs/>
          <w:lang w:val="en-HK"/>
        </w:rPr>
        <w:t xml:space="preserve">5. </w:t>
      </w:r>
      <w:r w:rsidR="00BC623B" w:rsidRPr="00BC623B">
        <w:rPr>
          <w:rFonts w:ascii="Times New Roman" w:hAnsi="Times New Roman"/>
          <w:b/>
          <w:bCs/>
          <w:lang w:val="en-HK"/>
        </w:rPr>
        <w:t>The Defeat of the Testator’s Wishes Even Where Validly Expressed – The Voice Disregarded (pp. 67–75) – Detailed Analysis</w:t>
      </w:r>
    </w:p>
    <w:p w14:paraId="126A52EE"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This section examines the various legal mechanisms under English law that allow a testator’s clearly expressed and validly executed wishes, as set forth in a will, to be overridden or disregarded. Watkins categorizes these mechanisms into three broad areas—automatic consequences, actions by named beneficiaries, and actions by would-be beneficiaries—demonstrating an escalating degree of silencing of the testator’s voice. She argues that these mechanisms collectively undermine testamentary intent, often without judicial remorse, contrasting sharply with the regret evoked in Hardy’s poetry.</w:t>
      </w:r>
    </w:p>
    <w:p w14:paraId="13FC3FD8"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Core Argument</w:t>
      </w:r>
      <w:r w:rsidRPr="00BC623B">
        <w:rPr>
          <w:rFonts w:ascii="Times New Roman" w:hAnsi="Times New Roman"/>
          <w:lang w:val="en-HK"/>
        </w:rPr>
        <w:t xml:space="preserve">: </w:t>
      </w:r>
    </w:p>
    <w:p w14:paraId="4F29EA9B" w14:textId="77777777" w:rsidR="00BC623B" w:rsidRPr="00BC623B" w:rsidRDefault="00BC623B" w:rsidP="000778D3">
      <w:pPr>
        <w:numPr>
          <w:ilvl w:val="1"/>
          <w:numId w:val="5"/>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Watkins asserts that even when a will meets all formal requirements and plainly states the testator’s intent, English law permits its defeat through statutory rules, beneficiary actions, and external claims. This represents the most profound silencing of the testator’s voice, as it occurs despite legal validity, highlighting a systemic disregard for </w:t>
      </w:r>
      <w:proofErr w:type="spellStart"/>
      <w:r w:rsidRPr="00BC623B">
        <w:rPr>
          <w:rFonts w:ascii="Times New Roman" w:hAnsi="Times New Roman"/>
          <w:lang w:val="en-HK"/>
        </w:rPr>
        <w:t>honoring</w:t>
      </w:r>
      <w:proofErr w:type="spellEnd"/>
      <w:r w:rsidRPr="00BC623B">
        <w:rPr>
          <w:rFonts w:ascii="Times New Roman" w:hAnsi="Times New Roman"/>
          <w:lang w:val="en-HK"/>
        </w:rPr>
        <w:t xml:space="preserve"> intent (Watkins, </w:t>
      </w:r>
      <w:r w:rsidRPr="00BC623B">
        <w:rPr>
          <w:rFonts w:ascii="Times New Roman" w:hAnsi="Times New Roman"/>
          <w:i/>
          <w:iCs/>
          <w:lang w:val="en-HK"/>
        </w:rPr>
        <w:t>The Testator’s Voice</w:t>
      </w:r>
      <w:r w:rsidRPr="00BC623B">
        <w:rPr>
          <w:rFonts w:ascii="Times New Roman" w:hAnsi="Times New Roman"/>
          <w:lang w:val="en-HK"/>
        </w:rPr>
        <w:t>, 2012).</w:t>
      </w:r>
    </w:p>
    <w:p w14:paraId="003573F9" w14:textId="0BD72458" w:rsidR="00BC623B" w:rsidRPr="00BC623B" w:rsidRDefault="00BC623B" w:rsidP="000778D3">
      <w:pPr>
        <w:numPr>
          <w:ilvl w:val="1"/>
          <w:numId w:val="5"/>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The section builds on prior analyses of formalities and interpretation, showing how intent, once constrained, can be entirely nullified, reinforcing McLoughlin and Gardner’s paradox (McLoughlin and Gardner, </w:t>
      </w:r>
      <w:r w:rsidRPr="00BC623B">
        <w:rPr>
          <w:rFonts w:ascii="Times New Roman" w:hAnsi="Times New Roman"/>
          <w:i/>
          <w:iCs/>
          <w:lang w:val="en-HK"/>
        </w:rPr>
        <w:t>When Is Authorial Intention Not Authorial Intention?</w:t>
      </w:r>
      <w:r w:rsidRPr="00BC623B">
        <w:rPr>
          <w:rFonts w:ascii="Times New Roman" w:hAnsi="Times New Roman"/>
          <w:lang w:val="en-HK"/>
        </w:rPr>
        <w:t>, 2007).</w:t>
      </w:r>
    </w:p>
    <w:p w14:paraId="1DAED859" w14:textId="77777777" w:rsidR="00BC623B" w:rsidRPr="00BC623B" w:rsidRDefault="00BC623B" w:rsidP="000778D3">
      <w:pPr>
        <w:pBdr>
          <w:bottom w:val="single" w:sz="4" w:space="1" w:color="auto"/>
        </w:pBdr>
        <w:spacing w:after="240" w:line="360" w:lineRule="auto"/>
        <w:outlineLvl w:val="3"/>
        <w:rPr>
          <w:rFonts w:ascii="Times New Roman" w:hAnsi="Times New Roman"/>
          <w:b/>
          <w:bCs/>
          <w:lang w:val="en-HK"/>
        </w:rPr>
      </w:pPr>
      <w:r w:rsidRPr="00BC623B">
        <w:rPr>
          <w:rFonts w:ascii="Times New Roman" w:hAnsi="Times New Roman"/>
          <w:b/>
          <w:bCs/>
          <w:lang w:val="en-HK"/>
        </w:rPr>
        <w:t>“Automatic” Consequences (pp. 67–68)</w:t>
      </w:r>
    </w:p>
    <w:p w14:paraId="57AE8D59"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lastRenderedPageBreak/>
        <w:t>This subsection details statutory provisions that automatically invalidate or alter a will’s provisions, irrespective of the testator’s intent, due to events or actions unknown or uncontrollable during their lifetime.</w:t>
      </w:r>
    </w:p>
    <w:p w14:paraId="5E716E57"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Statute: Wills Act 1837, s 18</w:t>
      </w:r>
      <w:r w:rsidRPr="00BC623B">
        <w:rPr>
          <w:rFonts w:ascii="Times New Roman" w:hAnsi="Times New Roman"/>
          <w:lang w:val="en-HK"/>
        </w:rPr>
        <w:t xml:space="preserve">: </w:t>
      </w:r>
    </w:p>
    <w:p w14:paraId="40A2E5BC" w14:textId="77777777" w:rsidR="00BC623B" w:rsidRPr="00BC623B" w:rsidRDefault="00BC623B" w:rsidP="000778D3">
      <w:pPr>
        <w:pBdr>
          <w:bottom w:val="single" w:sz="4" w:space="1" w:color="auto"/>
        </w:pBdr>
        <w:spacing w:after="240" w:line="360" w:lineRule="auto"/>
        <w:rPr>
          <w:rFonts w:ascii="Times New Roman" w:hAnsi="Times New Roman"/>
          <w:b/>
          <w:bCs/>
          <w:lang w:val="en-HK"/>
        </w:rPr>
      </w:pPr>
      <w:r w:rsidRPr="00BC623B">
        <w:rPr>
          <w:rFonts w:ascii="Times New Roman" w:hAnsi="Times New Roman"/>
          <w:i/>
          <w:iCs/>
          <w:lang w:val="en-HK"/>
        </w:rPr>
        <w:t>Provision</w:t>
      </w:r>
      <w:r w:rsidRPr="00BC623B">
        <w:rPr>
          <w:rFonts w:ascii="Times New Roman" w:hAnsi="Times New Roman"/>
          <w:lang w:val="en-HK"/>
        </w:rPr>
        <w:t xml:space="preserve">: </w:t>
      </w:r>
      <w:r w:rsidRPr="00BC623B">
        <w:rPr>
          <w:rFonts w:ascii="Times New Roman" w:hAnsi="Times New Roman"/>
          <w:b/>
          <w:bCs/>
          <w:lang w:val="en-HK"/>
        </w:rPr>
        <w:t xml:space="preserve">A will is revoked entirely upon </w:t>
      </w:r>
      <w:r w:rsidRPr="00BC623B">
        <w:rPr>
          <w:rFonts w:ascii="Times New Roman" w:hAnsi="Times New Roman"/>
          <w:b/>
          <w:bCs/>
          <w:color w:val="FF0000"/>
          <w:lang w:val="en-HK"/>
        </w:rPr>
        <w:t xml:space="preserve">the testator’s subsequent marriage </w:t>
      </w:r>
      <w:r w:rsidRPr="00BC623B">
        <w:rPr>
          <w:rFonts w:ascii="Times New Roman" w:hAnsi="Times New Roman"/>
          <w:b/>
          <w:bCs/>
          <w:lang w:val="en-HK"/>
        </w:rPr>
        <w:t>unless expressly made in contemplation of that marriage.</w:t>
      </w:r>
    </w:p>
    <w:p w14:paraId="445426E0"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Effect</w:t>
      </w:r>
      <w:r w:rsidRPr="00BC623B">
        <w:rPr>
          <w:rFonts w:ascii="Times New Roman" w:hAnsi="Times New Roman"/>
          <w:lang w:val="en-HK"/>
        </w:rPr>
        <w:t>: Revocation occurs automatically, nullifying all bequests without regard to intent.</w:t>
      </w:r>
    </w:p>
    <w:p w14:paraId="6B644773"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Example</w:t>
      </w:r>
      <w:r w:rsidRPr="00BC623B">
        <w:rPr>
          <w:rFonts w:ascii="Times New Roman" w:hAnsi="Times New Roman"/>
          <w:lang w:val="en-HK"/>
        </w:rPr>
        <w:t xml:space="preserve">: A widower’s will </w:t>
      </w:r>
      <w:proofErr w:type="spellStart"/>
      <w:r w:rsidRPr="00BC623B">
        <w:rPr>
          <w:rFonts w:ascii="Times New Roman" w:hAnsi="Times New Roman"/>
          <w:lang w:val="en-HK"/>
        </w:rPr>
        <w:t>favoring</w:t>
      </w:r>
      <w:proofErr w:type="spellEnd"/>
      <w:r w:rsidRPr="00BC623B">
        <w:rPr>
          <w:rFonts w:ascii="Times New Roman" w:hAnsi="Times New Roman"/>
          <w:lang w:val="en-HK"/>
        </w:rPr>
        <w:t xml:space="preserve"> children is voided by remarriage, redistributing assets via intestacy unless s 18 is anticipated (Watkins, </w:t>
      </w:r>
      <w:r w:rsidRPr="00BC623B">
        <w:rPr>
          <w:rFonts w:ascii="Times New Roman" w:hAnsi="Times New Roman"/>
          <w:i/>
          <w:iCs/>
          <w:lang w:val="en-HK"/>
        </w:rPr>
        <w:t>The Testator’s Voice</w:t>
      </w:r>
      <w:r w:rsidRPr="00BC623B">
        <w:rPr>
          <w:rFonts w:ascii="Times New Roman" w:hAnsi="Times New Roman"/>
          <w:lang w:val="en-HK"/>
        </w:rPr>
        <w:t>, 2012).</w:t>
      </w:r>
    </w:p>
    <w:p w14:paraId="0115EC16"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Reasoning</w:t>
      </w:r>
      <w:r w:rsidRPr="00BC623B">
        <w:rPr>
          <w:rFonts w:ascii="Times New Roman" w:hAnsi="Times New Roman"/>
          <w:lang w:val="en-HK"/>
        </w:rPr>
        <w:t>: Reflects a historical presumption that marriage shifts priorities, prioritizing new familial obligations over prior wishes.</w:t>
      </w:r>
    </w:p>
    <w:p w14:paraId="410EAB49"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Statute: Wills Act 1837, s 15</w:t>
      </w:r>
      <w:r w:rsidRPr="00BC623B">
        <w:rPr>
          <w:rFonts w:ascii="Times New Roman" w:hAnsi="Times New Roman"/>
          <w:lang w:val="en-HK"/>
        </w:rPr>
        <w:t xml:space="preserve">: </w:t>
      </w:r>
    </w:p>
    <w:p w14:paraId="6ACDD833" w14:textId="77777777" w:rsidR="00BC623B" w:rsidRPr="00BC623B" w:rsidRDefault="00BC623B" w:rsidP="000778D3">
      <w:pPr>
        <w:pBdr>
          <w:bottom w:val="single" w:sz="4" w:space="1" w:color="auto"/>
        </w:pBdr>
        <w:spacing w:after="240" w:line="360" w:lineRule="auto"/>
        <w:rPr>
          <w:rFonts w:ascii="Times New Roman" w:hAnsi="Times New Roman"/>
          <w:b/>
          <w:bCs/>
          <w:lang w:val="en-HK"/>
        </w:rPr>
      </w:pPr>
      <w:r w:rsidRPr="00BC623B">
        <w:rPr>
          <w:rFonts w:ascii="Times New Roman" w:hAnsi="Times New Roman"/>
          <w:i/>
          <w:iCs/>
          <w:lang w:val="en-HK"/>
        </w:rPr>
        <w:t>Provision</w:t>
      </w:r>
      <w:r w:rsidRPr="00BC623B">
        <w:rPr>
          <w:rFonts w:ascii="Times New Roman" w:hAnsi="Times New Roman"/>
          <w:lang w:val="en-HK"/>
        </w:rPr>
        <w:t xml:space="preserve">: </w:t>
      </w:r>
      <w:r w:rsidRPr="00BC623B">
        <w:rPr>
          <w:rFonts w:ascii="Times New Roman" w:hAnsi="Times New Roman"/>
          <w:b/>
          <w:bCs/>
          <w:lang w:val="en-HK"/>
        </w:rPr>
        <w:t xml:space="preserve">Gifts to a witness of the will or their spouse/civil partner </w:t>
      </w:r>
      <w:r w:rsidRPr="00BC623B">
        <w:rPr>
          <w:rFonts w:ascii="Times New Roman" w:hAnsi="Times New Roman"/>
          <w:b/>
          <w:bCs/>
          <w:u w:val="single"/>
          <w:lang w:val="en-HK"/>
        </w:rPr>
        <w:t>at the time of signing are void</w:t>
      </w:r>
      <w:r w:rsidRPr="00BC623B">
        <w:rPr>
          <w:rFonts w:ascii="Times New Roman" w:hAnsi="Times New Roman"/>
          <w:b/>
          <w:bCs/>
          <w:lang w:val="en-HK"/>
        </w:rPr>
        <w:t>, though the will remains valid.</w:t>
      </w:r>
    </w:p>
    <w:p w14:paraId="75EC092C"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Effect</w:t>
      </w:r>
      <w:r w:rsidRPr="00BC623B">
        <w:rPr>
          <w:rFonts w:ascii="Times New Roman" w:hAnsi="Times New Roman"/>
          <w:lang w:val="en-HK"/>
        </w:rPr>
        <w:t>: Invalidates specific legacies without evidentiary recourse, even absent undue influence.</w:t>
      </w:r>
    </w:p>
    <w:p w14:paraId="7B28C55B"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Example</w:t>
      </w:r>
      <w:r w:rsidRPr="00BC623B">
        <w:rPr>
          <w:rFonts w:ascii="Times New Roman" w:hAnsi="Times New Roman"/>
          <w:lang w:val="en-HK"/>
        </w:rPr>
        <w:t xml:space="preserve">: A bequest to a friend who witnesses the will fails, despite clear intent, redirecting the gift elsewhere (Barlow et al., </w:t>
      </w:r>
      <w:r w:rsidRPr="00BC623B">
        <w:rPr>
          <w:rFonts w:ascii="Times New Roman" w:hAnsi="Times New Roman"/>
          <w:i/>
          <w:iCs/>
          <w:lang w:val="en-HK"/>
        </w:rPr>
        <w:t>Williams on Wills</w:t>
      </w:r>
      <w:r w:rsidRPr="00BC623B">
        <w:rPr>
          <w:rFonts w:ascii="Times New Roman" w:hAnsi="Times New Roman"/>
          <w:lang w:val="en-HK"/>
        </w:rPr>
        <w:t>, 2008).</w:t>
      </w:r>
    </w:p>
    <w:p w14:paraId="6628354F"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Statute and Common Law: Forfeiture Act 1982 and Public Policy</w:t>
      </w:r>
      <w:r w:rsidRPr="00BC623B">
        <w:rPr>
          <w:rFonts w:ascii="Times New Roman" w:hAnsi="Times New Roman"/>
          <w:lang w:val="en-HK"/>
        </w:rPr>
        <w:t xml:space="preserve">: </w:t>
      </w:r>
    </w:p>
    <w:p w14:paraId="2F91FE47"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Provision</w:t>
      </w:r>
      <w:r w:rsidRPr="00BC623B">
        <w:rPr>
          <w:rFonts w:ascii="Times New Roman" w:hAnsi="Times New Roman"/>
          <w:lang w:val="en-HK"/>
        </w:rPr>
        <w:t xml:space="preserve">: The </w:t>
      </w:r>
      <w:r w:rsidRPr="00BC623B">
        <w:rPr>
          <w:rFonts w:ascii="Times New Roman" w:hAnsi="Times New Roman"/>
          <w:i/>
          <w:iCs/>
          <w:lang w:val="en-HK"/>
        </w:rPr>
        <w:t>Forfeiture Act 1982, s 2</w:t>
      </w:r>
      <w:r w:rsidRPr="00BC623B">
        <w:rPr>
          <w:rFonts w:ascii="Times New Roman" w:hAnsi="Times New Roman"/>
          <w:lang w:val="en-HK"/>
        </w:rPr>
        <w:t xml:space="preserve"> prohibits a person who unlawfully kills another from inheriting under their will or intestacy, extendable to their children (</w:t>
      </w:r>
      <w:r w:rsidRPr="00BC623B">
        <w:rPr>
          <w:rFonts w:ascii="Times New Roman" w:hAnsi="Times New Roman"/>
          <w:i/>
          <w:iCs/>
          <w:lang w:val="en-HK"/>
        </w:rPr>
        <w:t>Re DWS [2001] Ch 568</w:t>
      </w:r>
      <w:r w:rsidRPr="00BC623B">
        <w:rPr>
          <w:rFonts w:ascii="Times New Roman" w:hAnsi="Times New Roman"/>
          <w:lang w:val="en-HK"/>
        </w:rPr>
        <w:t>).</w:t>
      </w:r>
    </w:p>
    <w:p w14:paraId="0ED4B6D3"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Case Law: Re DWS [2001] Ch 568</w:t>
      </w:r>
      <w:r w:rsidRPr="00BC623B">
        <w:rPr>
          <w:rFonts w:ascii="Times New Roman" w:hAnsi="Times New Roman"/>
          <w:lang w:val="en-HK"/>
        </w:rPr>
        <w:t xml:space="preserve">: </w:t>
      </w:r>
    </w:p>
    <w:p w14:paraId="117665A4"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Facts</w:t>
      </w:r>
      <w:r w:rsidRPr="00BC623B">
        <w:rPr>
          <w:rFonts w:ascii="Times New Roman" w:hAnsi="Times New Roman"/>
          <w:lang w:val="en-HK"/>
        </w:rPr>
        <w:t>: A grandson killed his grandparents; the will left the estate to him, with a substitutionary gift to his son if he predeceased. The killings invoked forfeiture.</w:t>
      </w:r>
    </w:p>
    <w:p w14:paraId="062605C5"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lastRenderedPageBreak/>
        <w:t>Held</w:t>
      </w:r>
      <w:r w:rsidRPr="00BC623B">
        <w:rPr>
          <w:rFonts w:ascii="Times New Roman" w:hAnsi="Times New Roman"/>
          <w:lang w:val="en-HK"/>
        </w:rPr>
        <w:t>: The grandson and his son were barred from inheriting, redirecting the estate via intestacy.</w:t>
      </w:r>
    </w:p>
    <w:p w14:paraId="7BB80B16"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Reasoning</w:t>
      </w:r>
      <w:r w:rsidRPr="00BC623B">
        <w:rPr>
          <w:rFonts w:ascii="Times New Roman" w:hAnsi="Times New Roman"/>
          <w:lang w:val="en-HK"/>
        </w:rPr>
        <w:t>: Public policy forbids benefiting from crime, and s 2’s strictness excludes even innocent heirs of the killer, defeating the testator’s intent to benefit family.</w:t>
      </w:r>
    </w:p>
    <w:p w14:paraId="5E8E57DB"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Impact</w:t>
      </w:r>
      <w:r w:rsidRPr="00BC623B">
        <w:rPr>
          <w:rFonts w:ascii="Times New Roman" w:hAnsi="Times New Roman"/>
          <w:lang w:val="en-HK"/>
        </w:rPr>
        <w:t>: An unintended consequence—disinheriting a grandchild—shows the rule’s inflexibility.</w:t>
      </w:r>
    </w:p>
    <w:p w14:paraId="15CD58FC"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Analysis</w:t>
      </w:r>
      <w:r w:rsidRPr="00BC623B">
        <w:rPr>
          <w:rFonts w:ascii="Times New Roman" w:hAnsi="Times New Roman"/>
          <w:lang w:val="en-HK"/>
        </w:rPr>
        <w:t xml:space="preserve">: </w:t>
      </w:r>
    </w:p>
    <w:p w14:paraId="594AB5D8" w14:textId="49E75461"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Watkins describes this as an “impersonal ‘crushing’” of intent, as these absolute rules offer no scope for evidence of ignorance (e.g., s 18) or innocence (e.g., s 15, forfeiture). The testator’s voice is “disregarded by operation of the law,” a passive silencing beyond their control (Watkins, </w:t>
      </w:r>
      <w:r w:rsidRPr="00BC623B">
        <w:rPr>
          <w:rFonts w:ascii="Times New Roman" w:hAnsi="Times New Roman"/>
          <w:i/>
          <w:iCs/>
          <w:lang w:val="en-HK"/>
        </w:rPr>
        <w:t>The Testator’s Voice</w:t>
      </w:r>
      <w:r w:rsidRPr="00BC623B">
        <w:rPr>
          <w:rFonts w:ascii="Times New Roman" w:hAnsi="Times New Roman"/>
          <w:lang w:val="en-HK"/>
        </w:rPr>
        <w:t>, 2012).</w:t>
      </w:r>
    </w:p>
    <w:p w14:paraId="222EFDE2" w14:textId="77777777" w:rsidR="00BC623B" w:rsidRPr="00BC623B" w:rsidRDefault="00BC623B" w:rsidP="000778D3">
      <w:pPr>
        <w:pBdr>
          <w:bottom w:val="single" w:sz="4" w:space="1" w:color="auto"/>
        </w:pBdr>
        <w:spacing w:after="240" w:line="360" w:lineRule="auto"/>
        <w:outlineLvl w:val="3"/>
        <w:rPr>
          <w:rFonts w:ascii="Times New Roman" w:hAnsi="Times New Roman"/>
          <w:b/>
          <w:bCs/>
          <w:lang w:val="en-HK"/>
        </w:rPr>
      </w:pPr>
      <w:r w:rsidRPr="00BC623B">
        <w:rPr>
          <w:rFonts w:ascii="Times New Roman" w:hAnsi="Times New Roman"/>
          <w:b/>
          <w:bCs/>
          <w:lang w:val="en-HK"/>
        </w:rPr>
        <w:t>Actions Taken by Beneficiaries Named in the Will (pp. 68–72)</w:t>
      </w:r>
    </w:p>
    <w:p w14:paraId="7FCE8C7B"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This subsection explores how beneficiaries can actively override a testator’s wishes, either by terminating trusts, ignoring precatory directions, or varying the will post-death, often with judicial sanction.</w:t>
      </w:r>
    </w:p>
    <w:p w14:paraId="31F05288" w14:textId="77777777" w:rsidR="00BC623B" w:rsidRPr="00BC623B" w:rsidRDefault="00BC623B" w:rsidP="000778D3">
      <w:pPr>
        <w:numPr>
          <w:ilvl w:val="0"/>
          <w:numId w:val="7"/>
        </w:num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 xml:space="preserve">Case Law: Saunders v </w:t>
      </w:r>
      <w:proofErr w:type="spellStart"/>
      <w:r w:rsidRPr="00BC623B">
        <w:rPr>
          <w:rFonts w:ascii="Times New Roman" w:hAnsi="Times New Roman"/>
          <w:b/>
          <w:bCs/>
          <w:lang w:val="en-HK"/>
        </w:rPr>
        <w:t>Vautier</w:t>
      </w:r>
      <w:proofErr w:type="spellEnd"/>
      <w:r w:rsidRPr="00BC623B">
        <w:rPr>
          <w:rFonts w:ascii="Times New Roman" w:hAnsi="Times New Roman"/>
          <w:b/>
          <w:bCs/>
          <w:lang w:val="en-HK"/>
        </w:rPr>
        <w:t xml:space="preserve"> (1841) Cr &amp; Ph 240</w:t>
      </w:r>
      <w:r w:rsidRPr="00BC623B">
        <w:rPr>
          <w:rFonts w:ascii="Times New Roman" w:hAnsi="Times New Roman"/>
          <w:lang w:val="en-HK"/>
        </w:rPr>
        <w:t xml:space="preserve">: </w:t>
      </w:r>
    </w:p>
    <w:p w14:paraId="6B9AEB05"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Facts</w:t>
      </w:r>
      <w:r w:rsidRPr="00BC623B">
        <w:rPr>
          <w:rFonts w:ascii="Times New Roman" w:hAnsi="Times New Roman"/>
          <w:lang w:val="en-HK"/>
        </w:rPr>
        <w:t xml:space="preserve">: A will created a trust of East India stocks for </w:t>
      </w:r>
      <w:proofErr w:type="spellStart"/>
      <w:r w:rsidRPr="00BC623B">
        <w:rPr>
          <w:rFonts w:ascii="Times New Roman" w:hAnsi="Times New Roman"/>
          <w:lang w:val="en-HK"/>
        </w:rPr>
        <w:t>Vautier</w:t>
      </w:r>
      <w:proofErr w:type="spellEnd"/>
      <w:r w:rsidRPr="00BC623B">
        <w:rPr>
          <w:rFonts w:ascii="Times New Roman" w:hAnsi="Times New Roman"/>
          <w:lang w:val="en-HK"/>
        </w:rPr>
        <w:t xml:space="preserve">, to be received at age 25 with accrued interest. At 21, </w:t>
      </w:r>
      <w:proofErr w:type="spellStart"/>
      <w:r w:rsidRPr="00BC623B">
        <w:rPr>
          <w:rFonts w:ascii="Times New Roman" w:hAnsi="Times New Roman"/>
          <w:lang w:val="en-HK"/>
        </w:rPr>
        <w:t>Vautier</w:t>
      </w:r>
      <w:proofErr w:type="spellEnd"/>
      <w:r w:rsidRPr="00BC623B">
        <w:rPr>
          <w:rFonts w:ascii="Times New Roman" w:hAnsi="Times New Roman"/>
          <w:lang w:val="en-HK"/>
        </w:rPr>
        <w:t xml:space="preserve"> demanded immediate transfer.</w:t>
      </w:r>
    </w:p>
    <w:p w14:paraId="313700D3"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Held</w:t>
      </w:r>
      <w:r w:rsidRPr="00BC623B">
        <w:rPr>
          <w:rFonts w:ascii="Times New Roman" w:hAnsi="Times New Roman"/>
          <w:lang w:val="en-HK"/>
        </w:rPr>
        <w:t xml:space="preserve">: Lord Langdale MR upheld </w:t>
      </w:r>
      <w:proofErr w:type="spellStart"/>
      <w:r w:rsidRPr="00BC623B">
        <w:rPr>
          <w:rFonts w:ascii="Times New Roman" w:hAnsi="Times New Roman"/>
          <w:lang w:val="en-HK"/>
        </w:rPr>
        <w:t>Vautier’s</w:t>
      </w:r>
      <w:proofErr w:type="spellEnd"/>
      <w:r w:rsidRPr="00BC623B">
        <w:rPr>
          <w:rFonts w:ascii="Times New Roman" w:hAnsi="Times New Roman"/>
          <w:lang w:val="en-HK"/>
        </w:rPr>
        <w:t xml:space="preserve"> request, terminating the trust.</w:t>
      </w:r>
    </w:p>
    <w:p w14:paraId="2627689C"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Reasoning</w:t>
      </w:r>
      <w:r w:rsidRPr="00BC623B">
        <w:rPr>
          <w:rFonts w:ascii="Times New Roman" w:hAnsi="Times New Roman"/>
          <w:lang w:val="en-HK"/>
        </w:rPr>
        <w:t xml:space="preserve">: </w:t>
      </w:r>
    </w:p>
    <w:p w14:paraId="50E4E6DD" w14:textId="77777777" w:rsidR="00BC623B" w:rsidRPr="00BC623B" w:rsidRDefault="00BC623B" w:rsidP="000778D3">
      <w:pPr>
        <w:numPr>
          <w:ilvl w:val="2"/>
          <w:numId w:val="7"/>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A beneficiary with a vested interest, of full age and capacity, can end a trust, as it resembles an absolute gift where the settlor relinquishes control (Oakley, </w:t>
      </w:r>
      <w:r w:rsidRPr="00BC623B">
        <w:rPr>
          <w:rFonts w:ascii="Times New Roman" w:hAnsi="Times New Roman"/>
          <w:i/>
          <w:iCs/>
          <w:lang w:val="en-HK"/>
        </w:rPr>
        <w:t>Constructive Trusts</w:t>
      </w:r>
      <w:r w:rsidRPr="00BC623B">
        <w:rPr>
          <w:rFonts w:ascii="Times New Roman" w:hAnsi="Times New Roman"/>
          <w:lang w:val="en-HK"/>
        </w:rPr>
        <w:t>, 2008).</w:t>
      </w:r>
    </w:p>
    <w:p w14:paraId="78797CFB" w14:textId="77777777" w:rsidR="00BC623B" w:rsidRPr="00BC623B" w:rsidRDefault="00BC623B" w:rsidP="000778D3">
      <w:pPr>
        <w:numPr>
          <w:ilvl w:val="2"/>
          <w:numId w:val="7"/>
        </w:num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Multiple beneficiaries can agree unanimously, rendering trustee administration redundant.</w:t>
      </w:r>
    </w:p>
    <w:p w14:paraId="67BC9B13"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Impact</w:t>
      </w:r>
      <w:r w:rsidRPr="00BC623B">
        <w:rPr>
          <w:rFonts w:ascii="Times New Roman" w:hAnsi="Times New Roman"/>
          <w:lang w:val="en-HK"/>
        </w:rPr>
        <w:t xml:space="preserve">: Defies the testator’s intent to delay distribution, broadly applied to individuals and charities (Barlow et al., </w:t>
      </w:r>
      <w:r w:rsidRPr="00BC623B">
        <w:rPr>
          <w:rFonts w:ascii="Times New Roman" w:hAnsi="Times New Roman"/>
          <w:i/>
          <w:iCs/>
          <w:lang w:val="en-HK"/>
        </w:rPr>
        <w:t>Williams on Wills</w:t>
      </w:r>
      <w:r w:rsidRPr="00BC623B">
        <w:rPr>
          <w:rFonts w:ascii="Times New Roman" w:hAnsi="Times New Roman"/>
          <w:lang w:val="en-HK"/>
        </w:rPr>
        <w:t>, 2008).</w:t>
      </w:r>
    </w:p>
    <w:p w14:paraId="49960556"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lastRenderedPageBreak/>
        <w:t>Analysis</w:t>
      </w:r>
      <w:r w:rsidRPr="00BC623B">
        <w:rPr>
          <w:rFonts w:ascii="Times New Roman" w:hAnsi="Times New Roman"/>
          <w:lang w:val="en-HK"/>
        </w:rPr>
        <w:t xml:space="preserve">: Watkins notes this as a “major challenge” to controlling legacies, non-controversial yet intent-thwarting (Watkins, </w:t>
      </w:r>
      <w:r w:rsidRPr="00BC623B">
        <w:rPr>
          <w:rFonts w:ascii="Times New Roman" w:hAnsi="Times New Roman"/>
          <w:i/>
          <w:iCs/>
          <w:lang w:val="en-HK"/>
        </w:rPr>
        <w:t>The Testator’s Voice</w:t>
      </w:r>
      <w:r w:rsidRPr="00BC623B">
        <w:rPr>
          <w:rFonts w:ascii="Times New Roman" w:hAnsi="Times New Roman"/>
          <w:lang w:val="en-HK"/>
        </w:rPr>
        <w:t>, 2012).</w:t>
      </w:r>
    </w:p>
    <w:p w14:paraId="1B57A17D" w14:textId="77777777" w:rsidR="00BC623B" w:rsidRPr="00BC623B" w:rsidRDefault="00BC623B" w:rsidP="000778D3">
      <w:pPr>
        <w:numPr>
          <w:ilvl w:val="0"/>
          <w:numId w:val="7"/>
        </w:num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Non-Charitable Purpose Trusts</w:t>
      </w:r>
      <w:r w:rsidRPr="00BC623B">
        <w:rPr>
          <w:rFonts w:ascii="Times New Roman" w:hAnsi="Times New Roman"/>
          <w:lang w:val="en-HK"/>
        </w:rPr>
        <w:t xml:space="preserve">: </w:t>
      </w:r>
    </w:p>
    <w:p w14:paraId="0BDB0BCF"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Principle</w:t>
      </w:r>
      <w:r w:rsidRPr="00BC623B">
        <w:rPr>
          <w:rFonts w:ascii="Times New Roman" w:hAnsi="Times New Roman"/>
          <w:lang w:val="en-HK"/>
        </w:rPr>
        <w:t>: Trusts for non-charitable purposes (e.g., personal memorials) are void unless exceptional (</w:t>
      </w:r>
      <w:r w:rsidRPr="00BC623B">
        <w:rPr>
          <w:rFonts w:ascii="Times New Roman" w:hAnsi="Times New Roman"/>
          <w:i/>
          <w:iCs/>
          <w:lang w:val="en-HK"/>
        </w:rPr>
        <w:t xml:space="preserve">Re </w:t>
      </w:r>
      <w:proofErr w:type="spellStart"/>
      <w:r w:rsidRPr="00BC623B">
        <w:rPr>
          <w:rFonts w:ascii="Times New Roman" w:hAnsi="Times New Roman"/>
          <w:i/>
          <w:iCs/>
          <w:lang w:val="en-HK"/>
        </w:rPr>
        <w:t>Endacott</w:t>
      </w:r>
      <w:proofErr w:type="spellEnd"/>
      <w:r w:rsidRPr="00BC623B">
        <w:rPr>
          <w:rFonts w:ascii="Times New Roman" w:hAnsi="Times New Roman"/>
          <w:i/>
          <w:iCs/>
          <w:lang w:val="en-HK"/>
        </w:rPr>
        <w:t xml:space="preserve"> [1960] Ch 232</w:t>
      </w:r>
      <w:r w:rsidRPr="00BC623B">
        <w:rPr>
          <w:rFonts w:ascii="Times New Roman" w:hAnsi="Times New Roman"/>
          <w:lang w:val="en-HK"/>
        </w:rPr>
        <w:t>).</w:t>
      </w:r>
    </w:p>
    <w:p w14:paraId="6D60BE0B"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Case Law: Re Shaw [1957] 1 All ER 745</w:t>
      </w:r>
      <w:r w:rsidRPr="00BC623B">
        <w:rPr>
          <w:rFonts w:ascii="Times New Roman" w:hAnsi="Times New Roman"/>
          <w:lang w:val="en-HK"/>
        </w:rPr>
        <w:t xml:space="preserve">: </w:t>
      </w:r>
    </w:p>
    <w:p w14:paraId="33678E87"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Facts</w:t>
      </w:r>
      <w:r w:rsidRPr="00BC623B">
        <w:rPr>
          <w:rFonts w:ascii="Times New Roman" w:hAnsi="Times New Roman"/>
          <w:lang w:val="en-HK"/>
        </w:rPr>
        <w:t>: George Bernard Shaw willed funds to develop a new alphabet for peace, a political aim.</w:t>
      </w:r>
    </w:p>
    <w:p w14:paraId="26D3A57D"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Held</w:t>
      </w:r>
      <w:r w:rsidRPr="00BC623B">
        <w:rPr>
          <w:rFonts w:ascii="Times New Roman" w:hAnsi="Times New Roman"/>
          <w:lang w:val="en-HK"/>
        </w:rPr>
        <w:t>: Harman J invalidated the trust as non-charitable, lacking ascertainable beneficiaries.</w:t>
      </w:r>
    </w:p>
    <w:p w14:paraId="20807B16"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Reasoning</w:t>
      </w:r>
      <w:r w:rsidRPr="00BC623B">
        <w:rPr>
          <w:rFonts w:ascii="Times New Roman" w:hAnsi="Times New Roman"/>
          <w:lang w:val="en-HK"/>
        </w:rPr>
        <w:t xml:space="preserve">: </w:t>
      </w:r>
      <w:r w:rsidRPr="00BC623B">
        <w:rPr>
          <w:rFonts w:ascii="Times New Roman" w:hAnsi="Times New Roman"/>
          <w:b/>
          <w:bCs/>
          <w:lang w:val="en-HK"/>
        </w:rPr>
        <w:t>Purpose trusts require charitable intent</w:t>
      </w:r>
      <w:r w:rsidRPr="00BC623B">
        <w:rPr>
          <w:rFonts w:ascii="Times New Roman" w:hAnsi="Times New Roman"/>
          <w:lang w:val="en-HK"/>
        </w:rPr>
        <w:t xml:space="preserve">; Shaw’s vision failed this test, defeating his reformist intent (Hudson, </w:t>
      </w:r>
      <w:r w:rsidRPr="00BC623B">
        <w:rPr>
          <w:rFonts w:ascii="Times New Roman" w:hAnsi="Times New Roman"/>
          <w:i/>
          <w:iCs/>
          <w:lang w:val="en-HK"/>
        </w:rPr>
        <w:t>Equity and Trusts</w:t>
      </w:r>
      <w:r w:rsidRPr="00BC623B">
        <w:rPr>
          <w:rFonts w:ascii="Times New Roman" w:hAnsi="Times New Roman"/>
          <w:lang w:val="en-HK"/>
        </w:rPr>
        <w:t>, 2009).</w:t>
      </w:r>
    </w:p>
    <w:p w14:paraId="7BFECA30"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Exceptions</w:t>
      </w:r>
      <w:r w:rsidRPr="00BC623B">
        <w:rPr>
          <w:rFonts w:ascii="Times New Roman" w:hAnsi="Times New Roman"/>
          <w:lang w:val="en-HK"/>
        </w:rPr>
        <w:t>: Trusts for animals (</w:t>
      </w:r>
      <w:r w:rsidRPr="00BC623B">
        <w:rPr>
          <w:rFonts w:ascii="Times New Roman" w:hAnsi="Times New Roman"/>
          <w:i/>
          <w:iCs/>
          <w:lang w:val="en-HK"/>
        </w:rPr>
        <w:t>Re Dean (1889) 41 Ch D 552</w:t>
      </w:r>
      <w:r w:rsidRPr="00BC623B">
        <w:rPr>
          <w:rFonts w:ascii="Times New Roman" w:hAnsi="Times New Roman"/>
          <w:lang w:val="en-HK"/>
        </w:rPr>
        <w:t>) or fox-hunting (</w:t>
      </w:r>
      <w:r w:rsidRPr="00BC623B">
        <w:rPr>
          <w:rFonts w:ascii="Times New Roman" w:hAnsi="Times New Roman"/>
          <w:i/>
          <w:iCs/>
          <w:lang w:val="en-HK"/>
        </w:rPr>
        <w:t>Re Thompson [1934] Ch 342</w:t>
      </w:r>
      <w:r w:rsidRPr="00BC623B">
        <w:rPr>
          <w:rFonts w:ascii="Times New Roman" w:hAnsi="Times New Roman"/>
          <w:lang w:val="en-HK"/>
        </w:rPr>
        <w:t>) persist, but the category closed post-</w:t>
      </w:r>
      <w:r w:rsidRPr="00BC623B">
        <w:rPr>
          <w:rFonts w:ascii="Times New Roman" w:hAnsi="Times New Roman"/>
          <w:i/>
          <w:iCs/>
          <w:lang w:val="en-HK"/>
        </w:rPr>
        <w:t>Re Shaw</w:t>
      </w:r>
      <w:r w:rsidRPr="00BC623B">
        <w:rPr>
          <w:rFonts w:ascii="Times New Roman" w:hAnsi="Times New Roman"/>
          <w:lang w:val="en-HK"/>
        </w:rPr>
        <w:t xml:space="preserve"> (Haley &amp; McMurtry, </w:t>
      </w:r>
      <w:r w:rsidRPr="00BC623B">
        <w:rPr>
          <w:rFonts w:ascii="Times New Roman" w:hAnsi="Times New Roman"/>
          <w:i/>
          <w:iCs/>
          <w:lang w:val="en-HK"/>
        </w:rPr>
        <w:t>Equity and Trusts</w:t>
      </w:r>
      <w:r w:rsidRPr="00BC623B">
        <w:rPr>
          <w:rFonts w:ascii="Times New Roman" w:hAnsi="Times New Roman"/>
          <w:lang w:val="en-HK"/>
        </w:rPr>
        <w:t>, 2009).</w:t>
      </w:r>
    </w:p>
    <w:p w14:paraId="789F9369"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Analysis</w:t>
      </w:r>
      <w:r w:rsidRPr="00BC623B">
        <w:rPr>
          <w:rFonts w:ascii="Times New Roman" w:hAnsi="Times New Roman"/>
          <w:lang w:val="en-HK"/>
        </w:rPr>
        <w:t>: Watkins highlights the irony—noble aims like Shaw’s fail, while capricious ones succeed—silencing intent via legal formalism.</w:t>
      </w:r>
    </w:p>
    <w:p w14:paraId="1CE72CA4" w14:textId="77777777" w:rsidR="00BC623B" w:rsidRPr="00BC623B" w:rsidRDefault="00BC623B" w:rsidP="000778D3">
      <w:pPr>
        <w:numPr>
          <w:ilvl w:val="0"/>
          <w:numId w:val="7"/>
        </w:num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Post-Death Variations</w:t>
      </w:r>
      <w:r w:rsidRPr="00BC623B">
        <w:rPr>
          <w:rFonts w:ascii="Times New Roman" w:hAnsi="Times New Roman"/>
          <w:lang w:val="en-HK"/>
        </w:rPr>
        <w:t xml:space="preserve">: </w:t>
      </w:r>
    </w:p>
    <w:p w14:paraId="6BA84F0A"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Statutes</w:t>
      </w:r>
      <w:r w:rsidRPr="00BC623B">
        <w:rPr>
          <w:rFonts w:ascii="Times New Roman" w:hAnsi="Times New Roman"/>
          <w:lang w:val="en-HK"/>
        </w:rPr>
        <w:t xml:space="preserve">: </w:t>
      </w:r>
    </w:p>
    <w:p w14:paraId="32ED2D11"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Trustee Act 1925, s 57(1)</w:t>
      </w:r>
      <w:r w:rsidRPr="00BC623B">
        <w:rPr>
          <w:rFonts w:ascii="Times New Roman" w:hAnsi="Times New Roman"/>
          <w:lang w:val="en-HK"/>
        </w:rPr>
        <w:t>: Courts can authorize trust dealings not in the instrument if expedient.</w:t>
      </w:r>
    </w:p>
    <w:p w14:paraId="4FE6B75F"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Variation of Trusts Act 1958, s 1</w:t>
      </w:r>
      <w:r w:rsidRPr="00BC623B">
        <w:rPr>
          <w:rFonts w:ascii="Times New Roman" w:hAnsi="Times New Roman"/>
          <w:lang w:val="en-HK"/>
        </w:rPr>
        <w:t>: Courts approve variations for minors/incapacitated beneficiaries if beneficial (</w:t>
      </w:r>
      <w:r w:rsidRPr="00BC623B">
        <w:rPr>
          <w:rFonts w:ascii="Times New Roman" w:hAnsi="Times New Roman"/>
          <w:i/>
          <w:iCs/>
          <w:lang w:val="en-HK"/>
        </w:rPr>
        <w:t>Bernstein v Jacobson [2008] EWHC 3454</w:t>
      </w:r>
      <w:r w:rsidRPr="00BC623B">
        <w:rPr>
          <w:rFonts w:ascii="Times New Roman" w:hAnsi="Times New Roman"/>
          <w:lang w:val="en-HK"/>
        </w:rPr>
        <w:t>).</w:t>
      </w:r>
    </w:p>
    <w:p w14:paraId="61159B51"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Inheritance Tax Act 1984, s 142</w:t>
      </w:r>
      <w:r w:rsidRPr="00BC623B">
        <w:rPr>
          <w:rFonts w:ascii="Times New Roman" w:hAnsi="Times New Roman"/>
          <w:lang w:val="en-HK"/>
        </w:rPr>
        <w:t>: Allows variations within two years to reduce tax, sanctioned by courts.</w:t>
      </w:r>
    </w:p>
    <w:p w14:paraId="14F44A2B"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Case Law: Bernstein v Jacobson [2008] EWHC 3454</w:t>
      </w:r>
      <w:r w:rsidRPr="00BC623B">
        <w:rPr>
          <w:rFonts w:ascii="Times New Roman" w:hAnsi="Times New Roman"/>
          <w:lang w:val="en-HK"/>
        </w:rPr>
        <w:t xml:space="preserve">: </w:t>
      </w:r>
    </w:p>
    <w:p w14:paraId="7ACE21FE"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lastRenderedPageBreak/>
        <w:t>Facts</w:t>
      </w:r>
      <w:r w:rsidRPr="00BC623B">
        <w:rPr>
          <w:rFonts w:ascii="Times New Roman" w:hAnsi="Times New Roman"/>
          <w:lang w:val="en-HK"/>
        </w:rPr>
        <w:t>: A £6.4 million estate was left to a widow and daughter, with pecuniary legacies to ten grandchildren (eight minors). A variation reduced tax liability.</w:t>
      </w:r>
    </w:p>
    <w:p w14:paraId="50FB0D53"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Held</w:t>
      </w:r>
      <w:r w:rsidRPr="00BC623B">
        <w:rPr>
          <w:rFonts w:ascii="Times New Roman" w:hAnsi="Times New Roman"/>
          <w:lang w:val="en-HK"/>
        </w:rPr>
        <w:t>: Blackburne J approved, construing the executor as a trustee of a “wider species of trust.”</w:t>
      </w:r>
    </w:p>
    <w:p w14:paraId="4A3B1353"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Reasoning</w:t>
      </w:r>
      <w:r w:rsidRPr="00BC623B">
        <w:rPr>
          <w:rFonts w:ascii="Times New Roman" w:hAnsi="Times New Roman"/>
          <w:lang w:val="en-HK"/>
        </w:rPr>
        <w:t>: Despite no formal trust, the estate’s administration implied trustee duties, justifying variation for minors’ benefit, ignoring testator intent.</w:t>
      </w:r>
    </w:p>
    <w:p w14:paraId="57613FC0"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Case Law: Goulding v James [1997] 2 All ER 239</w:t>
      </w:r>
      <w:r w:rsidRPr="00BC623B">
        <w:rPr>
          <w:rFonts w:ascii="Times New Roman" w:hAnsi="Times New Roman"/>
          <w:lang w:val="en-HK"/>
        </w:rPr>
        <w:t xml:space="preserve">: </w:t>
      </w:r>
    </w:p>
    <w:p w14:paraId="48D79878"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Facts</w:t>
      </w:r>
      <w:r w:rsidRPr="00BC623B">
        <w:rPr>
          <w:rFonts w:ascii="Times New Roman" w:hAnsi="Times New Roman"/>
          <w:lang w:val="en-HK"/>
        </w:rPr>
        <w:t xml:space="preserve">: A will’s variation </w:t>
      </w:r>
      <w:proofErr w:type="spellStart"/>
      <w:r w:rsidRPr="00BC623B">
        <w:rPr>
          <w:rFonts w:ascii="Times New Roman" w:hAnsi="Times New Roman"/>
          <w:lang w:val="en-HK"/>
        </w:rPr>
        <w:t>favored</w:t>
      </w:r>
      <w:proofErr w:type="spellEnd"/>
      <w:r w:rsidRPr="00BC623B">
        <w:rPr>
          <w:rFonts w:ascii="Times New Roman" w:hAnsi="Times New Roman"/>
          <w:lang w:val="en-HK"/>
        </w:rPr>
        <w:t xml:space="preserve"> minors but contradicted the testatrix’s extrinsic intent (evidenced by her executor) not to benefit a specific person.</w:t>
      </w:r>
    </w:p>
    <w:p w14:paraId="120106C4"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Held</w:t>
      </w:r>
      <w:r w:rsidRPr="00BC623B">
        <w:rPr>
          <w:rFonts w:ascii="Times New Roman" w:hAnsi="Times New Roman"/>
          <w:lang w:val="en-HK"/>
        </w:rPr>
        <w:t>: The Court of Appeal reversed the trial judge, approving the variation.</w:t>
      </w:r>
    </w:p>
    <w:p w14:paraId="4C6D5881"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Reasoning</w:t>
      </w:r>
      <w:r w:rsidRPr="00BC623B">
        <w:rPr>
          <w:rFonts w:ascii="Times New Roman" w:hAnsi="Times New Roman"/>
          <w:lang w:val="en-HK"/>
        </w:rPr>
        <w:t>: Mummery LJ ruled intent irrelevant; the focus was beneficiaries’ interests under the Act, not testatrix wishes (</w:t>
      </w:r>
      <w:proofErr w:type="spellStart"/>
      <w:r w:rsidRPr="00BC623B">
        <w:rPr>
          <w:rFonts w:ascii="Times New Roman" w:hAnsi="Times New Roman"/>
          <w:lang w:val="en-HK"/>
        </w:rPr>
        <w:t>Peevor</w:t>
      </w:r>
      <w:proofErr w:type="spellEnd"/>
      <w:r w:rsidRPr="00BC623B">
        <w:rPr>
          <w:rFonts w:ascii="Times New Roman" w:hAnsi="Times New Roman"/>
          <w:lang w:val="en-HK"/>
        </w:rPr>
        <w:t xml:space="preserve">, </w:t>
      </w:r>
      <w:r w:rsidRPr="00BC623B">
        <w:rPr>
          <w:rFonts w:ascii="Times New Roman" w:hAnsi="Times New Roman"/>
          <w:i/>
          <w:iCs/>
          <w:lang w:val="en-HK"/>
        </w:rPr>
        <w:t>Variation of Trusts</w:t>
      </w:r>
      <w:r w:rsidRPr="00BC623B">
        <w:rPr>
          <w:rFonts w:ascii="Times New Roman" w:hAnsi="Times New Roman"/>
          <w:lang w:val="en-HK"/>
        </w:rPr>
        <w:t>, 1997).</w:t>
      </w:r>
    </w:p>
    <w:p w14:paraId="23A654B9" w14:textId="7E0F5651"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Analysis</w:t>
      </w:r>
      <w:r w:rsidRPr="00BC623B">
        <w:rPr>
          <w:rFonts w:ascii="Times New Roman" w:hAnsi="Times New Roman"/>
          <w:lang w:val="en-HK"/>
        </w:rPr>
        <w:t xml:space="preserve">: Watkins finds this “absurd,” as beneficiaries and courts override intent, shifting focus to living interests via a trust lens, camouflaging the will (Watkins, </w:t>
      </w:r>
      <w:r w:rsidRPr="00BC623B">
        <w:rPr>
          <w:rFonts w:ascii="Times New Roman" w:hAnsi="Times New Roman"/>
          <w:i/>
          <w:iCs/>
          <w:lang w:val="en-HK"/>
        </w:rPr>
        <w:t>The Testator’s Voice</w:t>
      </w:r>
      <w:r w:rsidRPr="00BC623B">
        <w:rPr>
          <w:rFonts w:ascii="Times New Roman" w:hAnsi="Times New Roman"/>
          <w:lang w:val="en-HK"/>
        </w:rPr>
        <w:t>, 2012).</w:t>
      </w:r>
    </w:p>
    <w:p w14:paraId="3F0D0F7B" w14:textId="77777777" w:rsidR="00BC623B" w:rsidRPr="00BC623B" w:rsidRDefault="00BC623B" w:rsidP="000778D3">
      <w:pPr>
        <w:pBdr>
          <w:bottom w:val="single" w:sz="4" w:space="1" w:color="auto"/>
        </w:pBdr>
        <w:spacing w:after="240" w:line="360" w:lineRule="auto"/>
        <w:outlineLvl w:val="3"/>
        <w:rPr>
          <w:rFonts w:ascii="Times New Roman" w:hAnsi="Times New Roman"/>
          <w:b/>
          <w:bCs/>
          <w:lang w:val="en-HK"/>
        </w:rPr>
      </w:pPr>
      <w:r w:rsidRPr="00BC623B">
        <w:rPr>
          <w:rFonts w:ascii="Times New Roman" w:hAnsi="Times New Roman"/>
          <w:b/>
          <w:bCs/>
          <w:lang w:val="en-HK"/>
        </w:rPr>
        <w:t>Actions Taken by Would-Be Beneficiaries Following the Testator’s Death (pp. 72–75)</w:t>
      </w:r>
    </w:p>
    <w:p w14:paraId="7317A617"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This subsection addresses claims under the </w:t>
      </w:r>
      <w:r w:rsidRPr="00BC623B">
        <w:rPr>
          <w:rFonts w:ascii="Times New Roman" w:hAnsi="Times New Roman"/>
          <w:i/>
          <w:iCs/>
          <w:lang w:val="en-HK"/>
        </w:rPr>
        <w:t>Inheritance (Provision for Family and Dependants) Act 1975 (IPFDA)</w:t>
      </w:r>
      <w:r w:rsidRPr="00BC623B">
        <w:rPr>
          <w:rFonts w:ascii="Times New Roman" w:hAnsi="Times New Roman"/>
          <w:lang w:val="en-HK"/>
        </w:rPr>
        <w:t>, allowing non-beneficiaries to challenge a will, further disregarding intent.</w:t>
      </w:r>
    </w:p>
    <w:p w14:paraId="6D4BBA56"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Statute: Inheritance (Provision for Family and Dependants) Act 1975</w:t>
      </w:r>
      <w:r w:rsidRPr="00BC623B">
        <w:rPr>
          <w:rFonts w:ascii="Times New Roman" w:hAnsi="Times New Roman"/>
          <w:lang w:val="en-HK"/>
        </w:rPr>
        <w:t xml:space="preserve">: </w:t>
      </w:r>
    </w:p>
    <w:p w14:paraId="0D386A5C"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Provision</w:t>
      </w:r>
      <w:r w:rsidRPr="00BC623B">
        <w:rPr>
          <w:rFonts w:ascii="Times New Roman" w:hAnsi="Times New Roman"/>
          <w:lang w:val="en-HK"/>
        </w:rPr>
        <w:t>: Eligible claimants (spouses, children, dependants) can seek “reasonable financial provision” if the will or intestacy fails them (s 1).</w:t>
      </w:r>
    </w:p>
    <w:p w14:paraId="4854FB4D"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Scope</w:t>
      </w:r>
      <w:r w:rsidRPr="00BC623B">
        <w:rPr>
          <w:rFonts w:ascii="Times New Roman" w:hAnsi="Times New Roman"/>
          <w:lang w:val="en-HK"/>
        </w:rPr>
        <w:t xml:space="preserve">: Includes spouses, ex-spouses (unremarried), children, treated children, and maintained persons, assessed objectively (Barlow et al., </w:t>
      </w:r>
      <w:r w:rsidRPr="00BC623B">
        <w:rPr>
          <w:rFonts w:ascii="Times New Roman" w:hAnsi="Times New Roman"/>
          <w:i/>
          <w:iCs/>
          <w:lang w:val="en-HK"/>
        </w:rPr>
        <w:t>Williams on Wills</w:t>
      </w:r>
      <w:r w:rsidRPr="00BC623B">
        <w:rPr>
          <w:rFonts w:ascii="Times New Roman" w:hAnsi="Times New Roman"/>
          <w:lang w:val="en-HK"/>
        </w:rPr>
        <w:t>, 2008).</w:t>
      </w:r>
    </w:p>
    <w:p w14:paraId="7F39956E"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Contrast with 1938 Act</w:t>
      </w:r>
      <w:r w:rsidRPr="00BC623B">
        <w:rPr>
          <w:rFonts w:ascii="Times New Roman" w:hAnsi="Times New Roman"/>
          <w:lang w:val="en-HK"/>
        </w:rPr>
        <w:t>: The predecessor (</w:t>
      </w:r>
      <w:r w:rsidRPr="00BC623B">
        <w:rPr>
          <w:rFonts w:ascii="Times New Roman" w:hAnsi="Times New Roman"/>
          <w:i/>
          <w:iCs/>
          <w:lang w:val="en-HK"/>
        </w:rPr>
        <w:t>Inheritance (Family Provision) Act 1938</w:t>
      </w:r>
      <w:r w:rsidRPr="00BC623B">
        <w:rPr>
          <w:rFonts w:ascii="Times New Roman" w:hAnsi="Times New Roman"/>
          <w:lang w:val="en-HK"/>
        </w:rPr>
        <w:t>) required considering testator reasons (s 1(1)), shifting from subjective to objective under IPFDA.</w:t>
      </w:r>
    </w:p>
    <w:p w14:paraId="5F26A2B5"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lastRenderedPageBreak/>
        <w:t>Case Law: Re Pugh [1943] Ch 387</w:t>
      </w:r>
      <w:r w:rsidRPr="00BC623B">
        <w:rPr>
          <w:rFonts w:ascii="Times New Roman" w:hAnsi="Times New Roman"/>
          <w:lang w:val="en-HK"/>
        </w:rPr>
        <w:t xml:space="preserve">: </w:t>
      </w:r>
    </w:p>
    <w:p w14:paraId="683CDC6F"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Facts</w:t>
      </w:r>
      <w:r w:rsidRPr="00BC623B">
        <w:rPr>
          <w:rFonts w:ascii="Times New Roman" w:hAnsi="Times New Roman"/>
          <w:lang w:val="en-HK"/>
        </w:rPr>
        <w:t>: An applicant sought provision; the will omitted them.</w:t>
      </w:r>
    </w:p>
    <w:p w14:paraId="01E170A2" w14:textId="77777777" w:rsidR="00BC623B" w:rsidRPr="00BC623B" w:rsidRDefault="00BC623B" w:rsidP="000778D3">
      <w:pPr>
        <w:pBdr>
          <w:bottom w:val="single" w:sz="4" w:space="1" w:color="auto"/>
        </w:pBdr>
        <w:spacing w:after="240" w:line="360" w:lineRule="auto"/>
        <w:rPr>
          <w:rFonts w:ascii="Times New Roman" w:hAnsi="Times New Roman"/>
          <w:b/>
          <w:bCs/>
          <w:lang w:val="en-HK"/>
        </w:rPr>
      </w:pPr>
      <w:r w:rsidRPr="00BC623B">
        <w:rPr>
          <w:rFonts w:ascii="Times New Roman" w:hAnsi="Times New Roman"/>
          <w:i/>
          <w:iCs/>
          <w:lang w:val="en-HK"/>
        </w:rPr>
        <w:t>Held</w:t>
      </w:r>
      <w:r w:rsidRPr="00BC623B">
        <w:rPr>
          <w:rFonts w:ascii="Times New Roman" w:hAnsi="Times New Roman"/>
          <w:lang w:val="en-HK"/>
        </w:rPr>
        <w:t xml:space="preserve">: The court </w:t>
      </w:r>
      <w:r w:rsidRPr="00BC623B">
        <w:rPr>
          <w:rFonts w:ascii="Times New Roman" w:hAnsi="Times New Roman"/>
          <w:b/>
          <w:bCs/>
          <w:lang w:val="en-HK"/>
        </w:rPr>
        <w:t>applied a subjective test under the 1938 Act, requiring unreasonable omission.</w:t>
      </w:r>
    </w:p>
    <w:p w14:paraId="40AAB651"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Reasoning</w:t>
      </w:r>
      <w:r w:rsidRPr="00BC623B">
        <w:rPr>
          <w:rFonts w:ascii="Times New Roman" w:hAnsi="Times New Roman"/>
          <w:lang w:val="en-HK"/>
        </w:rPr>
        <w:t xml:space="preserve">: Evidence of intent was relevant, approved in </w:t>
      </w:r>
      <w:r w:rsidRPr="00BC623B">
        <w:rPr>
          <w:rFonts w:ascii="Times New Roman" w:hAnsi="Times New Roman"/>
          <w:i/>
          <w:iCs/>
          <w:lang w:val="en-HK"/>
        </w:rPr>
        <w:t>Re Inns [1947] 2 All ER 308</w:t>
      </w:r>
      <w:r w:rsidRPr="00BC623B">
        <w:rPr>
          <w:rFonts w:ascii="Times New Roman" w:hAnsi="Times New Roman"/>
          <w:lang w:val="en-HK"/>
        </w:rPr>
        <w:t>.</w:t>
      </w:r>
    </w:p>
    <w:p w14:paraId="7021157F"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Case Law: Re Goodwin [1969] 3 All ER 12</w:t>
      </w:r>
      <w:r w:rsidRPr="00BC623B">
        <w:rPr>
          <w:rFonts w:ascii="Times New Roman" w:hAnsi="Times New Roman"/>
          <w:lang w:val="en-HK"/>
        </w:rPr>
        <w:t xml:space="preserve">: </w:t>
      </w:r>
    </w:p>
    <w:p w14:paraId="40429256"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Facts</w:t>
      </w:r>
      <w:r w:rsidRPr="00BC623B">
        <w:rPr>
          <w:rFonts w:ascii="Times New Roman" w:hAnsi="Times New Roman"/>
          <w:lang w:val="en-HK"/>
        </w:rPr>
        <w:t>: A dependant challenged minimal provision.</w:t>
      </w:r>
    </w:p>
    <w:p w14:paraId="54F4C7FB"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Held</w:t>
      </w:r>
      <w:r w:rsidRPr="00BC623B">
        <w:rPr>
          <w:rFonts w:ascii="Times New Roman" w:hAnsi="Times New Roman"/>
          <w:lang w:val="en-HK"/>
        </w:rPr>
        <w:t xml:space="preserve">: </w:t>
      </w:r>
      <w:proofErr w:type="spellStart"/>
      <w:r w:rsidRPr="00BC623B">
        <w:rPr>
          <w:rFonts w:ascii="Times New Roman" w:hAnsi="Times New Roman"/>
          <w:lang w:val="en-HK"/>
        </w:rPr>
        <w:t>Megarry</w:t>
      </w:r>
      <w:proofErr w:type="spellEnd"/>
      <w:r w:rsidRPr="00BC623B">
        <w:rPr>
          <w:rFonts w:ascii="Times New Roman" w:hAnsi="Times New Roman"/>
          <w:lang w:val="en-HK"/>
        </w:rPr>
        <w:t xml:space="preserve"> J adopted an objective test under IPFDA.</w:t>
      </w:r>
    </w:p>
    <w:p w14:paraId="4DA8C0C0"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Reasoning</w:t>
      </w:r>
      <w:r w:rsidRPr="00BC623B">
        <w:rPr>
          <w:rFonts w:ascii="Times New Roman" w:hAnsi="Times New Roman"/>
          <w:lang w:val="en-HK"/>
        </w:rPr>
        <w:t xml:space="preserve">: The statute’s “wholly impersonal” language (“does not make reasonable provision”) focuses on outcome, not testator motive, overruling subjective approaches (Watkins, </w:t>
      </w:r>
      <w:r w:rsidRPr="00BC623B">
        <w:rPr>
          <w:rFonts w:ascii="Times New Roman" w:hAnsi="Times New Roman"/>
          <w:i/>
          <w:iCs/>
          <w:lang w:val="en-HK"/>
        </w:rPr>
        <w:t>The Testator’s Voice</w:t>
      </w:r>
      <w:r w:rsidRPr="00BC623B">
        <w:rPr>
          <w:rFonts w:ascii="Times New Roman" w:hAnsi="Times New Roman"/>
          <w:lang w:val="en-HK"/>
        </w:rPr>
        <w:t>, 2012).</w:t>
      </w:r>
    </w:p>
    <w:p w14:paraId="5DF7540C"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Impact</w:t>
      </w:r>
      <w:r w:rsidRPr="00BC623B">
        <w:rPr>
          <w:rFonts w:ascii="Times New Roman" w:hAnsi="Times New Roman"/>
          <w:lang w:val="en-HK"/>
        </w:rPr>
        <w:t xml:space="preserve">: Intent evidence (s 3(1)(g)) is admissible but diminished in weight (Barlow et al., </w:t>
      </w:r>
      <w:r w:rsidRPr="00BC623B">
        <w:rPr>
          <w:rFonts w:ascii="Times New Roman" w:hAnsi="Times New Roman"/>
          <w:i/>
          <w:iCs/>
          <w:lang w:val="en-HK"/>
        </w:rPr>
        <w:t>Williams on Wills</w:t>
      </w:r>
      <w:r w:rsidRPr="00BC623B">
        <w:rPr>
          <w:rFonts w:ascii="Times New Roman" w:hAnsi="Times New Roman"/>
          <w:lang w:val="en-HK"/>
        </w:rPr>
        <w:t>, 2008).</w:t>
      </w:r>
    </w:p>
    <w:p w14:paraId="74604971"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Case Law: Nathan v Leonard [2003] 4 All ER 198</w:t>
      </w:r>
      <w:r w:rsidRPr="00BC623B">
        <w:rPr>
          <w:rFonts w:ascii="Times New Roman" w:hAnsi="Times New Roman"/>
          <w:lang w:val="en-HK"/>
        </w:rPr>
        <w:t xml:space="preserve">: </w:t>
      </w:r>
    </w:p>
    <w:p w14:paraId="2CEE6246"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Facts</w:t>
      </w:r>
      <w:r w:rsidRPr="00BC623B">
        <w:rPr>
          <w:rFonts w:ascii="Times New Roman" w:hAnsi="Times New Roman"/>
          <w:lang w:val="en-HK"/>
        </w:rPr>
        <w:t>: A will included a no-contest clause; an IPFDA claim proceeded.</w:t>
      </w:r>
    </w:p>
    <w:p w14:paraId="503CD266"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Held</w:t>
      </w:r>
      <w:r w:rsidRPr="00BC623B">
        <w:rPr>
          <w:rFonts w:ascii="Times New Roman" w:hAnsi="Times New Roman"/>
          <w:lang w:val="en-HK"/>
        </w:rPr>
        <w:t>: The clause did not bar statutory claims, though benefits might be lost.</w:t>
      </w:r>
    </w:p>
    <w:p w14:paraId="48606B05"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Reasoning</w:t>
      </w:r>
      <w:r w:rsidRPr="00BC623B">
        <w:rPr>
          <w:rFonts w:ascii="Times New Roman" w:hAnsi="Times New Roman"/>
          <w:lang w:val="en-HK"/>
        </w:rPr>
        <w:t>: IPFDA rights are unwaivable, overriding conditions not against public policy.</w:t>
      </w:r>
    </w:p>
    <w:p w14:paraId="35F68219"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Analysis</w:t>
      </w:r>
      <w:r w:rsidRPr="00BC623B">
        <w:rPr>
          <w:rFonts w:ascii="Times New Roman" w:hAnsi="Times New Roman"/>
          <w:lang w:val="en-HK"/>
        </w:rPr>
        <w:t xml:space="preserve">: </w:t>
      </w:r>
    </w:p>
    <w:p w14:paraId="3F6D6F01" w14:textId="247175B4"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 xml:space="preserve">Watkins views IPFDA as the “most significant inroad” into testamentary freedom, openly ignoring intent via an objective lens, a stark contrast to Hardy’s haunting pleas (Watkins, </w:t>
      </w:r>
      <w:r w:rsidRPr="00BC623B">
        <w:rPr>
          <w:rFonts w:ascii="Times New Roman" w:hAnsi="Times New Roman"/>
          <w:i/>
          <w:iCs/>
          <w:lang w:val="en-HK"/>
        </w:rPr>
        <w:t>The Testator’s Voice</w:t>
      </w:r>
      <w:r w:rsidRPr="00BC623B">
        <w:rPr>
          <w:rFonts w:ascii="Times New Roman" w:hAnsi="Times New Roman"/>
          <w:lang w:val="en-HK"/>
        </w:rPr>
        <w:t>, 2012).</w:t>
      </w:r>
    </w:p>
    <w:p w14:paraId="6448506E"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Overall Analysis</w:t>
      </w:r>
      <w:r w:rsidRPr="00BC623B">
        <w:rPr>
          <w:rFonts w:ascii="Times New Roman" w:hAnsi="Times New Roman"/>
          <w:lang w:val="en-HK"/>
        </w:rPr>
        <w:t xml:space="preserve">: </w:t>
      </w:r>
    </w:p>
    <w:p w14:paraId="45426859"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lastRenderedPageBreak/>
        <w:t>Escalation</w:t>
      </w:r>
      <w:r w:rsidRPr="00BC623B">
        <w:rPr>
          <w:rFonts w:ascii="Times New Roman" w:hAnsi="Times New Roman"/>
          <w:lang w:val="en-HK"/>
        </w:rPr>
        <w:t xml:space="preserve">: Watkins sees an escalating disregard—from automatic nullification (statutory, predictable) to beneficiary overrides (active, sanctioned) to external claims (oppositional, objective)—each amplifying the testator’s silencing (Watkins, </w:t>
      </w:r>
      <w:r w:rsidRPr="00BC623B">
        <w:rPr>
          <w:rFonts w:ascii="Times New Roman" w:hAnsi="Times New Roman"/>
          <w:i/>
          <w:iCs/>
          <w:lang w:val="en-HK"/>
        </w:rPr>
        <w:t>The Testator’s Voice</w:t>
      </w:r>
      <w:r w:rsidRPr="00BC623B">
        <w:rPr>
          <w:rFonts w:ascii="Times New Roman" w:hAnsi="Times New Roman"/>
          <w:lang w:val="en-HK"/>
        </w:rPr>
        <w:t>, 2012).</w:t>
      </w:r>
    </w:p>
    <w:p w14:paraId="1FA9F6C0"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Moral Contrast</w:t>
      </w:r>
      <w:r w:rsidRPr="00BC623B">
        <w:rPr>
          <w:rFonts w:ascii="Times New Roman" w:hAnsi="Times New Roman"/>
          <w:lang w:val="en-HK"/>
        </w:rPr>
        <w:t xml:space="preserve">: Referencing Hardy, she imagines a testator “appalled” at beneficiaries’ or claimants’ disregard, a </w:t>
      </w:r>
      <w:proofErr w:type="spellStart"/>
      <w:r w:rsidRPr="00BC623B">
        <w:rPr>
          <w:rFonts w:ascii="Times New Roman" w:hAnsi="Times New Roman"/>
          <w:lang w:val="en-HK"/>
        </w:rPr>
        <w:t>dishonor</w:t>
      </w:r>
      <w:proofErr w:type="spellEnd"/>
      <w:r w:rsidRPr="00BC623B">
        <w:rPr>
          <w:rFonts w:ascii="Times New Roman" w:hAnsi="Times New Roman"/>
          <w:lang w:val="en-HK"/>
        </w:rPr>
        <w:t xml:space="preserve"> unmitigated by judicial concern, unlike the regret in </w:t>
      </w:r>
      <w:r w:rsidRPr="00BC623B">
        <w:rPr>
          <w:rFonts w:ascii="Times New Roman" w:hAnsi="Times New Roman"/>
          <w:i/>
          <w:iCs/>
          <w:lang w:val="en-HK"/>
        </w:rPr>
        <w:t xml:space="preserve">“The </w:t>
      </w:r>
      <w:proofErr w:type="spellStart"/>
      <w:r w:rsidRPr="00BC623B">
        <w:rPr>
          <w:rFonts w:ascii="Times New Roman" w:hAnsi="Times New Roman"/>
          <w:i/>
          <w:iCs/>
          <w:lang w:val="en-HK"/>
        </w:rPr>
        <w:t>Haunter</w:t>
      </w:r>
      <w:proofErr w:type="spellEnd"/>
      <w:r w:rsidRPr="00BC623B">
        <w:rPr>
          <w:rFonts w:ascii="Times New Roman" w:hAnsi="Times New Roman"/>
          <w:i/>
          <w:iCs/>
          <w:lang w:val="en-HK"/>
        </w:rPr>
        <w:t>”</w:t>
      </w:r>
      <w:r w:rsidRPr="00BC623B">
        <w:rPr>
          <w:rFonts w:ascii="Times New Roman" w:hAnsi="Times New Roman"/>
          <w:lang w:val="en-HK"/>
        </w:rPr>
        <w:t>.</w:t>
      </w:r>
    </w:p>
    <w:p w14:paraId="566BE41D"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i/>
          <w:iCs/>
          <w:lang w:val="en-HK"/>
        </w:rPr>
        <w:t>Legal Rationale</w:t>
      </w:r>
      <w:r w:rsidRPr="00BC623B">
        <w:rPr>
          <w:rFonts w:ascii="Times New Roman" w:hAnsi="Times New Roman"/>
          <w:lang w:val="en-HK"/>
        </w:rPr>
        <w:t>: Statutory certainty (automatic), beneficiary autonomy (</w:t>
      </w:r>
      <w:r w:rsidRPr="00BC623B">
        <w:rPr>
          <w:rFonts w:ascii="Times New Roman" w:hAnsi="Times New Roman"/>
          <w:i/>
          <w:iCs/>
          <w:lang w:val="en-HK"/>
        </w:rPr>
        <w:t>Saunders</w:t>
      </w:r>
      <w:r w:rsidRPr="00BC623B">
        <w:rPr>
          <w:rFonts w:ascii="Times New Roman" w:hAnsi="Times New Roman"/>
          <w:lang w:val="en-HK"/>
        </w:rPr>
        <w:t>), and social justice (IPFDA) justify these mechanisms, yet Watkins critiques their collective erasure of intent.</w:t>
      </w:r>
    </w:p>
    <w:p w14:paraId="041B0781"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b/>
          <w:bCs/>
          <w:lang w:val="en-HK"/>
        </w:rPr>
        <w:t>Conclusion</w:t>
      </w:r>
      <w:r w:rsidRPr="00BC623B">
        <w:rPr>
          <w:rFonts w:ascii="Times New Roman" w:hAnsi="Times New Roman"/>
          <w:lang w:val="en-HK"/>
        </w:rPr>
        <w:t xml:space="preserve">: </w:t>
      </w:r>
    </w:p>
    <w:p w14:paraId="1BFB809C" w14:textId="77777777" w:rsidR="00BC623B" w:rsidRPr="00BC623B" w:rsidRDefault="00BC623B" w:rsidP="000778D3">
      <w:pPr>
        <w:pBdr>
          <w:bottom w:val="single" w:sz="4" w:space="1" w:color="auto"/>
        </w:pBdr>
        <w:spacing w:after="240" w:line="360" w:lineRule="auto"/>
        <w:rPr>
          <w:rFonts w:ascii="Times New Roman" w:hAnsi="Times New Roman"/>
          <w:lang w:val="en-HK"/>
        </w:rPr>
      </w:pPr>
      <w:r w:rsidRPr="00BC623B">
        <w:rPr>
          <w:rFonts w:ascii="Times New Roman" w:hAnsi="Times New Roman"/>
          <w:lang w:val="en-HK"/>
        </w:rPr>
        <w:t>This section underscores the vulnerability of a valid will to external forces, rendering the testator’s voice a “faithful phantom” ignored by law. Watkins builds on prior sections, showing how creation and interpretation constraints culminate in outright defeat, setting the stage for rare revivals via estoppel and secret trusts.</w:t>
      </w:r>
    </w:p>
    <w:p w14:paraId="1A81A29D" w14:textId="77777777" w:rsidR="00BC623B" w:rsidRPr="00BC623B" w:rsidRDefault="00F44092" w:rsidP="000778D3">
      <w:pPr>
        <w:pBdr>
          <w:bottom w:val="single" w:sz="4" w:space="1" w:color="auto"/>
        </w:pBdr>
        <w:spacing w:after="240" w:line="360" w:lineRule="auto"/>
        <w:rPr>
          <w:rFonts w:ascii="Times New Roman" w:hAnsi="Times New Roman"/>
          <w:lang w:val="en-HK"/>
        </w:rPr>
      </w:pPr>
      <w:r w:rsidRPr="00F44092">
        <w:rPr>
          <w:rFonts w:ascii="Times New Roman" w:hAnsi="Times New Roman"/>
          <w:noProof/>
          <w:lang w:val="en-HK"/>
          <w14:ligatures w14:val="standardContextual"/>
        </w:rPr>
        <w:pict w14:anchorId="0B3A5847">
          <v:rect id="_x0000_i1025" alt="" style="width:451.3pt;height:.05pt;mso-width-percent:0;mso-height-percent:0;mso-width-percent:0;mso-height-percent:0" o:hralign="center" o:hrstd="t" o:hr="t" fillcolor="#a0a0a0" stroked="f"/>
        </w:pict>
      </w:r>
    </w:p>
    <w:p w14:paraId="5EFE0065" w14:textId="329020B9" w:rsidR="000F42A6" w:rsidRPr="000F42A6" w:rsidRDefault="000778D3" w:rsidP="000778D3">
      <w:pPr>
        <w:pBdr>
          <w:bottom w:val="single" w:sz="4" w:space="1" w:color="auto"/>
        </w:pBdr>
        <w:spacing w:after="240" w:line="360" w:lineRule="auto"/>
        <w:outlineLvl w:val="2"/>
        <w:rPr>
          <w:rFonts w:ascii="Times New Roman" w:hAnsi="Times New Roman"/>
          <w:b/>
          <w:bCs/>
          <w:lang w:val="en-HK"/>
        </w:rPr>
      </w:pPr>
      <w:r w:rsidRPr="000778D3">
        <w:rPr>
          <w:rFonts w:ascii="Times New Roman" w:hAnsi="Times New Roman"/>
          <w:b/>
          <w:bCs/>
          <w:lang w:val="en-HK"/>
        </w:rPr>
        <w:t xml:space="preserve">6. </w:t>
      </w:r>
      <w:r w:rsidR="000F42A6" w:rsidRPr="000F42A6">
        <w:rPr>
          <w:rFonts w:ascii="Times New Roman" w:hAnsi="Times New Roman"/>
          <w:b/>
          <w:bCs/>
          <w:lang w:val="en-HK"/>
        </w:rPr>
        <w:t>Equitable Proprietary Estoppel and Secret Trusts – The Testator’s Voice Revived (pp. 75–76) – Detailed Analysis</w:t>
      </w:r>
    </w:p>
    <w:p w14:paraId="5161FC28"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t>This section explores two exceptional legal mechanisms—equitable proprietary estoppel and secret trusts—where the testator’s voice, typically silenced by death and textual formalism, is revived and given effect beyond the strict terms of a will. Watkins presents these as rare instances where the testator’s living expressions override posthumous legal documents, contrasting sharply with the pervasive disregard detailed in prior sections. She frames this revival as a limited but significant counterpoint to the systemic silencing of testamentary intent under English law.</w:t>
      </w:r>
    </w:p>
    <w:p w14:paraId="37135FBA"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Core Argument</w:t>
      </w:r>
      <w:r w:rsidRPr="000F42A6">
        <w:rPr>
          <w:rFonts w:ascii="Times New Roman" w:hAnsi="Times New Roman"/>
          <w:lang w:val="en-HK"/>
        </w:rPr>
        <w:t xml:space="preserve">: </w:t>
      </w:r>
    </w:p>
    <w:p w14:paraId="7D4C2A33" w14:textId="77777777" w:rsidR="000F42A6" w:rsidRPr="000F42A6" w:rsidRDefault="000F42A6" w:rsidP="000778D3">
      <w:pPr>
        <w:numPr>
          <w:ilvl w:val="1"/>
          <w:numId w:val="12"/>
        </w:num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t xml:space="preserve">Watkins argues that proprietary estoppel and secret trusts uniquely allow the testator’s spoken or informally expressed intentions during life to prevail over a will’s text, reviving the “voice” that is otherwise “eternally silenced” by death and legal processes (Watkins, </w:t>
      </w:r>
      <w:r w:rsidRPr="000F42A6">
        <w:rPr>
          <w:rFonts w:ascii="Times New Roman" w:hAnsi="Times New Roman"/>
          <w:i/>
          <w:iCs/>
          <w:lang w:val="en-HK"/>
        </w:rPr>
        <w:lastRenderedPageBreak/>
        <w:t>The Testator’s Voice</w:t>
      </w:r>
      <w:r w:rsidRPr="000F42A6">
        <w:rPr>
          <w:rFonts w:ascii="Times New Roman" w:hAnsi="Times New Roman"/>
          <w:lang w:val="en-HK"/>
        </w:rPr>
        <w:t xml:space="preserve">, 2012). These doctrines offer a reprieve from the formalism of the </w:t>
      </w:r>
      <w:r w:rsidRPr="000F42A6">
        <w:rPr>
          <w:rFonts w:ascii="Times New Roman" w:hAnsi="Times New Roman"/>
          <w:i/>
          <w:iCs/>
          <w:lang w:val="en-HK"/>
        </w:rPr>
        <w:t>Wills Act 1837</w:t>
      </w:r>
      <w:r w:rsidRPr="000F42A6">
        <w:rPr>
          <w:rFonts w:ascii="Times New Roman" w:hAnsi="Times New Roman"/>
          <w:lang w:val="en-HK"/>
        </w:rPr>
        <w:t xml:space="preserve"> and the textual interpretation critiqued earlier, </w:t>
      </w:r>
      <w:proofErr w:type="spellStart"/>
      <w:r w:rsidRPr="000F42A6">
        <w:rPr>
          <w:rFonts w:ascii="Times New Roman" w:hAnsi="Times New Roman"/>
          <w:lang w:val="en-HK"/>
        </w:rPr>
        <w:t>honoring</w:t>
      </w:r>
      <w:proofErr w:type="spellEnd"/>
      <w:r w:rsidRPr="000F42A6">
        <w:rPr>
          <w:rFonts w:ascii="Times New Roman" w:hAnsi="Times New Roman"/>
          <w:lang w:val="en-HK"/>
        </w:rPr>
        <w:t xml:space="preserve"> intent in ways that align with the emotional urgency of Hardy’s poetry.</w:t>
      </w:r>
    </w:p>
    <w:p w14:paraId="71C9FCF5" w14:textId="5275555E" w:rsidR="000F42A6" w:rsidRPr="000F42A6" w:rsidRDefault="000F42A6" w:rsidP="000778D3">
      <w:pPr>
        <w:numPr>
          <w:ilvl w:val="1"/>
          <w:numId w:val="12"/>
        </w:num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t>Positioned after the extensive analysis of intent’s defeat (</w:t>
      </w:r>
      <w:r w:rsidRPr="000F42A6">
        <w:rPr>
          <w:rFonts w:ascii="Times New Roman" w:hAnsi="Times New Roman"/>
          <w:i/>
          <w:iCs/>
          <w:lang w:val="en-HK"/>
        </w:rPr>
        <w:t>The Defeat of the Testator’s Wishes</w:t>
      </w:r>
      <w:r w:rsidRPr="000F42A6">
        <w:rPr>
          <w:rFonts w:ascii="Times New Roman" w:hAnsi="Times New Roman"/>
          <w:lang w:val="en-HK"/>
        </w:rPr>
        <w:t>), this section serves as a hopeful, albeit constrained, counterbalance, highlighting exceptions where the testator’s voice “calls most forcefully for attention” and is heeded.</w:t>
      </w:r>
    </w:p>
    <w:p w14:paraId="6CFA3052" w14:textId="77777777" w:rsidR="000F42A6" w:rsidRPr="000F42A6" w:rsidRDefault="000F42A6" w:rsidP="000778D3">
      <w:pPr>
        <w:pBdr>
          <w:bottom w:val="single" w:sz="4" w:space="1" w:color="auto"/>
        </w:pBdr>
        <w:spacing w:after="240" w:line="360" w:lineRule="auto"/>
        <w:outlineLvl w:val="3"/>
        <w:rPr>
          <w:rFonts w:ascii="Times New Roman" w:hAnsi="Times New Roman"/>
          <w:b/>
          <w:bCs/>
          <w:color w:val="FF0000"/>
          <w:lang w:val="en-HK"/>
        </w:rPr>
      </w:pPr>
      <w:r w:rsidRPr="000F42A6">
        <w:rPr>
          <w:rFonts w:ascii="Times New Roman" w:hAnsi="Times New Roman"/>
          <w:b/>
          <w:bCs/>
          <w:color w:val="FF0000"/>
          <w:lang w:val="en-HK"/>
        </w:rPr>
        <w:t>Equitable Proprietary Estoppel</w:t>
      </w:r>
    </w:p>
    <w:p w14:paraId="551CBA97"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t>This subsection examines how proprietary estoppel allows lifetime assurances to override a will’s provisions, giving legal weight to the testator’s spoken or implied intent when relied upon to a claimant’s detriment.</w:t>
      </w:r>
    </w:p>
    <w:p w14:paraId="4A2F15FC"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Legal Principle</w:t>
      </w:r>
      <w:r w:rsidRPr="000F42A6">
        <w:rPr>
          <w:rFonts w:ascii="Times New Roman" w:hAnsi="Times New Roman"/>
          <w:lang w:val="en-HK"/>
        </w:rPr>
        <w:t xml:space="preserve">: </w:t>
      </w:r>
    </w:p>
    <w:p w14:paraId="0B6B4A4E"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Doctrine</w:t>
      </w:r>
      <w:r w:rsidRPr="000F42A6">
        <w:rPr>
          <w:rFonts w:ascii="Times New Roman" w:hAnsi="Times New Roman"/>
          <w:lang w:val="en-HK"/>
        </w:rPr>
        <w:t xml:space="preserve">: Proprietary estoppel arises when a testator raises an expectation of benefit (e.g., inheritance), a claimant relies on it to their detriment, and it would be unconscionable to deny relief (Hudson, </w:t>
      </w:r>
      <w:r w:rsidRPr="000F42A6">
        <w:rPr>
          <w:rFonts w:ascii="Times New Roman" w:hAnsi="Times New Roman"/>
          <w:i/>
          <w:iCs/>
          <w:lang w:val="en-HK"/>
        </w:rPr>
        <w:t>Equity and Trusts</w:t>
      </w:r>
      <w:r w:rsidRPr="000F42A6">
        <w:rPr>
          <w:rFonts w:ascii="Times New Roman" w:hAnsi="Times New Roman"/>
          <w:lang w:val="en-HK"/>
        </w:rPr>
        <w:t>, 2009). This binds the estate, defeating the will’s contrary terms.</w:t>
      </w:r>
    </w:p>
    <w:p w14:paraId="2E0E3913"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Significance</w:t>
      </w:r>
      <w:r w:rsidRPr="000F42A6">
        <w:rPr>
          <w:rFonts w:ascii="Times New Roman" w:hAnsi="Times New Roman"/>
          <w:lang w:val="en-HK"/>
        </w:rPr>
        <w:t xml:space="preserve">: Watkins notes that here, “words spoken by the testator in his lifetime can have the greatest significance,” reviving the voice silenced by death (Watkins, </w:t>
      </w:r>
      <w:r w:rsidRPr="000F42A6">
        <w:rPr>
          <w:rFonts w:ascii="Times New Roman" w:hAnsi="Times New Roman"/>
          <w:i/>
          <w:iCs/>
          <w:lang w:val="en-HK"/>
        </w:rPr>
        <w:t>The Testator’s Voice</w:t>
      </w:r>
      <w:r w:rsidRPr="000F42A6">
        <w:rPr>
          <w:rFonts w:ascii="Times New Roman" w:hAnsi="Times New Roman"/>
          <w:lang w:val="en-HK"/>
        </w:rPr>
        <w:t>, 2012).</w:t>
      </w:r>
    </w:p>
    <w:p w14:paraId="72B06438"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 xml:space="preserve">Case Law: Jennings v Rice [2002] EWCA </w:t>
      </w:r>
      <w:proofErr w:type="spellStart"/>
      <w:r w:rsidRPr="000F42A6">
        <w:rPr>
          <w:rFonts w:ascii="Times New Roman" w:hAnsi="Times New Roman"/>
          <w:b/>
          <w:bCs/>
          <w:lang w:val="en-HK"/>
        </w:rPr>
        <w:t>Civ</w:t>
      </w:r>
      <w:proofErr w:type="spellEnd"/>
      <w:r w:rsidRPr="000F42A6">
        <w:rPr>
          <w:rFonts w:ascii="Times New Roman" w:hAnsi="Times New Roman"/>
          <w:b/>
          <w:bCs/>
          <w:lang w:val="en-HK"/>
        </w:rPr>
        <w:t xml:space="preserve"> 159</w:t>
      </w:r>
      <w:r w:rsidRPr="000F42A6">
        <w:rPr>
          <w:rFonts w:ascii="Times New Roman" w:hAnsi="Times New Roman"/>
          <w:lang w:val="en-HK"/>
        </w:rPr>
        <w:t xml:space="preserve">: </w:t>
      </w:r>
    </w:p>
    <w:p w14:paraId="74019BC5"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Facts</w:t>
      </w:r>
      <w:r w:rsidRPr="000F42A6">
        <w:rPr>
          <w:rFonts w:ascii="Times New Roman" w:hAnsi="Times New Roman"/>
          <w:lang w:val="en-HK"/>
        </w:rPr>
        <w:t xml:space="preserve">: An elderly woman repeatedly assured her </w:t>
      </w:r>
      <w:proofErr w:type="spellStart"/>
      <w:r w:rsidRPr="000F42A6">
        <w:rPr>
          <w:rFonts w:ascii="Times New Roman" w:hAnsi="Times New Roman"/>
          <w:lang w:val="en-HK"/>
        </w:rPr>
        <w:t>carer</w:t>
      </w:r>
      <w:proofErr w:type="spellEnd"/>
      <w:r w:rsidRPr="000F42A6">
        <w:rPr>
          <w:rFonts w:ascii="Times New Roman" w:hAnsi="Times New Roman"/>
          <w:lang w:val="en-HK"/>
        </w:rPr>
        <w:t>, Jennings, that he “need not worry about money” because she would “see to it.” Relying on this, Jennings worked and cared for her without pay for years. Her will, however, left no provision for him, distributing the estate elsewhere.</w:t>
      </w:r>
    </w:p>
    <w:p w14:paraId="7CC1D644" w14:textId="77777777" w:rsidR="000F42A6" w:rsidRPr="000F42A6" w:rsidRDefault="000F42A6" w:rsidP="000778D3">
      <w:pPr>
        <w:pBdr>
          <w:bottom w:val="single" w:sz="4" w:space="1" w:color="auto"/>
        </w:pBdr>
        <w:spacing w:after="240" w:line="360" w:lineRule="auto"/>
        <w:rPr>
          <w:rFonts w:ascii="Times New Roman" w:hAnsi="Times New Roman"/>
          <w:b/>
          <w:bCs/>
          <w:lang w:val="en-HK"/>
        </w:rPr>
      </w:pPr>
      <w:r w:rsidRPr="000F42A6">
        <w:rPr>
          <w:rFonts w:ascii="Times New Roman" w:hAnsi="Times New Roman"/>
          <w:i/>
          <w:iCs/>
          <w:lang w:val="en-HK"/>
        </w:rPr>
        <w:t>Held</w:t>
      </w:r>
      <w:r w:rsidRPr="000F42A6">
        <w:rPr>
          <w:rFonts w:ascii="Times New Roman" w:hAnsi="Times New Roman"/>
          <w:lang w:val="en-HK"/>
        </w:rPr>
        <w:t xml:space="preserve">: The Court of Appeal </w:t>
      </w:r>
      <w:r w:rsidRPr="000F42A6">
        <w:rPr>
          <w:rFonts w:ascii="Times New Roman" w:hAnsi="Times New Roman"/>
          <w:b/>
          <w:bCs/>
          <w:lang w:val="en-HK"/>
        </w:rPr>
        <w:t>upheld Jennings’ estoppel claim, awarding him £200,000 from the estate.</w:t>
      </w:r>
    </w:p>
    <w:p w14:paraId="3345D8BA"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Reasoning</w:t>
      </w:r>
      <w:r w:rsidRPr="000F42A6">
        <w:rPr>
          <w:rFonts w:ascii="Times New Roman" w:hAnsi="Times New Roman"/>
          <w:lang w:val="en-HK"/>
        </w:rPr>
        <w:t xml:space="preserve">: </w:t>
      </w:r>
    </w:p>
    <w:p w14:paraId="19983250" w14:textId="77777777" w:rsidR="000F42A6" w:rsidRPr="000F42A6" w:rsidRDefault="000F42A6" w:rsidP="000778D3">
      <w:pPr>
        <w:pBdr>
          <w:bottom w:val="single" w:sz="4" w:space="1" w:color="auto"/>
        </w:pBdr>
        <w:spacing w:after="240" w:line="360" w:lineRule="auto"/>
        <w:rPr>
          <w:rFonts w:ascii="Times New Roman" w:hAnsi="Times New Roman"/>
          <w:b/>
          <w:bCs/>
          <w:color w:val="FF0000"/>
          <w:lang w:val="en-HK"/>
        </w:rPr>
      </w:pPr>
      <w:r w:rsidRPr="000F42A6">
        <w:rPr>
          <w:rFonts w:ascii="Times New Roman" w:hAnsi="Times New Roman"/>
          <w:i/>
          <w:iCs/>
          <w:lang w:val="en-HK"/>
        </w:rPr>
        <w:lastRenderedPageBreak/>
        <w:t>Assurance</w:t>
      </w:r>
      <w:r w:rsidRPr="000F42A6">
        <w:rPr>
          <w:rFonts w:ascii="Times New Roman" w:hAnsi="Times New Roman"/>
          <w:lang w:val="en-HK"/>
        </w:rPr>
        <w:t xml:space="preserve">: The vague promises, though not specific bequests, </w:t>
      </w:r>
      <w:r w:rsidRPr="000F42A6">
        <w:rPr>
          <w:rFonts w:ascii="Times New Roman" w:hAnsi="Times New Roman"/>
          <w:b/>
          <w:bCs/>
          <w:color w:val="FF0000"/>
          <w:lang w:val="en-HK"/>
        </w:rPr>
        <w:t>created a reasonable expectation of financial security.</w:t>
      </w:r>
    </w:p>
    <w:p w14:paraId="7ECED943"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Reliance and Detriment</w:t>
      </w:r>
      <w:r w:rsidRPr="000F42A6">
        <w:rPr>
          <w:rFonts w:ascii="Times New Roman" w:hAnsi="Times New Roman"/>
          <w:lang w:val="en-HK"/>
        </w:rPr>
        <w:t xml:space="preserve">: Jennings’ unpaid service constituted detrimental reliance, quantifiable by his </w:t>
      </w:r>
      <w:proofErr w:type="spellStart"/>
      <w:r w:rsidRPr="000F42A6">
        <w:rPr>
          <w:rFonts w:ascii="Times New Roman" w:hAnsi="Times New Roman"/>
          <w:lang w:val="en-HK"/>
        </w:rPr>
        <w:t>labor’s</w:t>
      </w:r>
      <w:proofErr w:type="spellEnd"/>
      <w:r w:rsidRPr="000F42A6">
        <w:rPr>
          <w:rFonts w:ascii="Times New Roman" w:hAnsi="Times New Roman"/>
          <w:lang w:val="en-HK"/>
        </w:rPr>
        <w:t xml:space="preserve"> value.</w:t>
      </w:r>
    </w:p>
    <w:p w14:paraId="6071D400"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Unconscionability</w:t>
      </w:r>
      <w:r w:rsidRPr="000F42A6">
        <w:rPr>
          <w:rFonts w:ascii="Times New Roman" w:hAnsi="Times New Roman"/>
          <w:lang w:val="en-HK"/>
        </w:rPr>
        <w:t xml:space="preserve">: Allowing the will to stand would unjustly deny Jennings’ expectation, so equity intervened, overriding the executors’ distribution (Hudson, </w:t>
      </w:r>
      <w:r w:rsidRPr="000F42A6">
        <w:rPr>
          <w:rFonts w:ascii="Times New Roman" w:hAnsi="Times New Roman"/>
          <w:i/>
          <w:iCs/>
          <w:lang w:val="en-HK"/>
        </w:rPr>
        <w:t>Equity and Trusts</w:t>
      </w:r>
      <w:r w:rsidRPr="000F42A6">
        <w:rPr>
          <w:rFonts w:ascii="Times New Roman" w:hAnsi="Times New Roman"/>
          <w:lang w:val="en-HK"/>
        </w:rPr>
        <w:t>, 2009).</w:t>
      </w:r>
    </w:p>
    <w:p w14:paraId="09DEFD2A"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Outcome</w:t>
      </w:r>
      <w:r w:rsidRPr="000F42A6">
        <w:rPr>
          <w:rFonts w:ascii="Times New Roman" w:hAnsi="Times New Roman"/>
          <w:lang w:val="en-HK"/>
        </w:rPr>
        <w:t>: The award reflected his work’s worth, not the full estate, balancing equity with testamentary freedom.</w:t>
      </w:r>
    </w:p>
    <w:p w14:paraId="4AA2DCB8"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Additional Case Law Examples</w:t>
      </w:r>
      <w:r w:rsidRPr="000F42A6">
        <w:rPr>
          <w:rFonts w:ascii="Times New Roman" w:hAnsi="Times New Roman"/>
          <w:lang w:val="en-HK"/>
        </w:rPr>
        <w:t xml:space="preserve">: </w:t>
      </w:r>
    </w:p>
    <w:p w14:paraId="64FA5BFA"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Gillett v Holt [2000] 2 All ER 289</w:t>
      </w:r>
      <w:r w:rsidRPr="000F42A6">
        <w:rPr>
          <w:rFonts w:ascii="Times New Roman" w:hAnsi="Times New Roman"/>
          <w:lang w:val="en-HK"/>
        </w:rPr>
        <w:t xml:space="preserve">: </w:t>
      </w:r>
    </w:p>
    <w:p w14:paraId="73A77D8E"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Facts</w:t>
      </w:r>
      <w:r w:rsidRPr="000F42A6">
        <w:rPr>
          <w:rFonts w:ascii="Times New Roman" w:hAnsi="Times New Roman"/>
          <w:lang w:val="en-HK"/>
        </w:rPr>
        <w:t>: Holt promised Gillett land and a “home for life” over decades, leading Gillett to forgo opportunities. Holt’s will excluded him.</w:t>
      </w:r>
    </w:p>
    <w:p w14:paraId="7B889476"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Held</w:t>
      </w:r>
      <w:r w:rsidRPr="000F42A6">
        <w:rPr>
          <w:rFonts w:ascii="Times New Roman" w:hAnsi="Times New Roman"/>
          <w:lang w:val="en-HK"/>
        </w:rPr>
        <w:t>: The court granted Gillett a proprietary interest, enforcing the promise.</w:t>
      </w:r>
    </w:p>
    <w:p w14:paraId="41B47804"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Reasoning</w:t>
      </w:r>
      <w:r w:rsidRPr="000F42A6">
        <w:rPr>
          <w:rFonts w:ascii="Times New Roman" w:hAnsi="Times New Roman"/>
          <w:lang w:val="en-HK"/>
        </w:rPr>
        <w:t>: Long-term assurances and Gillett’s reliance made exclusion unconscionable.</w:t>
      </w:r>
    </w:p>
    <w:p w14:paraId="436D02C0"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 xml:space="preserve">Campbell v Griffin [2001] EWCA </w:t>
      </w:r>
      <w:proofErr w:type="spellStart"/>
      <w:r w:rsidRPr="000F42A6">
        <w:rPr>
          <w:rFonts w:ascii="Times New Roman" w:hAnsi="Times New Roman"/>
          <w:i/>
          <w:iCs/>
          <w:lang w:val="en-HK"/>
        </w:rPr>
        <w:t>Civ</w:t>
      </w:r>
      <w:proofErr w:type="spellEnd"/>
      <w:r w:rsidRPr="000F42A6">
        <w:rPr>
          <w:rFonts w:ascii="Times New Roman" w:hAnsi="Times New Roman"/>
          <w:i/>
          <w:iCs/>
          <w:lang w:val="en-HK"/>
        </w:rPr>
        <w:t xml:space="preserve"> 990</w:t>
      </w:r>
      <w:r w:rsidRPr="000F42A6">
        <w:rPr>
          <w:rFonts w:ascii="Times New Roman" w:hAnsi="Times New Roman"/>
          <w:lang w:val="en-HK"/>
        </w:rPr>
        <w:t xml:space="preserve"> (Referenced as “a home for life” case): </w:t>
      </w:r>
    </w:p>
    <w:p w14:paraId="480F5CA9"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Facts</w:t>
      </w:r>
      <w:r w:rsidRPr="000F42A6">
        <w:rPr>
          <w:rFonts w:ascii="Times New Roman" w:hAnsi="Times New Roman"/>
          <w:lang w:val="en-HK"/>
        </w:rPr>
        <w:t>: Similar assurances led to caregiving reliance; the will omitted the claimant.</w:t>
      </w:r>
    </w:p>
    <w:p w14:paraId="1062A23A"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Held</w:t>
      </w:r>
      <w:r w:rsidRPr="000F42A6">
        <w:rPr>
          <w:rFonts w:ascii="Times New Roman" w:hAnsi="Times New Roman"/>
          <w:lang w:val="en-HK"/>
        </w:rPr>
        <w:t>: Equity awarded relief, reflecting the testator’s spoken intent.</w:t>
      </w:r>
    </w:p>
    <w:p w14:paraId="32F654F3"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Reasoning</w:t>
      </w:r>
      <w:r w:rsidRPr="000F42A6">
        <w:rPr>
          <w:rFonts w:ascii="Times New Roman" w:hAnsi="Times New Roman"/>
          <w:lang w:val="en-HK"/>
        </w:rPr>
        <w:t>: Detriment tied to the promise justified overriding the will.</w:t>
      </w:r>
    </w:p>
    <w:p w14:paraId="2F25CBDD"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Analysis</w:t>
      </w:r>
      <w:r w:rsidRPr="000F42A6">
        <w:rPr>
          <w:rFonts w:ascii="Times New Roman" w:hAnsi="Times New Roman"/>
          <w:lang w:val="en-HK"/>
        </w:rPr>
        <w:t xml:space="preserve">: </w:t>
      </w:r>
    </w:p>
    <w:p w14:paraId="580AB21A"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t xml:space="preserve">Watkins finds it “remarkable” that the testator’s voice, silenced in formal will disputes, becomes “pertinent” here (Watkins, </w:t>
      </w:r>
      <w:r w:rsidRPr="000F42A6">
        <w:rPr>
          <w:rFonts w:ascii="Times New Roman" w:hAnsi="Times New Roman"/>
          <w:i/>
          <w:iCs/>
          <w:lang w:val="en-HK"/>
        </w:rPr>
        <w:t>The Testator’s Voice</w:t>
      </w:r>
      <w:r w:rsidRPr="000F42A6">
        <w:rPr>
          <w:rFonts w:ascii="Times New Roman" w:hAnsi="Times New Roman"/>
          <w:lang w:val="en-HK"/>
        </w:rPr>
        <w:t>, 2012). Unlike textual interpretation, estoppel prioritizes lifetime conduct and words, reviving intent against a will’s silence.</w:t>
      </w:r>
    </w:p>
    <w:p w14:paraId="43E33E53" w14:textId="4F1DDBC3"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Contrast</w:t>
      </w:r>
      <w:r w:rsidRPr="000F42A6">
        <w:rPr>
          <w:rFonts w:ascii="Times New Roman" w:hAnsi="Times New Roman"/>
          <w:lang w:val="en-HK"/>
        </w:rPr>
        <w:t xml:space="preserve">: This flexibility contrasts with </w:t>
      </w:r>
      <w:r w:rsidRPr="000F42A6">
        <w:rPr>
          <w:rFonts w:ascii="Times New Roman" w:hAnsi="Times New Roman"/>
          <w:i/>
          <w:iCs/>
          <w:lang w:val="en-HK"/>
        </w:rPr>
        <w:t>Re Colling</w:t>
      </w:r>
      <w:r w:rsidRPr="000F42A6">
        <w:rPr>
          <w:rFonts w:ascii="Times New Roman" w:hAnsi="Times New Roman"/>
          <w:lang w:val="en-HK"/>
        </w:rPr>
        <w:t xml:space="preserve">’s formalism or </w:t>
      </w:r>
      <w:proofErr w:type="spellStart"/>
      <w:r w:rsidRPr="000F42A6">
        <w:rPr>
          <w:rFonts w:ascii="Times New Roman" w:hAnsi="Times New Roman"/>
          <w:i/>
          <w:iCs/>
          <w:lang w:val="en-HK"/>
        </w:rPr>
        <w:t>Lambe</w:t>
      </w:r>
      <w:proofErr w:type="spellEnd"/>
      <w:r w:rsidRPr="000F42A6">
        <w:rPr>
          <w:rFonts w:ascii="Times New Roman" w:hAnsi="Times New Roman"/>
          <w:i/>
          <w:iCs/>
          <w:lang w:val="en-HK"/>
        </w:rPr>
        <w:t xml:space="preserve"> v Eames</w:t>
      </w:r>
      <w:r w:rsidRPr="000F42A6">
        <w:rPr>
          <w:rFonts w:ascii="Times New Roman" w:hAnsi="Times New Roman"/>
          <w:lang w:val="en-HK"/>
        </w:rPr>
        <w:t>’s textualism, offering a rare avenue for the testator’s living voice to bind the estate.</w:t>
      </w:r>
    </w:p>
    <w:p w14:paraId="7FDAD1A3" w14:textId="77777777" w:rsidR="000F42A6" w:rsidRPr="000778D3" w:rsidRDefault="000F42A6" w:rsidP="000778D3">
      <w:pPr>
        <w:pBdr>
          <w:bottom w:val="single" w:sz="4" w:space="1" w:color="auto"/>
        </w:pBdr>
        <w:spacing w:after="240" w:line="360" w:lineRule="auto"/>
        <w:outlineLvl w:val="3"/>
        <w:rPr>
          <w:rFonts w:ascii="Times New Roman" w:hAnsi="Times New Roman"/>
          <w:b/>
          <w:bCs/>
          <w:color w:val="FF0000"/>
          <w:lang w:val="en-HK"/>
        </w:rPr>
      </w:pPr>
      <w:r w:rsidRPr="000778D3">
        <w:rPr>
          <w:rFonts w:ascii="Times New Roman" w:hAnsi="Times New Roman"/>
          <w:b/>
          <w:bCs/>
          <w:color w:val="FF0000"/>
          <w:lang w:val="en-HK"/>
        </w:rPr>
        <w:lastRenderedPageBreak/>
        <w:t>Secret Trusts</w:t>
      </w:r>
    </w:p>
    <w:p w14:paraId="08A9521B" w14:textId="77777777" w:rsidR="000F42A6" w:rsidRPr="000778D3" w:rsidRDefault="000F42A6" w:rsidP="000778D3">
      <w:pPr>
        <w:pBdr>
          <w:bottom w:val="single" w:sz="4" w:space="1" w:color="auto"/>
        </w:pBdr>
        <w:spacing w:after="240" w:line="360" w:lineRule="auto"/>
        <w:rPr>
          <w:rFonts w:ascii="Times New Roman" w:hAnsi="Times New Roman"/>
          <w:lang w:val="en-HK"/>
        </w:rPr>
      </w:pPr>
      <w:r w:rsidRPr="000778D3">
        <w:rPr>
          <w:rFonts w:ascii="Times New Roman" w:hAnsi="Times New Roman"/>
          <w:lang w:val="en-HK"/>
        </w:rPr>
        <w:t>This subsection explores secret trusts as another mechanism where the testator’s voice triumphs, allowing covert lifetime intentions to override a will’s public terms, often for private or sensitive purposes.</w:t>
      </w:r>
    </w:p>
    <w:p w14:paraId="62BF7AE5"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Legal Principle</w:t>
      </w:r>
      <w:r w:rsidRPr="000F42A6">
        <w:rPr>
          <w:rFonts w:ascii="Times New Roman" w:hAnsi="Times New Roman"/>
          <w:lang w:val="en-HK"/>
        </w:rPr>
        <w:t xml:space="preserve">: </w:t>
      </w:r>
    </w:p>
    <w:p w14:paraId="66DAA005"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Definition</w:t>
      </w:r>
      <w:r w:rsidRPr="000F42A6">
        <w:rPr>
          <w:rFonts w:ascii="Times New Roman" w:hAnsi="Times New Roman"/>
          <w:lang w:val="en-HK"/>
        </w:rPr>
        <w:t xml:space="preserve">: Secret trusts occur when a testator bequeaths property to a legatee with an undisclosed intent to benefit a third party. Fully secret trusts appear as outright gifts; half-secret trusts hint at a trust without terms (Hudson, </w:t>
      </w:r>
      <w:r w:rsidRPr="000F42A6">
        <w:rPr>
          <w:rFonts w:ascii="Times New Roman" w:hAnsi="Times New Roman"/>
          <w:i/>
          <w:iCs/>
          <w:lang w:val="en-HK"/>
        </w:rPr>
        <w:t>Equity and Trusts</w:t>
      </w:r>
      <w:r w:rsidRPr="000F42A6">
        <w:rPr>
          <w:rFonts w:ascii="Times New Roman" w:hAnsi="Times New Roman"/>
          <w:lang w:val="en-HK"/>
        </w:rPr>
        <w:t>, 2009).</w:t>
      </w:r>
    </w:p>
    <w:p w14:paraId="6C39D12E"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Requirements</w:t>
      </w:r>
      <w:r w:rsidRPr="000F42A6">
        <w:rPr>
          <w:rFonts w:ascii="Times New Roman" w:hAnsi="Times New Roman"/>
          <w:lang w:val="en-HK"/>
        </w:rPr>
        <w:t xml:space="preserve">: The testator must communicate the intent (orally or in writing) and the legatee must accept it before death; courts enforce this outside the </w:t>
      </w:r>
      <w:r w:rsidRPr="000F42A6">
        <w:rPr>
          <w:rFonts w:ascii="Times New Roman" w:hAnsi="Times New Roman"/>
          <w:i/>
          <w:iCs/>
          <w:lang w:val="en-HK"/>
        </w:rPr>
        <w:t>Wills Act</w:t>
      </w:r>
      <w:r w:rsidRPr="000F42A6">
        <w:rPr>
          <w:rFonts w:ascii="Times New Roman" w:hAnsi="Times New Roman"/>
          <w:lang w:val="en-HK"/>
        </w:rPr>
        <w:t xml:space="preserve"> (Watkins, </w:t>
      </w:r>
      <w:r w:rsidRPr="000F42A6">
        <w:rPr>
          <w:rFonts w:ascii="Times New Roman" w:hAnsi="Times New Roman"/>
          <w:i/>
          <w:iCs/>
          <w:lang w:val="en-HK"/>
        </w:rPr>
        <w:t>The Testator’s Voice</w:t>
      </w:r>
      <w:r w:rsidRPr="000F42A6">
        <w:rPr>
          <w:rFonts w:ascii="Times New Roman" w:hAnsi="Times New Roman"/>
          <w:lang w:val="en-HK"/>
        </w:rPr>
        <w:t>, 2012).</w:t>
      </w:r>
    </w:p>
    <w:p w14:paraId="011ACB19"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Purpose</w:t>
      </w:r>
      <w:r w:rsidRPr="000F42A6">
        <w:rPr>
          <w:rFonts w:ascii="Times New Roman" w:hAnsi="Times New Roman"/>
          <w:lang w:val="en-HK"/>
        </w:rPr>
        <w:t xml:space="preserve">: Often used for discreet bequests, e.g., to illegitimate children, avoiding public disclosure (Hudson, </w:t>
      </w:r>
      <w:r w:rsidRPr="000F42A6">
        <w:rPr>
          <w:rFonts w:ascii="Times New Roman" w:hAnsi="Times New Roman"/>
          <w:i/>
          <w:iCs/>
          <w:lang w:val="en-HK"/>
        </w:rPr>
        <w:t>Equity and Trusts</w:t>
      </w:r>
      <w:r w:rsidRPr="000F42A6">
        <w:rPr>
          <w:rFonts w:ascii="Times New Roman" w:hAnsi="Times New Roman"/>
          <w:lang w:val="en-HK"/>
        </w:rPr>
        <w:t>, 2009).</w:t>
      </w:r>
    </w:p>
    <w:p w14:paraId="7BEE3B72"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Conceptual Basis</w:t>
      </w:r>
      <w:r w:rsidRPr="000F42A6">
        <w:rPr>
          <w:rFonts w:ascii="Times New Roman" w:hAnsi="Times New Roman"/>
          <w:lang w:val="en-HK"/>
        </w:rPr>
        <w:t xml:space="preserve">: </w:t>
      </w:r>
    </w:p>
    <w:p w14:paraId="7D6B7B8C" w14:textId="77777777" w:rsidR="000F42A6" w:rsidRPr="000F42A6" w:rsidRDefault="000F42A6" w:rsidP="000778D3">
      <w:pPr>
        <w:pBdr>
          <w:bottom w:val="single" w:sz="4" w:space="1" w:color="auto"/>
        </w:pBdr>
        <w:spacing w:after="240" w:line="360" w:lineRule="auto"/>
        <w:rPr>
          <w:rFonts w:ascii="Times New Roman" w:hAnsi="Times New Roman"/>
          <w:b/>
          <w:bCs/>
          <w:lang w:val="en-HK"/>
        </w:rPr>
      </w:pPr>
      <w:r w:rsidRPr="000F42A6">
        <w:rPr>
          <w:rFonts w:ascii="Times New Roman" w:hAnsi="Times New Roman"/>
          <w:b/>
          <w:bCs/>
          <w:i/>
          <w:iCs/>
          <w:lang w:val="en-HK"/>
        </w:rPr>
        <w:t>Fully Secret Trust Example</w:t>
      </w:r>
      <w:r w:rsidRPr="000F42A6">
        <w:rPr>
          <w:rFonts w:ascii="Times New Roman" w:hAnsi="Times New Roman"/>
          <w:b/>
          <w:bCs/>
          <w:lang w:val="en-HK"/>
        </w:rPr>
        <w:t>: A will gifts £10,000 to “John,” but the testator privately instructs John to hold it for “Mary.” If John agrees pre-death, equity enforces Mary’s benefit.</w:t>
      </w:r>
    </w:p>
    <w:p w14:paraId="1F6FAE43" w14:textId="77777777" w:rsidR="000F42A6" w:rsidRPr="000F42A6" w:rsidRDefault="000F42A6" w:rsidP="000778D3">
      <w:pPr>
        <w:pBdr>
          <w:bottom w:val="single" w:sz="4" w:space="1" w:color="auto"/>
        </w:pBdr>
        <w:spacing w:after="240" w:line="360" w:lineRule="auto"/>
        <w:rPr>
          <w:rFonts w:ascii="Times New Roman" w:hAnsi="Times New Roman"/>
          <w:b/>
          <w:bCs/>
          <w:lang w:val="en-HK"/>
        </w:rPr>
      </w:pPr>
      <w:r w:rsidRPr="000F42A6">
        <w:rPr>
          <w:rFonts w:ascii="Times New Roman" w:hAnsi="Times New Roman"/>
          <w:b/>
          <w:bCs/>
          <w:i/>
          <w:iCs/>
          <w:lang w:val="en-HK"/>
        </w:rPr>
        <w:t>Half-Secret Trust Example</w:t>
      </w:r>
      <w:r w:rsidRPr="000F42A6">
        <w:rPr>
          <w:rFonts w:ascii="Times New Roman" w:hAnsi="Times New Roman"/>
          <w:b/>
          <w:bCs/>
          <w:lang w:val="en-HK"/>
        </w:rPr>
        <w:t>: A will states “to John on trust,” with oral instructions to benefit Mary, upheld similarly.</w:t>
      </w:r>
    </w:p>
    <w:p w14:paraId="1A7CF252"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Rationale Debate</w:t>
      </w:r>
      <w:r w:rsidRPr="000F42A6">
        <w:rPr>
          <w:rFonts w:ascii="Times New Roman" w:hAnsi="Times New Roman"/>
          <w:lang w:val="en-HK"/>
        </w:rPr>
        <w:t xml:space="preserve">: </w:t>
      </w:r>
    </w:p>
    <w:p w14:paraId="4668ED2F"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t xml:space="preserve">Traditionally viewed as express trusts outside the will, avoiding </w:t>
      </w:r>
      <w:r w:rsidRPr="000F42A6">
        <w:rPr>
          <w:rFonts w:ascii="Times New Roman" w:hAnsi="Times New Roman"/>
          <w:i/>
          <w:iCs/>
          <w:lang w:val="en-HK"/>
        </w:rPr>
        <w:t>Wills Act</w:t>
      </w:r>
      <w:r w:rsidRPr="000F42A6">
        <w:rPr>
          <w:rFonts w:ascii="Times New Roman" w:hAnsi="Times New Roman"/>
          <w:lang w:val="en-HK"/>
        </w:rPr>
        <w:t xml:space="preserve"> formalities (Hudson, </w:t>
      </w:r>
      <w:r w:rsidRPr="000F42A6">
        <w:rPr>
          <w:rFonts w:ascii="Times New Roman" w:hAnsi="Times New Roman"/>
          <w:i/>
          <w:iCs/>
          <w:lang w:val="en-HK"/>
        </w:rPr>
        <w:t>Equity and Trusts</w:t>
      </w:r>
      <w:r w:rsidRPr="000F42A6">
        <w:rPr>
          <w:rFonts w:ascii="Times New Roman" w:hAnsi="Times New Roman"/>
          <w:lang w:val="en-HK"/>
        </w:rPr>
        <w:t>, 2009).</w:t>
      </w:r>
    </w:p>
    <w:p w14:paraId="42600329"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t xml:space="preserve">Alternative theories suggest fraud prevention or constructive trusts, though Watkins sidesteps this “long contention” as beyond scope (Watkins, </w:t>
      </w:r>
      <w:r w:rsidRPr="000F42A6">
        <w:rPr>
          <w:rFonts w:ascii="Times New Roman" w:hAnsi="Times New Roman"/>
          <w:i/>
          <w:iCs/>
          <w:lang w:val="en-HK"/>
        </w:rPr>
        <w:t>The Testator’s Voice</w:t>
      </w:r>
      <w:r w:rsidRPr="000F42A6">
        <w:rPr>
          <w:rFonts w:ascii="Times New Roman" w:hAnsi="Times New Roman"/>
          <w:lang w:val="en-HK"/>
        </w:rPr>
        <w:t>, 2012).</w:t>
      </w:r>
    </w:p>
    <w:p w14:paraId="786602A0"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Scholar’s Opinion</w:t>
      </w:r>
      <w:r w:rsidRPr="000F42A6">
        <w:rPr>
          <w:rFonts w:ascii="Times New Roman" w:hAnsi="Times New Roman"/>
          <w:lang w:val="en-HK"/>
        </w:rPr>
        <w:t xml:space="preserve">: </w:t>
      </w:r>
    </w:p>
    <w:p w14:paraId="7C7F9FF2"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lastRenderedPageBreak/>
        <w:t xml:space="preserve">Hudson calls secret trusts “almost as exciting as its name suggests,” noting their appeal for private bequests (Hudson, </w:t>
      </w:r>
      <w:r w:rsidRPr="000F42A6">
        <w:rPr>
          <w:rFonts w:ascii="Times New Roman" w:hAnsi="Times New Roman"/>
          <w:i/>
          <w:iCs/>
          <w:lang w:val="en-HK"/>
        </w:rPr>
        <w:t>Equity and Trusts</w:t>
      </w:r>
      <w:r w:rsidRPr="000F42A6">
        <w:rPr>
          <w:rFonts w:ascii="Times New Roman" w:hAnsi="Times New Roman"/>
          <w:lang w:val="en-HK"/>
        </w:rPr>
        <w:t xml:space="preserve">, 2009). Watkins shares this “excitement,” as they uniquely let the “living voice triumph” over text (Watkins, </w:t>
      </w:r>
      <w:r w:rsidRPr="000F42A6">
        <w:rPr>
          <w:rFonts w:ascii="Times New Roman" w:hAnsi="Times New Roman"/>
          <w:i/>
          <w:iCs/>
          <w:lang w:val="en-HK"/>
        </w:rPr>
        <w:t>The Testator’s Voice</w:t>
      </w:r>
      <w:r w:rsidRPr="000F42A6">
        <w:rPr>
          <w:rFonts w:ascii="Times New Roman" w:hAnsi="Times New Roman"/>
          <w:lang w:val="en-HK"/>
        </w:rPr>
        <w:t>, 2012).</w:t>
      </w:r>
    </w:p>
    <w:p w14:paraId="4727EF70"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t xml:space="preserve">Barlow et al. affirm their enforcement, emphasizing communication and acceptance as key (Barlow et al., </w:t>
      </w:r>
      <w:r w:rsidRPr="000F42A6">
        <w:rPr>
          <w:rFonts w:ascii="Times New Roman" w:hAnsi="Times New Roman"/>
          <w:i/>
          <w:iCs/>
          <w:lang w:val="en-HK"/>
        </w:rPr>
        <w:t>Williams on Wills</w:t>
      </w:r>
      <w:r w:rsidRPr="000F42A6">
        <w:rPr>
          <w:rFonts w:ascii="Times New Roman" w:hAnsi="Times New Roman"/>
          <w:lang w:val="en-HK"/>
        </w:rPr>
        <w:t>, 2008).</w:t>
      </w:r>
    </w:p>
    <w:p w14:paraId="62198483"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Analysis</w:t>
      </w:r>
      <w:r w:rsidRPr="000F42A6">
        <w:rPr>
          <w:rFonts w:ascii="Times New Roman" w:hAnsi="Times New Roman"/>
          <w:lang w:val="en-HK"/>
        </w:rPr>
        <w:t xml:space="preserve">: </w:t>
      </w:r>
    </w:p>
    <w:p w14:paraId="07FD73DA"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i/>
          <w:iCs/>
          <w:color w:val="FF0000"/>
          <w:lang w:val="en-HK"/>
        </w:rPr>
        <w:t>Revival Mechanism</w:t>
      </w:r>
      <w:r w:rsidRPr="000F42A6">
        <w:rPr>
          <w:rFonts w:ascii="Times New Roman" w:hAnsi="Times New Roman"/>
          <w:b/>
          <w:bCs/>
          <w:color w:val="FF0000"/>
          <w:lang w:val="en-HK"/>
        </w:rPr>
        <w:t>: Watkins highlights that secret trusts rely on the testator’s pre-death voice—spoken or written informally—overriding the will’s face</w:t>
      </w:r>
      <w:r w:rsidRPr="000F42A6">
        <w:rPr>
          <w:rFonts w:ascii="Times New Roman" w:hAnsi="Times New Roman"/>
          <w:lang w:val="en-HK"/>
        </w:rPr>
        <w:t xml:space="preserve">. This “dying wish” prevails, unlike textual constraints in </w:t>
      </w:r>
      <w:r w:rsidRPr="000F42A6">
        <w:rPr>
          <w:rFonts w:ascii="Times New Roman" w:hAnsi="Times New Roman"/>
          <w:i/>
          <w:iCs/>
          <w:lang w:val="en-HK"/>
        </w:rPr>
        <w:t>Re Steele</w:t>
      </w:r>
      <w:r w:rsidRPr="000F42A6">
        <w:rPr>
          <w:rFonts w:ascii="Times New Roman" w:hAnsi="Times New Roman"/>
          <w:lang w:val="en-HK"/>
        </w:rPr>
        <w:t xml:space="preserve"> or statutory overrides in </w:t>
      </w:r>
      <w:r w:rsidRPr="000F42A6">
        <w:rPr>
          <w:rFonts w:ascii="Times New Roman" w:hAnsi="Times New Roman"/>
          <w:i/>
          <w:iCs/>
          <w:lang w:val="en-HK"/>
        </w:rPr>
        <w:t>Goulding v James</w:t>
      </w:r>
      <w:r w:rsidRPr="000F42A6">
        <w:rPr>
          <w:rFonts w:ascii="Times New Roman" w:hAnsi="Times New Roman"/>
          <w:lang w:val="en-HK"/>
        </w:rPr>
        <w:t xml:space="preserve"> (Watkins, </w:t>
      </w:r>
      <w:r w:rsidRPr="000F42A6">
        <w:rPr>
          <w:rFonts w:ascii="Times New Roman" w:hAnsi="Times New Roman"/>
          <w:i/>
          <w:iCs/>
          <w:lang w:val="en-HK"/>
        </w:rPr>
        <w:t>The Testator’s Voice</w:t>
      </w:r>
      <w:r w:rsidRPr="000F42A6">
        <w:rPr>
          <w:rFonts w:ascii="Times New Roman" w:hAnsi="Times New Roman"/>
          <w:lang w:val="en-HK"/>
        </w:rPr>
        <w:t>, 2012).</w:t>
      </w:r>
    </w:p>
    <w:p w14:paraId="21523901"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Practical Use</w:t>
      </w:r>
      <w:r w:rsidRPr="000F42A6">
        <w:rPr>
          <w:rFonts w:ascii="Times New Roman" w:hAnsi="Times New Roman"/>
          <w:lang w:val="en-HK"/>
        </w:rPr>
        <w:t xml:space="preserve">: The example of illegitimate children underscores privacy, allowing intent to persist beyond public scrutiny, a stark contrast to </w:t>
      </w:r>
      <w:r w:rsidRPr="000F42A6">
        <w:rPr>
          <w:rFonts w:ascii="Times New Roman" w:hAnsi="Times New Roman"/>
          <w:i/>
          <w:iCs/>
          <w:lang w:val="en-HK"/>
        </w:rPr>
        <w:t>Re Shaw</w:t>
      </w:r>
      <w:r w:rsidRPr="000F42A6">
        <w:rPr>
          <w:rFonts w:ascii="Times New Roman" w:hAnsi="Times New Roman"/>
          <w:lang w:val="en-HK"/>
        </w:rPr>
        <w:t>’s invalidated purpose trust.</w:t>
      </w:r>
    </w:p>
    <w:p w14:paraId="3F6ED4B6" w14:textId="63CB169F"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Contrast with Formalism</w:t>
      </w:r>
      <w:r w:rsidRPr="000F42A6">
        <w:rPr>
          <w:rFonts w:ascii="Times New Roman" w:hAnsi="Times New Roman"/>
          <w:lang w:val="en-HK"/>
        </w:rPr>
        <w:t xml:space="preserve">: Unlike </w:t>
      </w:r>
      <w:r w:rsidRPr="000F42A6">
        <w:rPr>
          <w:rFonts w:ascii="Times New Roman" w:hAnsi="Times New Roman"/>
          <w:i/>
          <w:iCs/>
          <w:lang w:val="en-HK"/>
        </w:rPr>
        <w:t>Re Colling</w:t>
      </w:r>
      <w:r w:rsidRPr="000F42A6">
        <w:rPr>
          <w:rFonts w:ascii="Times New Roman" w:hAnsi="Times New Roman"/>
          <w:lang w:val="en-HK"/>
        </w:rPr>
        <w:t>’s rigid adherence to s 9, secret trusts bypass formalities, reviving the testator’s intent through equitable intervention.</w:t>
      </w:r>
    </w:p>
    <w:p w14:paraId="19E32C47"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Detailed Analysis</w:t>
      </w:r>
      <w:r w:rsidRPr="000F42A6">
        <w:rPr>
          <w:rFonts w:ascii="Times New Roman" w:hAnsi="Times New Roman"/>
          <w:lang w:val="en-HK"/>
        </w:rPr>
        <w:t xml:space="preserve">: </w:t>
      </w:r>
    </w:p>
    <w:p w14:paraId="3B265152"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Voice Revived</w:t>
      </w:r>
      <w:r w:rsidRPr="000F42A6">
        <w:rPr>
          <w:rFonts w:ascii="Times New Roman" w:hAnsi="Times New Roman"/>
          <w:lang w:val="en-HK"/>
        </w:rPr>
        <w:t>: Watkins contrasts these doctrines with prior silencing—formalities (</w:t>
      </w:r>
      <w:r w:rsidRPr="000F42A6">
        <w:rPr>
          <w:rFonts w:ascii="Times New Roman" w:hAnsi="Times New Roman"/>
          <w:i/>
          <w:iCs/>
          <w:lang w:val="en-HK"/>
        </w:rPr>
        <w:t>Re Colling</w:t>
      </w:r>
      <w:r w:rsidRPr="000F42A6">
        <w:rPr>
          <w:rFonts w:ascii="Times New Roman" w:hAnsi="Times New Roman"/>
          <w:lang w:val="en-HK"/>
        </w:rPr>
        <w:t>), textualism (</w:t>
      </w:r>
      <w:proofErr w:type="spellStart"/>
      <w:r w:rsidRPr="000F42A6">
        <w:rPr>
          <w:rFonts w:ascii="Times New Roman" w:hAnsi="Times New Roman"/>
          <w:i/>
          <w:iCs/>
          <w:lang w:val="en-HK"/>
        </w:rPr>
        <w:t>Lambe</w:t>
      </w:r>
      <w:proofErr w:type="spellEnd"/>
      <w:r w:rsidRPr="000F42A6">
        <w:rPr>
          <w:rFonts w:ascii="Times New Roman" w:hAnsi="Times New Roman"/>
          <w:i/>
          <w:iCs/>
          <w:lang w:val="en-HK"/>
        </w:rPr>
        <w:t xml:space="preserve"> v Eames</w:t>
      </w:r>
      <w:r w:rsidRPr="000F42A6">
        <w:rPr>
          <w:rFonts w:ascii="Times New Roman" w:hAnsi="Times New Roman"/>
          <w:lang w:val="en-HK"/>
        </w:rPr>
        <w:t>), and overrides (</w:t>
      </w:r>
      <w:r w:rsidRPr="000F42A6">
        <w:rPr>
          <w:rFonts w:ascii="Times New Roman" w:hAnsi="Times New Roman"/>
          <w:i/>
          <w:iCs/>
          <w:lang w:val="en-HK"/>
        </w:rPr>
        <w:t xml:space="preserve">Saunders v </w:t>
      </w:r>
      <w:proofErr w:type="spellStart"/>
      <w:r w:rsidRPr="000F42A6">
        <w:rPr>
          <w:rFonts w:ascii="Times New Roman" w:hAnsi="Times New Roman"/>
          <w:i/>
          <w:iCs/>
          <w:lang w:val="en-HK"/>
        </w:rPr>
        <w:t>Vautier</w:t>
      </w:r>
      <w:proofErr w:type="spellEnd"/>
      <w:r w:rsidRPr="000F42A6">
        <w:rPr>
          <w:rFonts w:ascii="Times New Roman" w:hAnsi="Times New Roman"/>
          <w:lang w:val="en-HK"/>
        </w:rPr>
        <w:t xml:space="preserve">). Estoppel and secret trusts “recall and rely upon” the testator’s living voice, aligning with Hardy’s haunting call for attention (Watkins, </w:t>
      </w:r>
      <w:r w:rsidRPr="000F42A6">
        <w:rPr>
          <w:rFonts w:ascii="Times New Roman" w:hAnsi="Times New Roman"/>
          <w:i/>
          <w:iCs/>
          <w:lang w:val="en-HK"/>
        </w:rPr>
        <w:t>The Testator’s Voice</w:t>
      </w:r>
      <w:r w:rsidRPr="000F42A6">
        <w:rPr>
          <w:rFonts w:ascii="Times New Roman" w:hAnsi="Times New Roman"/>
          <w:lang w:val="en-HK"/>
        </w:rPr>
        <w:t>, 2012).</w:t>
      </w:r>
    </w:p>
    <w:p w14:paraId="480A931A"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Limits</w:t>
      </w:r>
      <w:r w:rsidRPr="000F42A6">
        <w:rPr>
          <w:rFonts w:ascii="Times New Roman" w:hAnsi="Times New Roman"/>
          <w:lang w:val="en-HK"/>
        </w:rPr>
        <w:t>: Both are exceptional—estoppel requires reliance and unconscionability, secret trusts need pre-death agreement—limiting their scope against systemic disregard (e.g., IPFDA claims).</w:t>
      </w:r>
    </w:p>
    <w:p w14:paraId="58BA1DE4"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i/>
          <w:iCs/>
          <w:lang w:val="en-HK"/>
        </w:rPr>
        <w:t>Moral Resonance</w:t>
      </w:r>
      <w:r w:rsidRPr="000F42A6">
        <w:rPr>
          <w:rFonts w:ascii="Times New Roman" w:hAnsi="Times New Roman"/>
          <w:lang w:val="en-HK"/>
        </w:rPr>
        <w:t xml:space="preserve">: Echoing </w:t>
      </w:r>
      <w:r w:rsidRPr="000F42A6">
        <w:rPr>
          <w:rFonts w:ascii="Times New Roman" w:hAnsi="Times New Roman"/>
          <w:i/>
          <w:iCs/>
          <w:lang w:val="en-HK"/>
        </w:rPr>
        <w:t>“A Failure to Honor the Voice”</w:t>
      </w:r>
      <w:r w:rsidRPr="000F42A6">
        <w:rPr>
          <w:rFonts w:ascii="Times New Roman" w:hAnsi="Times New Roman"/>
          <w:lang w:val="en-HK"/>
        </w:rPr>
        <w:t xml:space="preserve">, these mechanisms reflect Hardy’s regretful plea, </w:t>
      </w:r>
      <w:proofErr w:type="spellStart"/>
      <w:r w:rsidRPr="000F42A6">
        <w:rPr>
          <w:rFonts w:ascii="Times New Roman" w:hAnsi="Times New Roman"/>
          <w:lang w:val="en-HK"/>
        </w:rPr>
        <w:t>honoring</w:t>
      </w:r>
      <w:proofErr w:type="spellEnd"/>
      <w:r w:rsidRPr="000F42A6">
        <w:rPr>
          <w:rFonts w:ascii="Times New Roman" w:hAnsi="Times New Roman"/>
          <w:lang w:val="en-HK"/>
        </w:rPr>
        <w:t xml:space="preserve"> intent where law typically does not, though their rarity underscores the broader silencing critique.</w:t>
      </w:r>
    </w:p>
    <w:p w14:paraId="77199EAC"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Contextual Link</w:t>
      </w:r>
      <w:r w:rsidRPr="000F42A6">
        <w:rPr>
          <w:rFonts w:ascii="Times New Roman" w:hAnsi="Times New Roman"/>
          <w:lang w:val="en-HK"/>
        </w:rPr>
        <w:t xml:space="preserve">: </w:t>
      </w:r>
    </w:p>
    <w:p w14:paraId="2CE92D70"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lang w:val="en-HK"/>
        </w:rPr>
        <w:lastRenderedPageBreak/>
        <w:t xml:space="preserve">Following </w:t>
      </w:r>
      <w:r w:rsidRPr="000F42A6">
        <w:rPr>
          <w:rFonts w:ascii="Times New Roman" w:hAnsi="Times New Roman"/>
          <w:i/>
          <w:iCs/>
          <w:lang w:val="en-HK"/>
        </w:rPr>
        <w:t>“The Defeat of the Testator’s Wishes”</w:t>
      </w:r>
      <w:r w:rsidRPr="000F42A6">
        <w:rPr>
          <w:rFonts w:ascii="Times New Roman" w:hAnsi="Times New Roman"/>
          <w:lang w:val="en-HK"/>
        </w:rPr>
        <w:t xml:space="preserve">, this section offers relief from intent’s erosion, contrasting automatic revocations, beneficiary variations, and external claims with instances where the testator’s voice persists. It precedes the </w:t>
      </w:r>
      <w:r w:rsidRPr="000F42A6">
        <w:rPr>
          <w:rFonts w:ascii="Times New Roman" w:hAnsi="Times New Roman"/>
          <w:i/>
          <w:iCs/>
          <w:lang w:val="en-HK"/>
        </w:rPr>
        <w:t>Conclusion</w:t>
      </w:r>
      <w:r w:rsidRPr="000F42A6">
        <w:rPr>
          <w:rFonts w:ascii="Times New Roman" w:hAnsi="Times New Roman"/>
          <w:lang w:val="en-HK"/>
        </w:rPr>
        <w:t xml:space="preserve">, framing these as outliers in a silencing system (Watkins, </w:t>
      </w:r>
      <w:r w:rsidRPr="000F42A6">
        <w:rPr>
          <w:rFonts w:ascii="Times New Roman" w:hAnsi="Times New Roman"/>
          <w:i/>
          <w:iCs/>
          <w:lang w:val="en-HK"/>
        </w:rPr>
        <w:t>The Testator’s Voice</w:t>
      </w:r>
      <w:r w:rsidRPr="000F42A6">
        <w:rPr>
          <w:rFonts w:ascii="Times New Roman" w:hAnsi="Times New Roman"/>
          <w:lang w:val="en-HK"/>
        </w:rPr>
        <w:t>, 2012).</w:t>
      </w:r>
    </w:p>
    <w:p w14:paraId="0880EC65"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lang w:val="en-HK"/>
        </w:rPr>
        <w:t>Conclusion</w:t>
      </w:r>
      <w:r w:rsidRPr="000F42A6">
        <w:rPr>
          <w:rFonts w:ascii="Times New Roman" w:hAnsi="Times New Roman"/>
          <w:lang w:val="en-HK"/>
        </w:rPr>
        <w:t xml:space="preserve">: </w:t>
      </w:r>
    </w:p>
    <w:p w14:paraId="54F995D6" w14:textId="77777777" w:rsidR="000F42A6" w:rsidRPr="000F42A6" w:rsidRDefault="000F42A6" w:rsidP="000778D3">
      <w:pPr>
        <w:pBdr>
          <w:bottom w:val="single" w:sz="4" w:space="1" w:color="auto"/>
        </w:pBdr>
        <w:spacing w:after="240" w:line="360" w:lineRule="auto"/>
        <w:rPr>
          <w:rFonts w:ascii="Times New Roman" w:hAnsi="Times New Roman"/>
          <w:lang w:val="en-HK"/>
        </w:rPr>
      </w:pPr>
      <w:r w:rsidRPr="000F42A6">
        <w:rPr>
          <w:rFonts w:ascii="Times New Roman" w:hAnsi="Times New Roman"/>
          <w:b/>
          <w:bCs/>
          <w:color w:val="FF0000"/>
          <w:lang w:val="en-HK"/>
        </w:rPr>
        <w:t>Watkins presents proprietary estoppel and secret trusts as rare revivals of the testator’s voice, where lifetime expressions—spoken assurances or secret instructions—override a will’s text.</w:t>
      </w:r>
      <w:r w:rsidRPr="000F42A6">
        <w:rPr>
          <w:rFonts w:ascii="Times New Roman" w:hAnsi="Times New Roman"/>
          <w:color w:val="FF0000"/>
          <w:lang w:val="en-HK"/>
        </w:rPr>
        <w:t xml:space="preserve"> </w:t>
      </w:r>
      <w:r w:rsidRPr="000F42A6">
        <w:rPr>
          <w:rFonts w:ascii="Times New Roman" w:hAnsi="Times New Roman"/>
          <w:lang w:val="en-HK"/>
        </w:rPr>
        <w:t xml:space="preserve">Cases like </w:t>
      </w:r>
      <w:r w:rsidRPr="000F42A6">
        <w:rPr>
          <w:rFonts w:ascii="Times New Roman" w:hAnsi="Times New Roman"/>
          <w:i/>
          <w:iCs/>
          <w:lang w:val="en-HK"/>
        </w:rPr>
        <w:t>Jennings v Rice</w:t>
      </w:r>
      <w:r w:rsidRPr="000F42A6">
        <w:rPr>
          <w:rFonts w:ascii="Times New Roman" w:hAnsi="Times New Roman"/>
          <w:lang w:val="en-HK"/>
        </w:rPr>
        <w:t xml:space="preserve"> and the secret trust framework illustrate equity’s power to </w:t>
      </w:r>
      <w:proofErr w:type="spellStart"/>
      <w:r w:rsidRPr="000F42A6">
        <w:rPr>
          <w:rFonts w:ascii="Times New Roman" w:hAnsi="Times New Roman"/>
          <w:lang w:val="en-HK"/>
        </w:rPr>
        <w:t>honor</w:t>
      </w:r>
      <w:proofErr w:type="spellEnd"/>
      <w:r w:rsidRPr="000F42A6">
        <w:rPr>
          <w:rFonts w:ascii="Times New Roman" w:hAnsi="Times New Roman"/>
          <w:lang w:val="en-HK"/>
        </w:rPr>
        <w:t xml:space="preserve"> intent, a limited but poignant counter to the legal mechanisms silencing it elsewhere.</w:t>
      </w:r>
    </w:p>
    <w:p w14:paraId="05F626F6" w14:textId="7FC8F4E9" w:rsidR="000F42A6" w:rsidRPr="000F42A6" w:rsidRDefault="000F42A6" w:rsidP="000778D3">
      <w:pPr>
        <w:pBdr>
          <w:bottom w:val="single" w:sz="4" w:space="1" w:color="auto"/>
        </w:pBdr>
        <w:spacing w:after="240" w:line="360" w:lineRule="auto"/>
        <w:rPr>
          <w:rFonts w:ascii="Times New Roman" w:hAnsi="Times New Roman"/>
          <w:lang w:val="en-HK"/>
        </w:rPr>
      </w:pPr>
    </w:p>
    <w:p w14:paraId="258DCACD" w14:textId="77777777" w:rsidR="00BC623B" w:rsidRPr="000778D3" w:rsidRDefault="00BC623B" w:rsidP="000778D3">
      <w:pPr>
        <w:pBdr>
          <w:bottom w:val="single" w:sz="4" w:space="1" w:color="auto"/>
        </w:pBdr>
        <w:spacing w:after="240" w:line="360" w:lineRule="auto"/>
        <w:rPr>
          <w:rFonts w:hint="eastAsia"/>
        </w:rPr>
      </w:pPr>
    </w:p>
    <w:sectPr w:rsidR="00BC623B" w:rsidRPr="00077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E04C4"/>
    <w:multiLevelType w:val="multilevel"/>
    <w:tmpl w:val="E786A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56311"/>
    <w:multiLevelType w:val="multilevel"/>
    <w:tmpl w:val="84985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560F5"/>
    <w:multiLevelType w:val="multilevel"/>
    <w:tmpl w:val="1B3878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B7B89"/>
    <w:multiLevelType w:val="multilevel"/>
    <w:tmpl w:val="8952B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E6FD2"/>
    <w:multiLevelType w:val="multilevel"/>
    <w:tmpl w:val="1EA29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52141"/>
    <w:multiLevelType w:val="multilevel"/>
    <w:tmpl w:val="1A4AD86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1234212"/>
    <w:multiLevelType w:val="multilevel"/>
    <w:tmpl w:val="D5663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B18D6"/>
    <w:multiLevelType w:val="multilevel"/>
    <w:tmpl w:val="BB10C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859E2"/>
    <w:multiLevelType w:val="multilevel"/>
    <w:tmpl w:val="801C494E"/>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FC05AA2"/>
    <w:multiLevelType w:val="multilevel"/>
    <w:tmpl w:val="6E5A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45563"/>
    <w:multiLevelType w:val="multilevel"/>
    <w:tmpl w:val="E06AE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75C31"/>
    <w:multiLevelType w:val="multilevel"/>
    <w:tmpl w:val="FE98A13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49C5538"/>
    <w:multiLevelType w:val="multilevel"/>
    <w:tmpl w:val="1DBE6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E5DAB"/>
    <w:multiLevelType w:val="multilevel"/>
    <w:tmpl w:val="BB10C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F6DB3"/>
    <w:multiLevelType w:val="multilevel"/>
    <w:tmpl w:val="DFEAB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215867">
    <w:abstractNumId w:val="9"/>
  </w:num>
  <w:num w:numId="2" w16cid:durableId="1709719915">
    <w:abstractNumId w:val="2"/>
  </w:num>
  <w:num w:numId="3" w16cid:durableId="1313289461">
    <w:abstractNumId w:val="14"/>
  </w:num>
  <w:num w:numId="4" w16cid:durableId="745348867">
    <w:abstractNumId w:val="3"/>
  </w:num>
  <w:num w:numId="5" w16cid:durableId="19599056">
    <w:abstractNumId w:val="13"/>
  </w:num>
  <w:num w:numId="6" w16cid:durableId="473061107">
    <w:abstractNumId w:val="12"/>
  </w:num>
  <w:num w:numId="7" w16cid:durableId="1736314706">
    <w:abstractNumId w:val="8"/>
  </w:num>
  <w:num w:numId="8" w16cid:durableId="701248050">
    <w:abstractNumId w:val="10"/>
  </w:num>
  <w:num w:numId="9" w16cid:durableId="1494831072">
    <w:abstractNumId w:val="6"/>
  </w:num>
  <w:num w:numId="10" w16cid:durableId="338655394">
    <w:abstractNumId w:val="11"/>
  </w:num>
  <w:num w:numId="11" w16cid:durableId="358624631">
    <w:abstractNumId w:val="7"/>
  </w:num>
  <w:num w:numId="12" w16cid:durableId="786436985">
    <w:abstractNumId w:val="0"/>
  </w:num>
  <w:num w:numId="13" w16cid:durableId="428698946">
    <w:abstractNumId w:val="5"/>
  </w:num>
  <w:num w:numId="14" w16cid:durableId="2053535635">
    <w:abstractNumId w:val="4"/>
  </w:num>
  <w:num w:numId="15" w16cid:durableId="1904019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42"/>
    <w:rsid w:val="000046A5"/>
    <w:rsid w:val="00012117"/>
    <w:rsid w:val="000147A9"/>
    <w:rsid w:val="00042755"/>
    <w:rsid w:val="0006107D"/>
    <w:rsid w:val="000623A3"/>
    <w:rsid w:val="00066D1D"/>
    <w:rsid w:val="000719DA"/>
    <w:rsid w:val="000778D3"/>
    <w:rsid w:val="00094D65"/>
    <w:rsid w:val="000A2074"/>
    <w:rsid w:val="000A3F4D"/>
    <w:rsid w:val="000A64DA"/>
    <w:rsid w:val="000C4ABC"/>
    <w:rsid w:val="000C58D7"/>
    <w:rsid w:val="000E15ED"/>
    <w:rsid w:val="000F3F73"/>
    <w:rsid w:val="000F42A6"/>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4C0D"/>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4F67E4"/>
    <w:rsid w:val="00505437"/>
    <w:rsid w:val="005120A1"/>
    <w:rsid w:val="00542B57"/>
    <w:rsid w:val="00545764"/>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425BE"/>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07AB"/>
    <w:rsid w:val="007D68F0"/>
    <w:rsid w:val="007E1559"/>
    <w:rsid w:val="007E2E80"/>
    <w:rsid w:val="007E4AE6"/>
    <w:rsid w:val="007F776E"/>
    <w:rsid w:val="00816563"/>
    <w:rsid w:val="00830C88"/>
    <w:rsid w:val="00845A72"/>
    <w:rsid w:val="00845AB5"/>
    <w:rsid w:val="00850813"/>
    <w:rsid w:val="00861B11"/>
    <w:rsid w:val="008829C2"/>
    <w:rsid w:val="008A54BE"/>
    <w:rsid w:val="008B2AB5"/>
    <w:rsid w:val="008C7B0A"/>
    <w:rsid w:val="008D0642"/>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85842"/>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C623B"/>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15E8"/>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44092"/>
    <w:rsid w:val="00F655F4"/>
    <w:rsid w:val="00F71153"/>
    <w:rsid w:val="00F81EB6"/>
    <w:rsid w:val="00F858D4"/>
    <w:rsid w:val="00FA0450"/>
    <w:rsid w:val="00FA4E8A"/>
    <w:rsid w:val="00FB2653"/>
    <w:rsid w:val="00FB5C49"/>
    <w:rsid w:val="00FC3A97"/>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9F20B"/>
  <w15:chartTrackingRefBased/>
  <w15:docId w15:val="{A52FFF64-0804-004F-9FEC-A9BD22DC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85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584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8584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8584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8584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584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584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584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842"/>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85842"/>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85842"/>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A85842"/>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A85842"/>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85842"/>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85842"/>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85842"/>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85842"/>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858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842"/>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8584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842"/>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858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5842"/>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85842"/>
    <w:pPr>
      <w:ind w:left="720"/>
      <w:contextualSpacing/>
    </w:pPr>
  </w:style>
  <w:style w:type="character" w:styleId="IntenseEmphasis">
    <w:name w:val="Intense Emphasis"/>
    <w:basedOn w:val="DefaultParagraphFont"/>
    <w:uiPriority w:val="21"/>
    <w:qFormat/>
    <w:rsid w:val="00A85842"/>
    <w:rPr>
      <w:i/>
      <w:iCs/>
      <w:color w:val="2F5496" w:themeColor="accent1" w:themeShade="BF"/>
    </w:rPr>
  </w:style>
  <w:style w:type="paragraph" w:styleId="IntenseQuote">
    <w:name w:val="Intense Quote"/>
    <w:basedOn w:val="Normal"/>
    <w:next w:val="Normal"/>
    <w:link w:val="IntenseQuoteChar"/>
    <w:uiPriority w:val="30"/>
    <w:qFormat/>
    <w:rsid w:val="00A85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842"/>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85842"/>
    <w:rPr>
      <w:b/>
      <w:bCs/>
      <w:smallCaps/>
      <w:color w:val="2F5496" w:themeColor="accent1" w:themeShade="BF"/>
      <w:spacing w:val="5"/>
    </w:rPr>
  </w:style>
  <w:style w:type="paragraph" w:customStyle="1" w:styleId="break-words">
    <w:name w:val="break-words"/>
    <w:basedOn w:val="Normal"/>
    <w:rsid w:val="00BC623B"/>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BC623B"/>
    <w:rPr>
      <w:b/>
      <w:bCs/>
    </w:rPr>
  </w:style>
  <w:style w:type="character" w:styleId="Emphasis">
    <w:name w:val="Emphasis"/>
    <w:basedOn w:val="DefaultParagraphFont"/>
    <w:uiPriority w:val="20"/>
    <w:qFormat/>
    <w:rsid w:val="00BC62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975950">
      <w:bodyDiv w:val="1"/>
      <w:marLeft w:val="0"/>
      <w:marRight w:val="0"/>
      <w:marTop w:val="0"/>
      <w:marBottom w:val="0"/>
      <w:divBdr>
        <w:top w:val="none" w:sz="0" w:space="0" w:color="auto"/>
        <w:left w:val="none" w:sz="0" w:space="0" w:color="auto"/>
        <w:bottom w:val="none" w:sz="0" w:space="0" w:color="auto"/>
        <w:right w:val="none" w:sz="0" w:space="0" w:color="auto"/>
      </w:divBdr>
      <w:divsChild>
        <w:div w:id="1543639495">
          <w:marLeft w:val="0"/>
          <w:marRight w:val="0"/>
          <w:marTop w:val="0"/>
          <w:marBottom w:val="0"/>
          <w:divBdr>
            <w:top w:val="none" w:sz="0" w:space="0" w:color="auto"/>
            <w:left w:val="none" w:sz="0" w:space="0" w:color="auto"/>
            <w:bottom w:val="none" w:sz="0" w:space="0" w:color="auto"/>
            <w:right w:val="none" w:sz="0" w:space="0" w:color="auto"/>
          </w:divBdr>
        </w:div>
      </w:divsChild>
    </w:div>
    <w:div w:id="704792562">
      <w:bodyDiv w:val="1"/>
      <w:marLeft w:val="0"/>
      <w:marRight w:val="0"/>
      <w:marTop w:val="0"/>
      <w:marBottom w:val="0"/>
      <w:divBdr>
        <w:top w:val="none" w:sz="0" w:space="0" w:color="auto"/>
        <w:left w:val="none" w:sz="0" w:space="0" w:color="auto"/>
        <w:bottom w:val="none" w:sz="0" w:space="0" w:color="auto"/>
        <w:right w:val="none" w:sz="0" w:space="0" w:color="auto"/>
      </w:divBdr>
      <w:divsChild>
        <w:div w:id="660818910">
          <w:marLeft w:val="0"/>
          <w:marRight w:val="0"/>
          <w:marTop w:val="0"/>
          <w:marBottom w:val="0"/>
          <w:divBdr>
            <w:top w:val="none" w:sz="0" w:space="0" w:color="auto"/>
            <w:left w:val="none" w:sz="0" w:space="0" w:color="auto"/>
            <w:bottom w:val="none" w:sz="0" w:space="0" w:color="auto"/>
            <w:right w:val="none" w:sz="0" w:space="0" w:color="auto"/>
          </w:divBdr>
        </w:div>
      </w:divsChild>
    </w:div>
    <w:div w:id="741562689">
      <w:bodyDiv w:val="1"/>
      <w:marLeft w:val="0"/>
      <w:marRight w:val="0"/>
      <w:marTop w:val="0"/>
      <w:marBottom w:val="0"/>
      <w:divBdr>
        <w:top w:val="none" w:sz="0" w:space="0" w:color="auto"/>
        <w:left w:val="none" w:sz="0" w:space="0" w:color="auto"/>
        <w:bottom w:val="none" w:sz="0" w:space="0" w:color="auto"/>
        <w:right w:val="none" w:sz="0" w:space="0" w:color="auto"/>
      </w:divBdr>
      <w:divsChild>
        <w:div w:id="59793663">
          <w:marLeft w:val="0"/>
          <w:marRight w:val="0"/>
          <w:marTop w:val="0"/>
          <w:marBottom w:val="0"/>
          <w:divBdr>
            <w:top w:val="none" w:sz="0" w:space="0" w:color="auto"/>
            <w:left w:val="none" w:sz="0" w:space="0" w:color="auto"/>
            <w:bottom w:val="none" w:sz="0" w:space="0" w:color="auto"/>
            <w:right w:val="none" w:sz="0" w:space="0" w:color="auto"/>
          </w:divBdr>
        </w:div>
      </w:divsChild>
    </w:div>
    <w:div w:id="1671329861">
      <w:bodyDiv w:val="1"/>
      <w:marLeft w:val="0"/>
      <w:marRight w:val="0"/>
      <w:marTop w:val="0"/>
      <w:marBottom w:val="0"/>
      <w:divBdr>
        <w:top w:val="none" w:sz="0" w:space="0" w:color="auto"/>
        <w:left w:val="none" w:sz="0" w:space="0" w:color="auto"/>
        <w:bottom w:val="none" w:sz="0" w:space="0" w:color="auto"/>
        <w:right w:val="none" w:sz="0" w:space="0" w:color="auto"/>
      </w:divBdr>
      <w:divsChild>
        <w:div w:id="1643340966">
          <w:marLeft w:val="0"/>
          <w:marRight w:val="0"/>
          <w:marTop w:val="0"/>
          <w:marBottom w:val="0"/>
          <w:divBdr>
            <w:top w:val="none" w:sz="0" w:space="0" w:color="auto"/>
            <w:left w:val="none" w:sz="0" w:space="0" w:color="auto"/>
            <w:bottom w:val="none" w:sz="0" w:space="0" w:color="auto"/>
            <w:right w:val="none" w:sz="0" w:space="0" w:color="auto"/>
          </w:divBdr>
        </w:div>
      </w:divsChild>
    </w:div>
    <w:div w:id="1688100045">
      <w:bodyDiv w:val="1"/>
      <w:marLeft w:val="0"/>
      <w:marRight w:val="0"/>
      <w:marTop w:val="0"/>
      <w:marBottom w:val="0"/>
      <w:divBdr>
        <w:top w:val="none" w:sz="0" w:space="0" w:color="auto"/>
        <w:left w:val="none" w:sz="0" w:space="0" w:color="auto"/>
        <w:bottom w:val="none" w:sz="0" w:space="0" w:color="auto"/>
        <w:right w:val="none" w:sz="0" w:space="0" w:color="auto"/>
      </w:divBdr>
      <w:divsChild>
        <w:div w:id="617613582">
          <w:marLeft w:val="0"/>
          <w:marRight w:val="0"/>
          <w:marTop w:val="0"/>
          <w:marBottom w:val="0"/>
          <w:divBdr>
            <w:top w:val="none" w:sz="0" w:space="0" w:color="auto"/>
            <w:left w:val="none" w:sz="0" w:space="0" w:color="auto"/>
            <w:bottom w:val="none" w:sz="0" w:space="0" w:color="auto"/>
            <w:right w:val="none" w:sz="0" w:space="0" w:color="auto"/>
          </w:divBdr>
        </w:div>
      </w:divsChild>
    </w:div>
    <w:div w:id="1835800135">
      <w:bodyDiv w:val="1"/>
      <w:marLeft w:val="0"/>
      <w:marRight w:val="0"/>
      <w:marTop w:val="0"/>
      <w:marBottom w:val="0"/>
      <w:divBdr>
        <w:top w:val="none" w:sz="0" w:space="0" w:color="auto"/>
        <w:left w:val="none" w:sz="0" w:space="0" w:color="auto"/>
        <w:bottom w:val="none" w:sz="0" w:space="0" w:color="auto"/>
        <w:right w:val="none" w:sz="0" w:space="0" w:color="auto"/>
      </w:divBdr>
      <w:divsChild>
        <w:div w:id="1113750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24</Pages>
  <Words>6348</Words>
  <Characters>36189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2025-03-10T11:56:00Z</dcterms:created>
  <dcterms:modified xsi:type="dcterms:W3CDTF">2025-03-10T13:17:00Z</dcterms:modified>
</cp:coreProperties>
</file>