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68274C" w14:textId="77777777" w:rsidR="00F8034F" w:rsidRPr="00F8034F" w:rsidRDefault="00F8034F" w:rsidP="007E6FBE">
      <w:pPr>
        <w:spacing w:after="240" w:line="360" w:lineRule="auto"/>
        <w:outlineLvl w:val="2"/>
        <w:rPr>
          <w:rFonts w:ascii="Times New Roman" w:hAnsi="Times New Roman"/>
          <w:b/>
          <w:bCs/>
          <w:lang w:val="en-HK"/>
        </w:rPr>
      </w:pPr>
      <w:r w:rsidRPr="00F8034F">
        <w:rPr>
          <w:rFonts w:ascii="Times New Roman" w:hAnsi="Times New Roman"/>
          <w:b/>
          <w:bCs/>
          <w:lang w:val="en-HK"/>
        </w:rPr>
        <w:t>Section 1: Introduction (pp. 1002-1003)</w:t>
      </w:r>
    </w:p>
    <w:p w14:paraId="6FB83E43"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Overview</w:t>
      </w:r>
    </w:p>
    <w:p w14:paraId="0A397E43"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This section serves as both a personal reflection and a historical context for the evolution of trust law. Hayton, a seasoned trust law expert, traces his career from the 1960s and 1970s, when English trust law dominated, to the modern era where offshore jurisdictions have gained prominence. He introduces the central theme: the increasing appeal of foreign trust laws offering flexibility and protections unavailable under traditional English law.</w:t>
      </w:r>
    </w:p>
    <w:p w14:paraId="5AAD95CC"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Detailed Points</w:t>
      </w:r>
    </w:p>
    <w:p w14:paraId="50589B8F" w14:textId="77777777" w:rsidR="00F8034F" w:rsidRPr="00F8034F" w:rsidRDefault="00F8034F" w:rsidP="007E6FBE">
      <w:pPr>
        <w:numPr>
          <w:ilvl w:val="0"/>
          <w:numId w:val="1"/>
        </w:numPr>
        <w:spacing w:after="240" w:line="360" w:lineRule="auto"/>
        <w:rPr>
          <w:rFonts w:ascii="Times New Roman" w:hAnsi="Times New Roman"/>
          <w:lang w:val="en-HK"/>
        </w:rPr>
      </w:pPr>
      <w:r w:rsidRPr="00F8034F">
        <w:rPr>
          <w:rFonts w:ascii="Times New Roman" w:hAnsi="Times New Roman"/>
          <w:b/>
          <w:bCs/>
          <w:lang w:val="en-HK"/>
        </w:rPr>
        <w:t>Personal Background and Early Trust Practice</w:t>
      </w:r>
      <w:r w:rsidRPr="00F8034F">
        <w:rPr>
          <w:rFonts w:ascii="Times New Roman" w:hAnsi="Times New Roman"/>
          <w:lang w:val="en-HK"/>
        </w:rPr>
        <w:t xml:space="preserve"> </w:t>
      </w:r>
    </w:p>
    <w:p w14:paraId="72549EBA"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Hayton began teaching trusts at Sheffield University in 1966 and started practicing in Lincoln’s Inn in 1970.</w:t>
      </w:r>
    </w:p>
    <w:p w14:paraId="335A4759"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At that time, trust practitioners focused on English trust law, managing trusts for English trustees, beneficiaries, or charities.</w:t>
      </w:r>
    </w:p>
    <w:p w14:paraId="296FEBE3"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Offshore trusts were rare, used mainly by a few tax specialists to minimize taxes via British Dependencies or Overseas Territories (e.g., Cayman Islands, Jersey), where trust laws mirrored English law.</w:t>
      </w:r>
    </w:p>
    <w:p w14:paraId="45B9330A" w14:textId="77777777" w:rsidR="00F8034F" w:rsidRPr="00F8034F" w:rsidRDefault="00F8034F" w:rsidP="007E6FBE">
      <w:pPr>
        <w:numPr>
          <w:ilvl w:val="0"/>
          <w:numId w:val="1"/>
        </w:numPr>
        <w:spacing w:after="240" w:line="360" w:lineRule="auto"/>
        <w:rPr>
          <w:rFonts w:ascii="Times New Roman" w:hAnsi="Times New Roman"/>
          <w:lang w:val="en-HK"/>
        </w:rPr>
      </w:pPr>
      <w:r w:rsidRPr="00F8034F">
        <w:rPr>
          <w:rFonts w:ascii="Times New Roman" w:hAnsi="Times New Roman"/>
          <w:b/>
          <w:bCs/>
          <w:lang w:val="en-HK"/>
        </w:rPr>
        <w:t>Emergence of Offshore Innovations</w:t>
      </w:r>
      <w:r w:rsidRPr="00F8034F">
        <w:rPr>
          <w:rFonts w:ascii="Times New Roman" w:hAnsi="Times New Roman"/>
          <w:lang w:val="en-HK"/>
        </w:rPr>
        <w:t xml:space="preserve"> </w:t>
      </w:r>
    </w:p>
    <w:p w14:paraId="6CE7DCB9"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The Cayman Islands pioneered “exempted trusts” in the 1960s, inspired by Milton Grundy. These trusts, registered with the Registrar of Trusts, vested beneficiaries’ rights in the Registrar, leaving beneficiaries with no direct remedies against trustees.</w:t>
      </w:r>
    </w:p>
    <w:p w14:paraId="160B9A19"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 xml:space="preserve">This structure allowed English tax avoidance until the UK’s </w:t>
      </w:r>
      <w:r w:rsidRPr="00F8034F">
        <w:rPr>
          <w:rFonts w:ascii="Times New Roman" w:hAnsi="Times New Roman"/>
          <w:i/>
          <w:iCs/>
          <w:lang w:val="en-HK"/>
        </w:rPr>
        <w:t>Finance Act 1969</w:t>
      </w:r>
      <w:r w:rsidRPr="00F8034F">
        <w:rPr>
          <w:rFonts w:ascii="Times New Roman" w:hAnsi="Times New Roman"/>
          <w:lang w:val="en-HK"/>
        </w:rPr>
        <w:t xml:space="preserve"> curtailed it.</w:t>
      </w:r>
    </w:p>
    <w:p w14:paraId="56237258"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Such developments marked the beginning of offshore jurisdictions diverging from English trust law.</w:t>
      </w:r>
    </w:p>
    <w:p w14:paraId="28E67BD4" w14:textId="77777777" w:rsidR="00F8034F" w:rsidRPr="00F8034F" w:rsidRDefault="00F8034F" w:rsidP="007E6FBE">
      <w:pPr>
        <w:numPr>
          <w:ilvl w:val="0"/>
          <w:numId w:val="1"/>
        </w:numPr>
        <w:spacing w:after="240" w:line="360" w:lineRule="auto"/>
        <w:rPr>
          <w:rFonts w:ascii="Times New Roman" w:hAnsi="Times New Roman"/>
          <w:lang w:val="en-HK"/>
        </w:rPr>
      </w:pPr>
      <w:r w:rsidRPr="00F8034F">
        <w:rPr>
          <w:rFonts w:ascii="Times New Roman" w:hAnsi="Times New Roman"/>
          <w:b/>
          <w:bCs/>
          <w:lang w:val="en-HK"/>
        </w:rPr>
        <w:t>Civil Law Influence and The Hague Convention</w:t>
      </w:r>
      <w:r w:rsidRPr="00F8034F">
        <w:rPr>
          <w:rFonts w:ascii="Times New Roman" w:hAnsi="Times New Roman"/>
          <w:lang w:val="en-HK"/>
        </w:rPr>
        <w:t xml:space="preserve"> </w:t>
      </w:r>
    </w:p>
    <w:p w14:paraId="2D293009"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lastRenderedPageBreak/>
        <w:t>Civil law jurisdictions (e.g., France, Germany) grew interested in trusts for estate planning and financial structuring, despite lacking a native trust concept.</w:t>
      </w:r>
    </w:p>
    <w:p w14:paraId="20248FB4"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 xml:space="preserve">Pressure from civil law notaries and commercial lawyers led to The Hague Conference on Private International Law drafting the </w:t>
      </w:r>
      <w:r w:rsidRPr="00F8034F">
        <w:rPr>
          <w:rFonts w:ascii="Times New Roman" w:hAnsi="Times New Roman"/>
          <w:i/>
          <w:iCs/>
          <w:lang w:val="en-HK"/>
        </w:rPr>
        <w:t>Hague Trusts Convention</w:t>
      </w:r>
      <w:r w:rsidRPr="00F8034F">
        <w:rPr>
          <w:rFonts w:ascii="Times New Roman" w:hAnsi="Times New Roman"/>
          <w:lang w:val="en-HK"/>
        </w:rPr>
        <w:t xml:space="preserve"> (adopted 1985).</w:t>
      </w:r>
    </w:p>
    <w:p w14:paraId="35A9BC57"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 xml:space="preserve">Hayton was involved in its preparation, attending a Special Commission meeting in June 1982 as a UK representative (invited by the Lord Chancellor’s Department after editing </w:t>
      </w:r>
      <w:r w:rsidRPr="00F8034F">
        <w:rPr>
          <w:rFonts w:ascii="Times New Roman" w:hAnsi="Times New Roman"/>
          <w:i/>
          <w:iCs/>
          <w:lang w:val="en-HK"/>
        </w:rPr>
        <w:t>Underhill on Trusts</w:t>
      </w:r>
      <w:r w:rsidRPr="00F8034F">
        <w:rPr>
          <w:rFonts w:ascii="Times New Roman" w:hAnsi="Times New Roman"/>
          <w:lang w:val="en-HK"/>
        </w:rPr>
        <w:t>, 13th ed., 1979).</w:t>
      </w:r>
    </w:p>
    <w:p w14:paraId="4BAB282D"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Civil law delegates wanted the Convention to apply only to “good international trusts,” not “bad” ones, though Hayton notes this distinction is subjective, like the use of companies or tools.</w:t>
      </w:r>
    </w:p>
    <w:p w14:paraId="003126A2"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 xml:space="preserve">The Convention was incorporated into UK law via the </w:t>
      </w:r>
      <w:r w:rsidRPr="00F8034F">
        <w:rPr>
          <w:rFonts w:ascii="Times New Roman" w:hAnsi="Times New Roman"/>
          <w:i/>
          <w:iCs/>
          <w:lang w:val="en-HK"/>
        </w:rPr>
        <w:t>Recognition of Trusts Act 1987</w:t>
      </w:r>
      <w:r w:rsidRPr="00F8034F">
        <w:rPr>
          <w:rFonts w:ascii="Times New Roman" w:hAnsi="Times New Roman"/>
          <w:lang w:val="en-HK"/>
        </w:rPr>
        <w:t>, enabling recognition of foreign trusts.</w:t>
      </w:r>
    </w:p>
    <w:p w14:paraId="78A3D7FC" w14:textId="77777777" w:rsidR="00F8034F" w:rsidRPr="00F8034F" w:rsidRDefault="00F8034F" w:rsidP="007E6FBE">
      <w:pPr>
        <w:numPr>
          <w:ilvl w:val="0"/>
          <w:numId w:val="1"/>
        </w:numPr>
        <w:spacing w:after="240" w:line="360" w:lineRule="auto"/>
        <w:rPr>
          <w:rFonts w:ascii="Times New Roman" w:hAnsi="Times New Roman"/>
          <w:lang w:val="en-HK"/>
        </w:rPr>
      </w:pPr>
      <w:r w:rsidRPr="00F8034F">
        <w:rPr>
          <w:rFonts w:ascii="Times New Roman" w:hAnsi="Times New Roman"/>
          <w:b/>
          <w:bCs/>
          <w:lang w:val="en-HK"/>
        </w:rPr>
        <w:t>Initial English Resistance and Offshore Catalysts</w:t>
      </w:r>
      <w:r w:rsidRPr="00F8034F">
        <w:rPr>
          <w:rFonts w:ascii="Times New Roman" w:hAnsi="Times New Roman"/>
          <w:lang w:val="en-HK"/>
        </w:rPr>
        <w:t xml:space="preserve"> </w:t>
      </w:r>
    </w:p>
    <w:p w14:paraId="40A1D529"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Most English trust lawyers initially dismissed the Convention as peripheral, viewing foreign trust laws as inferior and outdated compared to English law.</w:t>
      </w:r>
    </w:p>
    <w:p w14:paraId="1B7B5C4A"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 xml:space="preserve">However, the </w:t>
      </w:r>
      <w:r w:rsidRPr="00F8034F">
        <w:rPr>
          <w:rFonts w:ascii="Times New Roman" w:hAnsi="Times New Roman"/>
          <w:i/>
          <w:iCs/>
          <w:lang w:val="en-HK"/>
        </w:rPr>
        <w:t>Cayman Trusts (Foreign Element) Act 1987</w:t>
      </w:r>
      <w:r w:rsidRPr="00F8034F">
        <w:rPr>
          <w:rFonts w:ascii="Times New Roman" w:hAnsi="Times New Roman"/>
          <w:lang w:val="en-HK"/>
        </w:rPr>
        <w:t xml:space="preserve"> (inspired by Antony Duckworth) spurred dramatic changes, making offshore trust laws more flexible and protective than English law.</w:t>
      </w:r>
    </w:p>
    <w:p w14:paraId="669046EA" w14:textId="77777777" w:rsidR="00F8034F" w:rsidRPr="00F8034F" w:rsidRDefault="00F8034F" w:rsidP="007E6FBE">
      <w:pPr>
        <w:numPr>
          <w:ilvl w:val="1"/>
          <w:numId w:val="1"/>
        </w:numPr>
        <w:spacing w:after="240" w:line="360" w:lineRule="auto"/>
        <w:rPr>
          <w:rFonts w:ascii="Times New Roman" w:hAnsi="Times New Roman"/>
          <w:lang w:val="en-HK"/>
        </w:rPr>
      </w:pPr>
      <w:r w:rsidRPr="00F8034F">
        <w:rPr>
          <w:rFonts w:ascii="Times New Roman" w:hAnsi="Times New Roman"/>
          <w:lang w:val="en-HK"/>
        </w:rPr>
        <w:t xml:space="preserve">This shift encouraged trust lawyers to become comparative lawyers, recognizing the potential of foreign laws under the </w:t>
      </w:r>
      <w:r w:rsidRPr="00F8034F">
        <w:rPr>
          <w:rFonts w:ascii="Times New Roman" w:hAnsi="Times New Roman"/>
          <w:i/>
          <w:iCs/>
          <w:lang w:val="en-HK"/>
        </w:rPr>
        <w:t>Recognition of Trusts Act</w:t>
      </w:r>
      <w:r w:rsidRPr="00F8034F">
        <w:rPr>
          <w:rFonts w:ascii="Times New Roman" w:hAnsi="Times New Roman"/>
          <w:lang w:val="en-HK"/>
        </w:rPr>
        <w:t>.</w:t>
      </w:r>
    </w:p>
    <w:p w14:paraId="47FD7C83"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Key Insight</w:t>
      </w:r>
    </w:p>
    <w:p w14:paraId="629E90F1"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Hayton sets the stage for his argument that trust law is no longer an English-centric domain. The rise of offshore jurisdictions and international recognition of trusts via the Hague Convention have broadened settlors’ options, challenging traditional assumptions.</w:t>
      </w:r>
    </w:p>
    <w:p w14:paraId="782B6835" w14:textId="77777777" w:rsidR="00F8034F" w:rsidRPr="00F8034F" w:rsidRDefault="00343E31" w:rsidP="007E6FBE">
      <w:pPr>
        <w:spacing w:after="240" w:line="360" w:lineRule="auto"/>
        <w:rPr>
          <w:rFonts w:ascii="Times New Roman" w:hAnsi="Times New Roman"/>
          <w:lang w:val="en-HK"/>
        </w:rPr>
      </w:pPr>
      <w:r w:rsidRPr="00343E31">
        <w:rPr>
          <w:rFonts w:ascii="Times New Roman" w:hAnsi="Times New Roman"/>
          <w:noProof/>
          <w:lang w:val="en-HK"/>
          <w14:ligatures w14:val="standardContextual"/>
        </w:rPr>
        <w:pict w14:anchorId="69B2DA28">
          <v:rect id="_x0000_i1031" alt="" style="width:451.3pt;height:.05pt;mso-width-percent:0;mso-height-percent:0;mso-width-percent:0;mso-height-percent:0" o:hralign="center" o:hrstd="t" o:hr="t" fillcolor="#a0a0a0" stroked="f"/>
        </w:pict>
      </w:r>
    </w:p>
    <w:p w14:paraId="3449A05B" w14:textId="77777777" w:rsidR="00F8034F" w:rsidRPr="00F8034F" w:rsidRDefault="00F8034F" w:rsidP="007E6FBE">
      <w:pPr>
        <w:spacing w:after="240" w:line="360" w:lineRule="auto"/>
        <w:outlineLvl w:val="2"/>
        <w:rPr>
          <w:rFonts w:ascii="Times New Roman" w:hAnsi="Times New Roman"/>
          <w:b/>
          <w:bCs/>
          <w:lang w:val="en-HK"/>
        </w:rPr>
      </w:pPr>
      <w:r w:rsidRPr="00F8034F">
        <w:rPr>
          <w:rFonts w:ascii="Times New Roman" w:hAnsi="Times New Roman"/>
          <w:b/>
          <w:bCs/>
          <w:lang w:val="en-HK"/>
        </w:rPr>
        <w:t>Section 2: Choosing a Foreign Governing Law (pp. 1003-1005)</w:t>
      </w:r>
    </w:p>
    <w:p w14:paraId="07999A81"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lastRenderedPageBreak/>
        <w:t>Overview</w:t>
      </w:r>
    </w:p>
    <w:p w14:paraId="2AC8F95E"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This section delves into why and how settlors and trustees are increasingly selecting foreign trust laws over English law. Hayton highlights the liberalization of offshore and some U.S. trust laws, offering features unattainable under English law, and cites empirical evidence to support this trend. He argues that this shift will shape future trust practice, especially for wealthy clients.</w:t>
      </w:r>
    </w:p>
    <w:p w14:paraId="7B134EF5"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Detailed Points</w:t>
      </w:r>
    </w:p>
    <w:p w14:paraId="2EC8F59B" w14:textId="77777777" w:rsidR="00F8034F" w:rsidRPr="00F8034F" w:rsidRDefault="00F8034F" w:rsidP="007E6FBE">
      <w:pPr>
        <w:numPr>
          <w:ilvl w:val="0"/>
          <w:numId w:val="2"/>
        </w:numPr>
        <w:spacing w:after="240" w:line="360" w:lineRule="auto"/>
        <w:rPr>
          <w:rFonts w:ascii="Times New Roman" w:hAnsi="Times New Roman"/>
          <w:lang w:val="en-HK"/>
        </w:rPr>
      </w:pPr>
      <w:r w:rsidRPr="00F8034F">
        <w:rPr>
          <w:rFonts w:ascii="Times New Roman" w:hAnsi="Times New Roman"/>
          <w:b/>
          <w:bCs/>
          <w:lang w:val="en-HK"/>
        </w:rPr>
        <w:t>Liberalization of Foreign Trust Laws</w:t>
      </w:r>
      <w:r w:rsidRPr="00F8034F">
        <w:rPr>
          <w:rFonts w:ascii="Times New Roman" w:hAnsi="Times New Roman"/>
          <w:lang w:val="en-HK"/>
        </w:rPr>
        <w:t xml:space="preserve"> </w:t>
      </w:r>
    </w:p>
    <w:p w14:paraId="6E8304A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Over the past 25 years, offshore jurisdictions (e.g., Cayman Islands, Bermuda, Bahamas) and some U.S. states have relaxed traditional trust rules, diverging from English law.</w:t>
      </w:r>
    </w:p>
    <w:p w14:paraId="3356C0EE"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 xml:space="preserve">Examples of liberal features include: </w:t>
      </w:r>
    </w:p>
    <w:p w14:paraId="223435C4"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Perpetuity Rules</w:t>
      </w:r>
      <w:r w:rsidRPr="00F8034F">
        <w:rPr>
          <w:rFonts w:ascii="Times New Roman" w:hAnsi="Times New Roman"/>
          <w:lang w:val="en-HK"/>
        </w:rPr>
        <w:t>: Longer or no limits on trust duration (e.g., Jersey’s no perpetuity period).</w:t>
      </w:r>
    </w:p>
    <w:p w14:paraId="47FF68BC"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Non-Charitable Purpose Trusts</w:t>
      </w:r>
      <w:r w:rsidRPr="00F8034F">
        <w:rPr>
          <w:rFonts w:ascii="Times New Roman" w:hAnsi="Times New Roman"/>
          <w:lang w:val="en-HK"/>
        </w:rPr>
        <w:t>: Allowed with enforcers (unlike English law’s strict requirements).</w:t>
      </w:r>
    </w:p>
    <w:p w14:paraId="2C61C78B"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 xml:space="preserve">Saunders v </w:t>
      </w:r>
      <w:proofErr w:type="spellStart"/>
      <w:r w:rsidRPr="00F8034F">
        <w:rPr>
          <w:rFonts w:ascii="Times New Roman" w:hAnsi="Times New Roman"/>
          <w:b/>
          <w:bCs/>
          <w:lang w:val="en-HK"/>
        </w:rPr>
        <w:t>Vautier</w:t>
      </w:r>
      <w:proofErr w:type="spellEnd"/>
      <w:r w:rsidRPr="00F8034F">
        <w:rPr>
          <w:rFonts w:ascii="Times New Roman" w:hAnsi="Times New Roman"/>
          <w:lang w:val="en-HK"/>
        </w:rPr>
        <w:t>: Restrictions on beneficiaries terminating trusts early.</w:t>
      </w:r>
    </w:p>
    <w:p w14:paraId="3E30F1C5"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Self-Settled Spendthrift Trusts</w:t>
      </w:r>
      <w:r w:rsidRPr="00F8034F">
        <w:rPr>
          <w:rFonts w:ascii="Times New Roman" w:hAnsi="Times New Roman"/>
          <w:lang w:val="en-HK"/>
        </w:rPr>
        <w:t>: Permitted, protecting settlors’ assets from creditors.</w:t>
      </w:r>
    </w:p>
    <w:p w14:paraId="76B7D6F9"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Hastings-Bass Rule</w:t>
      </w:r>
      <w:r w:rsidRPr="00F8034F">
        <w:rPr>
          <w:rFonts w:ascii="Times New Roman" w:hAnsi="Times New Roman"/>
          <w:lang w:val="en-HK"/>
        </w:rPr>
        <w:t>: Broader scope to undo trustee decisions (e.g., Jersey, Bermuda).</w:t>
      </w:r>
    </w:p>
    <w:p w14:paraId="05BF0872"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Rectification</w:t>
      </w:r>
      <w:r w:rsidRPr="00F8034F">
        <w:rPr>
          <w:rFonts w:ascii="Times New Roman" w:hAnsi="Times New Roman"/>
          <w:lang w:val="en-HK"/>
        </w:rPr>
        <w:t>: More flexible correction of documents.</w:t>
      </w:r>
    </w:p>
    <w:p w14:paraId="0CB3A5CE"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Beneficiary Rights</w:t>
      </w:r>
      <w:r w:rsidRPr="00F8034F">
        <w:rPr>
          <w:rFonts w:ascii="Times New Roman" w:hAnsi="Times New Roman"/>
          <w:lang w:val="en-HK"/>
        </w:rPr>
        <w:t>: Limited (e.g., Bahamas’ non-assignable life interests).</w:t>
      </w:r>
    </w:p>
    <w:p w14:paraId="62EC7FA3"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Trustee Liability</w:t>
      </w:r>
      <w:r w:rsidRPr="00F8034F">
        <w:rPr>
          <w:rFonts w:ascii="Times New Roman" w:hAnsi="Times New Roman"/>
          <w:lang w:val="en-HK"/>
        </w:rPr>
        <w:t>: Reduced for external dealings (e.g., Jersey, Guernsey laws).</w:t>
      </w:r>
    </w:p>
    <w:p w14:paraId="25E98C13"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Arbitration/Mediation</w:t>
      </w:r>
      <w:r w:rsidRPr="00F8034F">
        <w:rPr>
          <w:rFonts w:ascii="Times New Roman" w:hAnsi="Times New Roman"/>
          <w:lang w:val="en-HK"/>
        </w:rPr>
        <w:t>: Enabled for internal disputes.</w:t>
      </w:r>
    </w:p>
    <w:p w14:paraId="0BAF720C"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b/>
          <w:bCs/>
          <w:lang w:val="en-HK"/>
        </w:rPr>
        <w:t>Firewall Protections</w:t>
      </w:r>
      <w:r w:rsidRPr="00F8034F">
        <w:rPr>
          <w:rFonts w:ascii="Times New Roman" w:hAnsi="Times New Roman"/>
          <w:lang w:val="en-HK"/>
        </w:rPr>
        <w:t>: Shields against creditors, heirs, or foreign judgments (though not extraterritorially for foreign assets).</w:t>
      </w:r>
    </w:p>
    <w:p w14:paraId="64B6F23A"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lastRenderedPageBreak/>
        <w:t xml:space="preserve">These features allow settlors to achieve ends impossible under English law, leveraging the </w:t>
      </w:r>
      <w:r w:rsidRPr="00F8034F">
        <w:rPr>
          <w:rFonts w:ascii="Times New Roman" w:hAnsi="Times New Roman"/>
          <w:i/>
          <w:iCs/>
          <w:lang w:val="en-HK"/>
        </w:rPr>
        <w:t>Recognition of Trusts Act 1987</w:t>
      </w:r>
      <w:r w:rsidRPr="00F8034F">
        <w:rPr>
          <w:rFonts w:ascii="Times New Roman" w:hAnsi="Times New Roman"/>
          <w:lang w:val="en-HK"/>
        </w:rPr>
        <w:t>.</w:t>
      </w:r>
    </w:p>
    <w:p w14:paraId="597779EE" w14:textId="77777777" w:rsidR="00F8034F" w:rsidRPr="00F8034F" w:rsidRDefault="00F8034F" w:rsidP="007E6FBE">
      <w:pPr>
        <w:numPr>
          <w:ilvl w:val="0"/>
          <w:numId w:val="2"/>
        </w:numPr>
        <w:spacing w:after="240" w:line="360" w:lineRule="auto"/>
        <w:rPr>
          <w:rFonts w:ascii="Times New Roman" w:hAnsi="Times New Roman"/>
          <w:lang w:val="en-HK"/>
        </w:rPr>
      </w:pPr>
      <w:r w:rsidRPr="00F8034F">
        <w:rPr>
          <w:rFonts w:ascii="Times New Roman" w:hAnsi="Times New Roman"/>
          <w:b/>
          <w:bCs/>
          <w:lang w:val="en-HK"/>
        </w:rPr>
        <w:t>Empirical Evidence</w:t>
      </w:r>
      <w:r w:rsidRPr="00F8034F">
        <w:rPr>
          <w:rFonts w:ascii="Times New Roman" w:hAnsi="Times New Roman"/>
          <w:lang w:val="en-HK"/>
        </w:rPr>
        <w:t xml:space="preserve"> </w:t>
      </w:r>
    </w:p>
    <w:p w14:paraId="578D77A7"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 xml:space="preserve">Hayton cites a 2015 study by Adam </w:t>
      </w:r>
      <w:proofErr w:type="spellStart"/>
      <w:r w:rsidRPr="00F8034F">
        <w:rPr>
          <w:rFonts w:ascii="Times New Roman" w:hAnsi="Times New Roman"/>
          <w:lang w:val="en-HK"/>
        </w:rPr>
        <w:t>Hofri-Winogradow</w:t>
      </w:r>
      <w:proofErr w:type="spellEnd"/>
      <w:r w:rsidRPr="00F8034F">
        <w:rPr>
          <w:rFonts w:ascii="Times New Roman" w:hAnsi="Times New Roman"/>
          <w:lang w:val="en-HK"/>
        </w:rPr>
        <w:t xml:space="preserve"> (Hebrew University/University of Connecticut), based on responses from 409 trust service providers (out of 26,605 contacted).</w:t>
      </w:r>
    </w:p>
    <w:p w14:paraId="6934137D"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 xml:space="preserve">Findings: </w:t>
      </w:r>
    </w:p>
    <w:p w14:paraId="0DDC89BD"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lang w:val="en-HK"/>
        </w:rPr>
        <w:t>76% of providers were onshore, 17% offshore, remainder mixed.</w:t>
      </w:r>
    </w:p>
    <w:p w14:paraId="609CDDA4"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lang w:val="en-HK"/>
        </w:rPr>
        <w:t>Primary reason for choosing offshore laws: unique features unavailable locally.</w:t>
      </w:r>
    </w:p>
    <w:p w14:paraId="7CEFCF71"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lang w:val="en-HK"/>
        </w:rPr>
        <w:t>Secondary reason: tax advantages.</w:t>
      </w:r>
    </w:p>
    <w:p w14:paraId="16F60D5A"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lang w:val="en-HK"/>
        </w:rPr>
        <w:t>Wealthier clients are more likely to use foreign governing laws (estimated in 36% of trusts).</w:t>
      </w:r>
    </w:p>
    <w:p w14:paraId="786AED5D" w14:textId="77777777" w:rsidR="00F8034F" w:rsidRPr="00F8034F" w:rsidRDefault="00F8034F" w:rsidP="007E6FBE">
      <w:pPr>
        <w:numPr>
          <w:ilvl w:val="2"/>
          <w:numId w:val="2"/>
        </w:numPr>
        <w:spacing w:after="240" w:line="360" w:lineRule="auto"/>
        <w:rPr>
          <w:rFonts w:ascii="Times New Roman" w:hAnsi="Times New Roman"/>
          <w:lang w:val="en-HK"/>
        </w:rPr>
      </w:pPr>
      <w:r w:rsidRPr="00F8034F">
        <w:rPr>
          <w:rFonts w:ascii="Times New Roman" w:hAnsi="Times New Roman"/>
          <w:lang w:val="en-HK"/>
        </w:rPr>
        <w:t>70% of trusts include jurisdiction clauses to specify courts, enhancing control or deterring litigation (e.g., via cost barriers in distant forums).</w:t>
      </w:r>
    </w:p>
    <w:p w14:paraId="3921076A" w14:textId="77777777" w:rsidR="00F8034F" w:rsidRPr="00F8034F" w:rsidRDefault="00F8034F" w:rsidP="007E6FBE">
      <w:pPr>
        <w:numPr>
          <w:ilvl w:val="0"/>
          <w:numId w:val="2"/>
        </w:numPr>
        <w:spacing w:after="240" w:line="360" w:lineRule="auto"/>
        <w:rPr>
          <w:rFonts w:ascii="Times New Roman" w:hAnsi="Times New Roman"/>
          <w:lang w:val="en-HK"/>
        </w:rPr>
      </w:pPr>
      <w:r w:rsidRPr="00F8034F">
        <w:rPr>
          <w:rFonts w:ascii="Times New Roman" w:hAnsi="Times New Roman"/>
          <w:b/>
          <w:bCs/>
          <w:lang w:val="en-HK"/>
        </w:rPr>
        <w:t>Practical Implications</w:t>
      </w:r>
      <w:r w:rsidRPr="00F8034F">
        <w:rPr>
          <w:rFonts w:ascii="Times New Roman" w:hAnsi="Times New Roman"/>
          <w:lang w:val="en-HK"/>
        </w:rPr>
        <w:t xml:space="preserve"> </w:t>
      </w:r>
    </w:p>
    <w:p w14:paraId="4326464C" w14:textId="77777777" w:rsidR="00F8034F" w:rsidRPr="00F8034F" w:rsidRDefault="00F8034F" w:rsidP="007E6FBE">
      <w:pPr>
        <w:numPr>
          <w:ilvl w:val="1"/>
          <w:numId w:val="2"/>
        </w:numPr>
        <w:spacing w:after="240" w:line="360" w:lineRule="auto"/>
        <w:rPr>
          <w:rFonts w:ascii="Times New Roman" w:hAnsi="Times New Roman"/>
          <w:lang w:val="en-HK"/>
        </w:rPr>
      </w:pPr>
      <w:r w:rsidRPr="00F8034F">
        <w:rPr>
          <w:rFonts w:ascii="Times New Roman" w:hAnsi="Times New Roman"/>
          <w:lang w:val="en-HK"/>
        </w:rPr>
        <w:t>Settlors can pair foreign governing laws with exclusive jurisdiction clauses to ensure expert courts handle disputes or to make litigation costlier for challengers.</w:t>
      </w:r>
    </w:p>
    <w:p w14:paraId="2E63B4D1" w14:textId="77777777" w:rsidR="00F8034F" w:rsidRPr="00F8034F" w:rsidRDefault="00F8034F" w:rsidP="007E6FBE">
      <w:pPr>
        <w:numPr>
          <w:ilvl w:val="1"/>
          <w:numId w:val="2"/>
        </w:numPr>
        <w:spacing w:after="240" w:line="360" w:lineRule="auto"/>
        <w:rPr>
          <w:rFonts w:ascii="Times New Roman" w:hAnsi="Times New Roman"/>
          <w:lang w:val="en-HK"/>
        </w:rPr>
      </w:pPr>
      <w:r w:rsidRPr="00F8034F">
        <w:rPr>
          <w:rFonts w:ascii="Times New Roman" w:hAnsi="Times New Roman"/>
          <w:lang w:val="en-HK"/>
        </w:rPr>
        <w:t>Hayton predicts increased use of foreign laws and changes between governing laws (via express powers) to exploit these advantages, especially for bespoke trusts.</w:t>
      </w:r>
    </w:p>
    <w:p w14:paraId="421C7C49" w14:textId="77777777" w:rsidR="00F8034F" w:rsidRPr="00F8034F" w:rsidRDefault="00F8034F" w:rsidP="007E6FBE">
      <w:pPr>
        <w:numPr>
          <w:ilvl w:val="1"/>
          <w:numId w:val="2"/>
        </w:numPr>
        <w:spacing w:after="240" w:line="360" w:lineRule="auto"/>
        <w:rPr>
          <w:rFonts w:ascii="Times New Roman" w:hAnsi="Times New Roman"/>
          <w:lang w:val="en-HK"/>
        </w:rPr>
      </w:pPr>
      <w:r w:rsidRPr="00F8034F">
        <w:rPr>
          <w:rFonts w:ascii="Times New Roman" w:hAnsi="Times New Roman"/>
          <w:lang w:val="en-HK"/>
        </w:rPr>
        <w:t>However, he warns of pitfalls: a “little knowledge” can be dangerous without understanding jurisdictional nuances.</w:t>
      </w:r>
    </w:p>
    <w:p w14:paraId="59D8C580" w14:textId="77777777" w:rsidR="00F8034F" w:rsidRPr="00F8034F" w:rsidRDefault="00F8034F" w:rsidP="007E6FBE">
      <w:pPr>
        <w:numPr>
          <w:ilvl w:val="0"/>
          <w:numId w:val="2"/>
        </w:numPr>
        <w:spacing w:after="240" w:line="360" w:lineRule="auto"/>
        <w:rPr>
          <w:rFonts w:ascii="Times New Roman" w:hAnsi="Times New Roman"/>
          <w:lang w:val="en-HK"/>
        </w:rPr>
      </w:pPr>
      <w:r w:rsidRPr="00F8034F">
        <w:rPr>
          <w:rFonts w:ascii="Times New Roman" w:hAnsi="Times New Roman"/>
          <w:b/>
          <w:bCs/>
          <w:lang w:val="en-HK"/>
        </w:rPr>
        <w:t>English Law’s Limitations</w:t>
      </w:r>
      <w:r w:rsidRPr="00F8034F">
        <w:rPr>
          <w:rFonts w:ascii="Times New Roman" w:hAnsi="Times New Roman"/>
          <w:lang w:val="en-HK"/>
        </w:rPr>
        <w:t xml:space="preserve"> </w:t>
      </w:r>
    </w:p>
    <w:p w14:paraId="6C1D9631" w14:textId="77777777" w:rsidR="00F8034F" w:rsidRPr="00F8034F" w:rsidRDefault="00F8034F" w:rsidP="007E6FBE">
      <w:pPr>
        <w:numPr>
          <w:ilvl w:val="1"/>
          <w:numId w:val="2"/>
        </w:numPr>
        <w:spacing w:after="240" w:line="360" w:lineRule="auto"/>
        <w:rPr>
          <w:rFonts w:ascii="Times New Roman" w:hAnsi="Times New Roman"/>
          <w:lang w:val="en-HK"/>
        </w:rPr>
      </w:pPr>
      <w:r w:rsidRPr="00F8034F">
        <w:rPr>
          <w:rFonts w:ascii="Times New Roman" w:hAnsi="Times New Roman"/>
          <w:lang w:val="en-HK"/>
        </w:rPr>
        <w:t>English law’s rigidity (e.g., fixed perpetuity periods, strict rectification rules) contrasts with the flexibility of foreign laws.</w:t>
      </w:r>
    </w:p>
    <w:p w14:paraId="4617B5B5" w14:textId="77777777" w:rsidR="00F8034F" w:rsidRPr="00F8034F" w:rsidRDefault="00F8034F" w:rsidP="007E6FBE">
      <w:pPr>
        <w:numPr>
          <w:ilvl w:val="1"/>
          <w:numId w:val="2"/>
        </w:numPr>
        <w:spacing w:after="240" w:line="360" w:lineRule="auto"/>
        <w:rPr>
          <w:rFonts w:ascii="Times New Roman" w:hAnsi="Times New Roman"/>
          <w:lang w:val="en-HK"/>
        </w:rPr>
      </w:pPr>
      <w:r w:rsidRPr="00F8034F">
        <w:rPr>
          <w:rFonts w:ascii="Times New Roman" w:hAnsi="Times New Roman"/>
          <w:lang w:val="en-HK"/>
        </w:rPr>
        <w:t xml:space="preserve">The </w:t>
      </w:r>
      <w:r w:rsidRPr="00F8034F">
        <w:rPr>
          <w:rFonts w:ascii="Times New Roman" w:hAnsi="Times New Roman"/>
          <w:i/>
          <w:iCs/>
          <w:lang w:val="en-HK"/>
        </w:rPr>
        <w:t>Recognition of Trusts Act</w:t>
      </w:r>
      <w:r w:rsidRPr="00F8034F">
        <w:rPr>
          <w:rFonts w:ascii="Times New Roman" w:hAnsi="Times New Roman"/>
          <w:lang w:val="en-HK"/>
        </w:rPr>
        <w:t xml:space="preserve"> allows settlors to bypass these limits by choosing a foreign law, though extreme cases (e.g., self-settled spendthrift trusts with English property) might trigger public policy objections.</w:t>
      </w:r>
    </w:p>
    <w:p w14:paraId="16A2CDC7"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lastRenderedPageBreak/>
        <w:t>Key Insight</w:t>
      </w:r>
    </w:p>
    <w:p w14:paraId="7EBD09C8" w14:textId="77777777" w:rsidR="00F8034F" w:rsidRPr="007E6FBE" w:rsidRDefault="00F8034F" w:rsidP="007E6FBE">
      <w:pPr>
        <w:spacing w:after="240" w:line="360" w:lineRule="auto"/>
        <w:rPr>
          <w:rFonts w:ascii="Times New Roman" w:hAnsi="Times New Roman"/>
          <w:lang w:val="en-HK"/>
        </w:rPr>
      </w:pPr>
      <w:r w:rsidRPr="00F8034F">
        <w:rPr>
          <w:rFonts w:ascii="Times New Roman" w:hAnsi="Times New Roman"/>
          <w:lang w:val="en-HK"/>
        </w:rPr>
        <w:t>Hayton emphasizes that the choice of foreign law is driven by practical benefits—flexibility, asset protection, and tax planning—supported by data showing its prevalence among wealthy clients. This trend challenges English trust law’s dominance and encourages a comparative approach to trust planning.</w:t>
      </w:r>
    </w:p>
    <w:p w14:paraId="7727D1E4" w14:textId="4DAC1302" w:rsidR="00F8034F" w:rsidRPr="007E6FBE" w:rsidRDefault="00343E31" w:rsidP="007E6FBE">
      <w:pPr>
        <w:spacing w:after="240" w:line="360" w:lineRule="auto"/>
        <w:rPr>
          <w:rFonts w:ascii="Times New Roman" w:hAnsi="Times New Roman"/>
          <w:lang w:val="en-HK"/>
        </w:rPr>
      </w:pPr>
      <w:r w:rsidRPr="00343E31">
        <w:rPr>
          <w:rFonts w:ascii="Times New Roman" w:hAnsi="Times New Roman"/>
          <w:noProof/>
          <w:lang w:val="en-HK"/>
          <w14:ligatures w14:val="standardContextual"/>
        </w:rPr>
        <w:pict w14:anchorId="5D62253E">
          <v:rect id="_x0000_i1030" alt="" style="width:451.3pt;height:.05pt;mso-width-percent:0;mso-height-percent:0;mso-width-percent:0;mso-height-percent:0" o:hralign="center" o:hrstd="t" o:hr="t" fillcolor="#a0a0a0" stroked="f"/>
        </w:pict>
      </w:r>
    </w:p>
    <w:p w14:paraId="11F66E96" w14:textId="77777777" w:rsidR="00F8034F" w:rsidRPr="00F8034F" w:rsidRDefault="00F8034F" w:rsidP="007E6FBE">
      <w:pPr>
        <w:spacing w:after="240" w:line="360" w:lineRule="auto"/>
        <w:outlineLvl w:val="2"/>
        <w:rPr>
          <w:rFonts w:ascii="Times New Roman" w:hAnsi="Times New Roman"/>
          <w:b/>
          <w:bCs/>
          <w:lang w:val="en-HK"/>
        </w:rPr>
      </w:pPr>
      <w:r w:rsidRPr="00F8034F">
        <w:rPr>
          <w:rFonts w:ascii="Times New Roman" w:hAnsi="Times New Roman"/>
          <w:b/>
          <w:bCs/>
          <w:lang w:val="en-HK"/>
        </w:rPr>
        <w:t>Section 3: Practical Examples and Strategies (pp. 1005-1007)</w:t>
      </w:r>
    </w:p>
    <w:p w14:paraId="35FD1E93"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Overview</w:t>
      </w:r>
    </w:p>
    <w:p w14:paraId="4A8ABC14"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In this section, Hayton moves from the broader trends discussed earlier to concrete strategies and examples of how foreign trust laws can be utilized. He illustrates how trusts can be structured or adapted using foreign jurisdictions to circumvent English law’s restrictions, focusing on innovative trust types like Cayman STAR trusts and BVI VISTA trusts. He also emphasizes the importance of distinguishing between the law governing a trust’s validity and its ongoing administration.</w:t>
      </w:r>
    </w:p>
    <w:p w14:paraId="475E1A77"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Detailed Points</w:t>
      </w:r>
    </w:p>
    <w:p w14:paraId="002A20D9" w14:textId="77777777" w:rsidR="00F8034F" w:rsidRPr="00F8034F" w:rsidRDefault="00F8034F" w:rsidP="007E6FBE">
      <w:pPr>
        <w:numPr>
          <w:ilvl w:val="0"/>
          <w:numId w:val="3"/>
        </w:numPr>
        <w:spacing w:after="240" w:line="360" w:lineRule="auto"/>
        <w:rPr>
          <w:rFonts w:ascii="Times New Roman" w:hAnsi="Times New Roman"/>
          <w:lang w:val="en-HK"/>
        </w:rPr>
      </w:pPr>
      <w:r w:rsidRPr="00F8034F">
        <w:rPr>
          <w:rFonts w:ascii="Times New Roman" w:hAnsi="Times New Roman"/>
          <w:b/>
          <w:bCs/>
          <w:lang w:val="en-HK"/>
        </w:rPr>
        <w:t>Using Foreign Law to Achieve Flexibility</w:t>
      </w:r>
      <w:r w:rsidRPr="00F8034F">
        <w:rPr>
          <w:rFonts w:ascii="Times New Roman" w:hAnsi="Times New Roman"/>
          <w:lang w:val="en-HK"/>
        </w:rPr>
        <w:t xml:space="preserve"> </w:t>
      </w:r>
    </w:p>
    <w:p w14:paraId="6B3AE19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General Principle</w:t>
      </w:r>
      <w:r w:rsidRPr="00F8034F">
        <w:rPr>
          <w:rFonts w:ascii="Times New Roman" w:hAnsi="Times New Roman"/>
          <w:lang w:val="en-HK"/>
        </w:rPr>
        <w:t xml:space="preserve">: Hayton argues that English trust lawyers should increasingly use the </w:t>
      </w:r>
      <w:r w:rsidRPr="00F8034F">
        <w:rPr>
          <w:rFonts w:ascii="Times New Roman" w:hAnsi="Times New Roman"/>
          <w:i/>
          <w:iCs/>
          <w:lang w:val="en-HK"/>
        </w:rPr>
        <w:t>Recognition of Trusts Act 1987</w:t>
      </w:r>
      <w:r w:rsidRPr="00F8034F">
        <w:rPr>
          <w:rFonts w:ascii="Times New Roman" w:hAnsi="Times New Roman"/>
          <w:lang w:val="en-HK"/>
        </w:rPr>
        <w:t xml:space="preserve"> (incorporating the Hague Trusts Convention) to select foreign laws that allow results unattainable under English law.</w:t>
      </w:r>
    </w:p>
    <w:p w14:paraId="4CED9056"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Public Policy Caveat</w:t>
      </w:r>
      <w:r w:rsidRPr="00F8034F">
        <w:rPr>
          <w:rFonts w:ascii="Times New Roman" w:hAnsi="Times New Roman"/>
          <w:lang w:val="en-HK"/>
        </w:rPr>
        <w:t>: This approach is generally safe unless it conflicts with English public policy (e.g., a trust with significant English elements using a foreign law permitting self-settled spendthrift trusts might be challenged).</w:t>
      </w:r>
    </w:p>
    <w:p w14:paraId="50C70EBB" w14:textId="77777777" w:rsidR="00F8034F" w:rsidRPr="00F8034F" w:rsidRDefault="00F8034F" w:rsidP="007E6FBE">
      <w:pPr>
        <w:numPr>
          <w:ilvl w:val="0"/>
          <w:numId w:val="3"/>
        </w:numPr>
        <w:spacing w:after="240" w:line="360" w:lineRule="auto"/>
        <w:rPr>
          <w:rFonts w:ascii="Times New Roman" w:hAnsi="Times New Roman"/>
          <w:lang w:val="en-HK"/>
        </w:rPr>
      </w:pPr>
      <w:r w:rsidRPr="00F8034F">
        <w:rPr>
          <w:rFonts w:ascii="Times New Roman" w:hAnsi="Times New Roman"/>
          <w:b/>
          <w:bCs/>
          <w:lang w:val="en-HK"/>
        </w:rPr>
        <w:t>Strategic Structuring with a Hypothetical Jurisdiction (</w:t>
      </w:r>
      <w:proofErr w:type="spellStart"/>
      <w:r w:rsidRPr="00F8034F">
        <w:rPr>
          <w:rFonts w:ascii="Times New Roman" w:hAnsi="Times New Roman"/>
          <w:b/>
          <w:bCs/>
          <w:lang w:val="en-HK"/>
        </w:rPr>
        <w:t>Trustopia</w:t>
      </w:r>
      <w:proofErr w:type="spellEnd"/>
      <w:r w:rsidRPr="00F8034F">
        <w:rPr>
          <w:rFonts w:ascii="Times New Roman" w:hAnsi="Times New Roman"/>
          <w:b/>
          <w:bCs/>
          <w:lang w:val="en-HK"/>
        </w:rPr>
        <w:t>)</w:t>
      </w:r>
      <w:r w:rsidRPr="00F8034F">
        <w:rPr>
          <w:rFonts w:ascii="Times New Roman" w:hAnsi="Times New Roman"/>
          <w:lang w:val="en-HK"/>
        </w:rPr>
        <w:t xml:space="preserve"> </w:t>
      </w:r>
    </w:p>
    <w:p w14:paraId="7F8CED74"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Scenario</w:t>
      </w:r>
      <w:r w:rsidRPr="00F8034F">
        <w:rPr>
          <w:rFonts w:ascii="Times New Roman" w:hAnsi="Times New Roman"/>
          <w:lang w:val="en-HK"/>
        </w:rPr>
        <w:t>: Hayton proposes a strategy to mitigate risks when choosing a foreign law (e.g., “</w:t>
      </w:r>
      <w:proofErr w:type="spellStart"/>
      <w:r w:rsidRPr="00F8034F">
        <w:rPr>
          <w:rFonts w:ascii="Times New Roman" w:hAnsi="Times New Roman"/>
          <w:lang w:val="en-HK"/>
        </w:rPr>
        <w:t>Trustopian</w:t>
      </w:r>
      <w:proofErr w:type="spellEnd"/>
      <w:r w:rsidRPr="00F8034F">
        <w:rPr>
          <w:rFonts w:ascii="Times New Roman" w:hAnsi="Times New Roman"/>
          <w:lang w:val="en-HK"/>
        </w:rPr>
        <w:t>” law) that permits provisions impermissible under English law.</w:t>
      </w:r>
    </w:p>
    <w:p w14:paraId="5C7E6CF5"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Method</w:t>
      </w:r>
      <w:r w:rsidRPr="00F8034F">
        <w:rPr>
          <w:rFonts w:ascii="Times New Roman" w:hAnsi="Times New Roman"/>
          <w:lang w:val="en-HK"/>
        </w:rPr>
        <w:t xml:space="preserve">: </w:t>
      </w:r>
    </w:p>
    <w:p w14:paraId="7926C98B"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lastRenderedPageBreak/>
        <w:t xml:space="preserve">Start with a trust governed by </w:t>
      </w:r>
      <w:proofErr w:type="spellStart"/>
      <w:r w:rsidRPr="00F8034F">
        <w:rPr>
          <w:rFonts w:ascii="Times New Roman" w:hAnsi="Times New Roman"/>
          <w:lang w:val="en-HK"/>
        </w:rPr>
        <w:t>Trustopian</w:t>
      </w:r>
      <w:proofErr w:type="spellEnd"/>
      <w:r w:rsidRPr="00F8034F">
        <w:rPr>
          <w:rFonts w:ascii="Times New Roman" w:hAnsi="Times New Roman"/>
          <w:lang w:val="en-HK"/>
        </w:rPr>
        <w:t xml:space="preserve"> law, using </w:t>
      </w:r>
      <w:proofErr w:type="spellStart"/>
      <w:r w:rsidRPr="00F8034F">
        <w:rPr>
          <w:rFonts w:ascii="Times New Roman" w:hAnsi="Times New Roman"/>
          <w:lang w:val="en-HK"/>
        </w:rPr>
        <w:t>Trustopian</w:t>
      </w:r>
      <w:proofErr w:type="spellEnd"/>
      <w:r w:rsidRPr="00F8034F">
        <w:rPr>
          <w:rFonts w:ascii="Times New Roman" w:hAnsi="Times New Roman"/>
          <w:lang w:val="en-HK"/>
        </w:rPr>
        <w:t xml:space="preserve"> trustees, beneficiaries, and some </w:t>
      </w:r>
      <w:proofErr w:type="spellStart"/>
      <w:r w:rsidRPr="00F8034F">
        <w:rPr>
          <w:rFonts w:ascii="Times New Roman" w:hAnsi="Times New Roman"/>
          <w:lang w:val="en-HK"/>
        </w:rPr>
        <w:t>Trustopian</w:t>
      </w:r>
      <w:proofErr w:type="spellEnd"/>
      <w:r w:rsidRPr="00F8034F">
        <w:rPr>
          <w:rFonts w:ascii="Times New Roman" w:hAnsi="Times New Roman"/>
          <w:lang w:val="en-HK"/>
        </w:rPr>
        <w:t xml:space="preserve"> assets (plus other property).</w:t>
      </w:r>
    </w:p>
    <w:p w14:paraId="600ED1D4"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 xml:space="preserve">Initially, the trust accumulates income, with occasional small distributions to a </w:t>
      </w:r>
      <w:proofErr w:type="spellStart"/>
      <w:r w:rsidRPr="00F8034F">
        <w:rPr>
          <w:rFonts w:ascii="Times New Roman" w:hAnsi="Times New Roman"/>
          <w:lang w:val="en-HK"/>
        </w:rPr>
        <w:t>Trustopian</w:t>
      </w:r>
      <w:proofErr w:type="spellEnd"/>
      <w:r w:rsidRPr="00F8034F">
        <w:rPr>
          <w:rFonts w:ascii="Times New Roman" w:hAnsi="Times New Roman"/>
          <w:lang w:val="en-HK"/>
        </w:rPr>
        <w:t xml:space="preserve"> charity (under an express power).</w:t>
      </w:r>
    </w:p>
    <w:p w14:paraId="3394A748"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After a year or so, powers to add or exclude beneficiaries are exercised to shift the trust’s elements (trustees, beneficiaries, assets) to English ones.</w:t>
      </w:r>
    </w:p>
    <w:p w14:paraId="68E232E5"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Outcome</w:t>
      </w:r>
      <w:r w:rsidRPr="00F8034F">
        <w:rPr>
          <w:rFonts w:ascii="Times New Roman" w:hAnsi="Times New Roman"/>
          <w:lang w:val="en-HK"/>
        </w:rPr>
        <w:t xml:space="preserve">: The trust remains valid under </w:t>
      </w:r>
      <w:proofErr w:type="spellStart"/>
      <w:r w:rsidRPr="00F8034F">
        <w:rPr>
          <w:rFonts w:ascii="Times New Roman" w:hAnsi="Times New Roman"/>
          <w:lang w:val="en-HK"/>
        </w:rPr>
        <w:t>Trustopian</w:t>
      </w:r>
      <w:proofErr w:type="spellEnd"/>
      <w:r w:rsidRPr="00F8034F">
        <w:rPr>
          <w:rFonts w:ascii="Times New Roman" w:hAnsi="Times New Roman"/>
          <w:lang w:val="en-HK"/>
        </w:rPr>
        <w:t xml:space="preserve"> law despite becoming “English” in character, as its initial validity isn’t undone by subsequent substitutions.</w:t>
      </w:r>
    </w:p>
    <w:p w14:paraId="48C76ECE"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Rationale</w:t>
      </w:r>
      <w:r w:rsidRPr="00F8034F">
        <w:rPr>
          <w:rFonts w:ascii="Times New Roman" w:hAnsi="Times New Roman"/>
          <w:lang w:val="en-HK"/>
        </w:rPr>
        <w:t xml:space="preserve">: If this end result can be achieved indirectly (via gradual substitution), Hayton questions why it couldn’t be done directly by choosing </w:t>
      </w:r>
      <w:proofErr w:type="spellStart"/>
      <w:r w:rsidRPr="00F8034F">
        <w:rPr>
          <w:rFonts w:ascii="Times New Roman" w:hAnsi="Times New Roman"/>
          <w:lang w:val="en-HK"/>
        </w:rPr>
        <w:t>Trustopian</w:t>
      </w:r>
      <w:proofErr w:type="spellEnd"/>
      <w:r w:rsidRPr="00F8034F">
        <w:rPr>
          <w:rFonts w:ascii="Times New Roman" w:hAnsi="Times New Roman"/>
          <w:lang w:val="en-HK"/>
        </w:rPr>
        <w:t xml:space="preserve"> law from the outset. He suggests Article 18 of the Trusts Convention (allowing disregard of foreign law if “manifestly incompatible with public policy”) would require an extreme case (e.g., criminal purposes or human rights violations) to intervene.</w:t>
      </w:r>
    </w:p>
    <w:p w14:paraId="25F2B918" w14:textId="77777777" w:rsidR="00F8034F" w:rsidRPr="00F8034F" w:rsidRDefault="00F8034F" w:rsidP="007E6FBE">
      <w:pPr>
        <w:numPr>
          <w:ilvl w:val="0"/>
          <w:numId w:val="3"/>
        </w:numPr>
        <w:spacing w:after="240" w:line="360" w:lineRule="auto"/>
        <w:rPr>
          <w:rFonts w:ascii="Times New Roman" w:hAnsi="Times New Roman"/>
          <w:lang w:val="en-HK"/>
        </w:rPr>
      </w:pPr>
      <w:r w:rsidRPr="00F8034F">
        <w:rPr>
          <w:rFonts w:ascii="Times New Roman" w:hAnsi="Times New Roman"/>
          <w:b/>
          <w:bCs/>
          <w:lang w:val="en-HK"/>
        </w:rPr>
        <w:t>Cayman STAR Trusts</w:t>
      </w:r>
      <w:r w:rsidRPr="00F8034F">
        <w:rPr>
          <w:rFonts w:ascii="Times New Roman" w:hAnsi="Times New Roman"/>
          <w:lang w:val="en-HK"/>
        </w:rPr>
        <w:t xml:space="preserve"> </w:t>
      </w:r>
    </w:p>
    <w:p w14:paraId="6BB3828A"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Description</w:t>
      </w:r>
      <w:r w:rsidRPr="00F8034F">
        <w:rPr>
          <w:rFonts w:ascii="Times New Roman" w:hAnsi="Times New Roman"/>
          <w:lang w:val="en-HK"/>
        </w:rPr>
        <w:t>: Introduced in 1997 under Cayman law (inspired by Antony Duckworth), Special Trusts Alternative Regime (STAR) trusts allow non-charitable purpose trusts and limit beneficiary rights.</w:t>
      </w:r>
    </w:p>
    <w:p w14:paraId="60A3EA82"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Key Features</w:t>
      </w:r>
      <w:r w:rsidRPr="00F8034F">
        <w:rPr>
          <w:rFonts w:ascii="Times New Roman" w:hAnsi="Times New Roman"/>
          <w:lang w:val="en-HK"/>
        </w:rPr>
        <w:t xml:space="preserve">: </w:t>
      </w:r>
    </w:p>
    <w:p w14:paraId="0B68592B"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Beneficiaries have no rights unless appointed as “enforcers” (unlike English law, where beneficiaries typically have enforceable equitable interests).</w:t>
      </w:r>
    </w:p>
    <w:p w14:paraId="3D31753A"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Trustees can make distributions to beneficiaries until the settlor revokes this authority or dies.</w:t>
      </w:r>
    </w:p>
    <w:p w14:paraId="2D6B0B2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Avoiding Resulting Trusts</w:t>
      </w:r>
      <w:r w:rsidRPr="00F8034F">
        <w:rPr>
          <w:rFonts w:ascii="Times New Roman" w:hAnsi="Times New Roman"/>
          <w:lang w:val="en-HK"/>
        </w:rPr>
        <w:t xml:space="preserve">: </w:t>
      </w:r>
    </w:p>
    <w:p w14:paraId="7E97FC9B"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Without an enforcer, there’s a risk of a resulting trust reverting property to the settlor (implying the settlor retains beneficial ownership).</w:t>
      </w:r>
    </w:p>
    <w:p w14:paraId="27C2C8E9"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Hayton suggests appointing at least one beneficiary as an enforcer to enforce the trust’s purposes, avoiding this outcome.</w:t>
      </w:r>
    </w:p>
    <w:p w14:paraId="76A25D32"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lastRenderedPageBreak/>
        <w:t>An alternative view likens STAR trustees to executors with legal beneficial ownership, but Hayton notes this analogy fails since the settlor is alive (unlike a deceased testator) and beneficiaries lack standing to enforce without enforcer status.</w:t>
      </w:r>
    </w:p>
    <w:p w14:paraId="4DDE3D1A"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Appeal</w:t>
      </w:r>
      <w:r w:rsidRPr="00F8034F">
        <w:rPr>
          <w:rFonts w:ascii="Times New Roman" w:hAnsi="Times New Roman"/>
          <w:lang w:val="en-HK"/>
        </w:rPr>
        <w:t>: STAR trusts strengthen settlor control and protect assets, appealing to settlors seeking flexibility over traditional beneficiary-centric models.</w:t>
      </w:r>
    </w:p>
    <w:p w14:paraId="61DAE489" w14:textId="77777777" w:rsidR="00F8034F" w:rsidRPr="00F8034F" w:rsidRDefault="00F8034F" w:rsidP="007E6FBE">
      <w:pPr>
        <w:numPr>
          <w:ilvl w:val="0"/>
          <w:numId w:val="3"/>
        </w:numPr>
        <w:spacing w:after="240" w:line="360" w:lineRule="auto"/>
        <w:rPr>
          <w:rFonts w:ascii="Times New Roman" w:hAnsi="Times New Roman"/>
          <w:lang w:val="en-HK"/>
        </w:rPr>
      </w:pPr>
      <w:r w:rsidRPr="00F8034F">
        <w:rPr>
          <w:rFonts w:ascii="Times New Roman" w:hAnsi="Times New Roman"/>
          <w:b/>
          <w:bCs/>
          <w:lang w:val="en-HK"/>
        </w:rPr>
        <w:t>BVI VISTA Trusts</w:t>
      </w:r>
      <w:r w:rsidRPr="00F8034F">
        <w:rPr>
          <w:rFonts w:ascii="Times New Roman" w:hAnsi="Times New Roman"/>
          <w:lang w:val="en-HK"/>
        </w:rPr>
        <w:t xml:space="preserve"> </w:t>
      </w:r>
    </w:p>
    <w:p w14:paraId="257E50A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Description</w:t>
      </w:r>
      <w:r w:rsidRPr="00F8034F">
        <w:rPr>
          <w:rFonts w:ascii="Times New Roman" w:hAnsi="Times New Roman"/>
          <w:lang w:val="en-HK"/>
        </w:rPr>
        <w:t xml:space="preserve">: Created under the British Virgin Islands’ </w:t>
      </w:r>
      <w:r w:rsidRPr="00F8034F">
        <w:rPr>
          <w:rFonts w:ascii="Times New Roman" w:hAnsi="Times New Roman"/>
          <w:i/>
          <w:iCs/>
          <w:lang w:val="en-HK"/>
        </w:rPr>
        <w:t>Special Trusts Act 2003</w:t>
      </w:r>
      <w:r w:rsidRPr="00F8034F">
        <w:rPr>
          <w:rFonts w:ascii="Times New Roman" w:hAnsi="Times New Roman"/>
          <w:lang w:val="en-HK"/>
        </w:rPr>
        <w:t xml:space="preserve"> (as amended), Virgin Islands Special Trusts Act (VISTA) trusts are designed for trusts holding company shares.</w:t>
      </w:r>
    </w:p>
    <w:p w14:paraId="79E924A7"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Key Features</w:t>
      </w:r>
      <w:r w:rsidRPr="00F8034F">
        <w:rPr>
          <w:rFonts w:ascii="Times New Roman" w:hAnsi="Times New Roman"/>
          <w:lang w:val="en-HK"/>
        </w:rPr>
        <w:t xml:space="preserve">: </w:t>
      </w:r>
    </w:p>
    <w:p w14:paraId="003022E4"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 xml:space="preserve">Trustees are relieved of the duty to monitor or intervene in the management of underlying companies (contrasting with English law’s </w:t>
      </w:r>
      <w:r w:rsidRPr="00F8034F">
        <w:rPr>
          <w:rFonts w:ascii="Times New Roman" w:hAnsi="Times New Roman"/>
          <w:i/>
          <w:iCs/>
          <w:lang w:val="en-HK"/>
        </w:rPr>
        <w:t>Bartlett v Barclays Bank Trust Co Ltd</w:t>
      </w:r>
      <w:r w:rsidRPr="00F8034F">
        <w:rPr>
          <w:rFonts w:ascii="Times New Roman" w:hAnsi="Times New Roman"/>
          <w:lang w:val="en-HK"/>
        </w:rPr>
        <w:t xml:space="preserve"> [1980] Ch 515, which imposes such duties).</w:t>
      </w:r>
    </w:p>
    <w:p w14:paraId="51B740D8"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Directors manage the company free from trustee interference, unless the trust instrument permits intervention (e.g., for trading or investment companies where the settlor wants control).</w:t>
      </w:r>
    </w:p>
    <w:p w14:paraId="7E3F8B43"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Benefits</w:t>
      </w:r>
      <w:r w:rsidRPr="00F8034F">
        <w:rPr>
          <w:rFonts w:ascii="Times New Roman" w:hAnsi="Times New Roman"/>
          <w:lang w:val="en-HK"/>
        </w:rPr>
        <w:t xml:space="preserve">: </w:t>
      </w:r>
    </w:p>
    <w:p w14:paraId="66CE8E09"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Reduces trustee liability and insurance costs, as trustees aren’t responsible for company performance.</w:t>
      </w:r>
    </w:p>
    <w:p w14:paraId="1D2BE37C"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Ideal for settlors who wish to run companies themselves or delegate to skilled directors, not trustees.</w:t>
      </w:r>
    </w:p>
    <w:p w14:paraId="37C2DB52"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Appeal</w:t>
      </w:r>
      <w:r w:rsidRPr="00F8034F">
        <w:rPr>
          <w:rFonts w:ascii="Times New Roman" w:hAnsi="Times New Roman"/>
          <w:lang w:val="en-HK"/>
        </w:rPr>
        <w:t>: VISTA trusts offer a practical solution for business-owning families, aligning trust structures with commercial realities.</w:t>
      </w:r>
    </w:p>
    <w:p w14:paraId="4964B95F" w14:textId="77777777" w:rsidR="00F8034F" w:rsidRPr="00F8034F" w:rsidRDefault="00F8034F" w:rsidP="007E6FBE">
      <w:pPr>
        <w:numPr>
          <w:ilvl w:val="0"/>
          <w:numId w:val="3"/>
        </w:numPr>
        <w:spacing w:after="240" w:line="360" w:lineRule="auto"/>
        <w:rPr>
          <w:rFonts w:ascii="Times New Roman" w:hAnsi="Times New Roman"/>
          <w:lang w:val="en-HK"/>
        </w:rPr>
      </w:pPr>
      <w:r w:rsidRPr="00F8034F">
        <w:rPr>
          <w:rFonts w:ascii="Times New Roman" w:hAnsi="Times New Roman"/>
          <w:b/>
          <w:bCs/>
          <w:lang w:val="en-HK"/>
        </w:rPr>
        <w:t>Distinction Between Launching and Governing a Trust</w:t>
      </w:r>
      <w:r w:rsidRPr="00F8034F">
        <w:rPr>
          <w:rFonts w:ascii="Times New Roman" w:hAnsi="Times New Roman"/>
          <w:lang w:val="en-HK"/>
        </w:rPr>
        <w:t xml:space="preserve"> </w:t>
      </w:r>
    </w:p>
    <w:p w14:paraId="38285086"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Critical Distinction</w:t>
      </w:r>
      <w:r w:rsidRPr="00F8034F">
        <w:rPr>
          <w:rFonts w:ascii="Times New Roman" w:hAnsi="Times New Roman"/>
          <w:lang w:val="en-HK"/>
        </w:rPr>
        <w:t>: Hayton stresses that the law determining whether a trust is validly launched (e.g., property transfer to trustees) differs from the law governing its ongoing administration.</w:t>
      </w:r>
    </w:p>
    <w:p w14:paraId="7DA5E471"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lastRenderedPageBreak/>
        <w:t>Hague Convention Context</w:t>
      </w:r>
      <w:r w:rsidRPr="00F8034F">
        <w:rPr>
          <w:rFonts w:ascii="Times New Roman" w:hAnsi="Times New Roman"/>
          <w:lang w:val="en-HK"/>
        </w:rPr>
        <w:t xml:space="preserve">: Article 4 excludes “preliminary issues” (e.g., validity of property transfers or wills) from the Convention’s scope, meaning the settlor can’t choose this law—typically, it’s the </w:t>
      </w:r>
      <w:r w:rsidRPr="00F8034F">
        <w:rPr>
          <w:rFonts w:ascii="Times New Roman" w:hAnsi="Times New Roman"/>
          <w:i/>
          <w:iCs/>
          <w:lang w:val="en-HK"/>
        </w:rPr>
        <w:t>lex situs</w:t>
      </w:r>
      <w:r w:rsidRPr="00F8034F">
        <w:rPr>
          <w:rFonts w:ascii="Times New Roman" w:hAnsi="Times New Roman"/>
          <w:lang w:val="en-HK"/>
        </w:rPr>
        <w:t xml:space="preserve"> (law of the property’s location).</w:t>
      </w:r>
    </w:p>
    <w:p w14:paraId="6039B2FE"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Example</w:t>
      </w:r>
      <w:r w:rsidRPr="00F8034F">
        <w:rPr>
          <w:rFonts w:ascii="Times New Roman" w:hAnsi="Times New Roman"/>
          <w:lang w:val="en-HK"/>
        </w:rPr>
        <w:t xml:space="preserve">: </w:t>
      </w:r>
    </w:p>
    <w:p w14:paraId="2094A25A"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 xml:space="preserve">An inter </w:t>
      </w:r>
      <w:proofErr w:type="spellStart"/>
      <w:r w:rsidRPr="00F8034F">
        <w:rPr>
          <w:rFonts w:ascii="Times New Roman" w:hAnsi="Times New Roman"/>
          <w:lang w:val="en-HK"/>
        </w:rPr>
        <w:t>vivos</w:t>
      </w:r>
      <w:proofErr w:type="spellEnd"/>
      <w:r w:rsidRPr="00F8034F">
        <w:rPr>
          <w:rFonts w:ascii="Times New Roman" w:hAnsi="Times New Roman"/>
          <w:lang w:val="en-HK"/>
        </w:rPr>
        <w:t xml:space="preserve"> gift of English property to trustees is subject to English law for validity (e.g., under the </w:t>
      </w:r>
      <w:r w:rsidRPr="00F8034F">
        <w:rPr>
          <w:rFonts w:ascii="Times New Roman" w:hAnsi="Times New Roman"/>
          <w:i/>
          <w:iCs/>
          <w:lang w:val="en-HK"/>
        </w:rPr>
        <w:t>Insolvency Act 1986</w:t>
      </w:r>
      <w:r w:rsidRPr="00F8034F">
        <w:rPr>
          <w:rFonts w:ascii="Times New Roman" w:hAnsi="Times New Roman"/>
          <w:lang w:val="en-HK"/>
        </w:rPr>
        <w:t xml:space="preserve"> for creditor avoidance or </w:t>
      </w:r>
      <w:r w:rsidRPr="00F8034F">
        <w:rPr>
          <w:rFonts w:ascii="Times New Roman" w:hAnsi="Times New Roman"/>
          <w:i/>
          <w:iCs/>
          <w:lang w:val="en-HK"/>
        </w:rPr>
        <w:t>Matrimonial Causes Act 1973</w:t>
      </w:r>
      <w:r w:rsidRPr="00F8034F">
        <w:rPr>
          <w:rFonts w:ascii="Times New Roman" w:hAnsi="Times New Roman"/>
          <w:lang w:val="en-HK"/>
        </w:rPr>
        <w:t xml:space="preserve"> for divorce claims), not the chosen trust law.</w:t>
      </w:r>
    </w:p>
    <w:p w14:paraId="012515A4" w14:textId="77777777" w:rsidR="00F8034F" w:rsidRPr="00F8034F" w:rsidRDefault="00F8034F" w:rsidP="007E6FBE">
      <w:pPr>
        <w:numPr>
          <w:ilvl w:val="2"/>
          <w:numId w:val="3"/>
        </w:numPr>
        <w:spacing w:after="240" w:line="360" w:lineRule="auto"/>
        <w:rPr>
          <w:rFonts w:ascii="Times New Roman" w:hAnsi="Times New Roman"/>
          <w:lang w:val="en-HK"/>
        </w:rPr>
      </w:pPr>
      <w:r w:rsidRPr="00F8034F">
        <w:rPr>
          <w:rFonts w:ascii="Times New Roman" w:hAnsi="Times New Roman"/>
          <w:lang w:val="en-HK"/>
        </w:rPr>
        <w:t xml:space="preserve">However, equitable </w:t>
      </w:r>
      <w:r w:rsidRPr="00F8034F">
        <w:rPr>
          <w:rFonts w:ascii="Times New Roman" w:hAnsi="Times New Roman"/>
          <w:i/>
          <w:iCs/>
          <w:lang w:val="en-HK"/>
        </w:rPr>
        <w:t xml:space="preserve">in </w:t>
      </w:r>
      <w:proofErr w:type="spellStart"/>
      <w:r w:rsidRPr="00F8034F">
        <w:rPr>
          <w:rFonts w:ascii="Times New Roman" w:hAnsi="Times New Roman"/>
          <w:i/>
          <w:iCs/>
          <w:lang w:val="en-HK"/>
        </w:rPr>
        <w:t>personam</w:t>
      </w:r>
      <w:proofErr w:type="spellEnd"/>
      <w:r w:rsidRPr="00F8034F">
        <w:rPr>
          <w:rFonts w:ascii="Times New Roman" w:hAnsi="Times New Roman"/>
          <w:lang w:val="en-HK"/>
        </w:rPr>
        <w:t xml:space="preserve"> relief (e.g., rectification for mistake) might depend on the parties’ closest legal system.</w:t>
      </w:r>
    </w:p>
    <w:p w14:paraId="06BBD7E0" w14:textId="77777777" w:rsidR="00F8034F" w:rsidRPr="00F8034F" w:rsidRDefault="00F8034F" w:rsidP="007E6FBE">
      <w:pPr>
        <w:numPr>
          <w:ilvl w:val="1"/>
          <w:numId w:val="3"/>
        </w:numPr>
        <w:spacing w:after="240" w:line="360" w:lineRule="auto"/>
        <w:rPr>
          <w:rFonts w:ascii="Times New Roman" w:hAnsi="Times New Roman"/>
          <w:lang w:val="en-HK"/>
        </w:rPr>
      </w:pPr>
      <w:r w:rsidRPr="00F8034F">
        <w:rPr>
          <w:rFonts w:ascii="Times New Roman" w:hAnsi="Times New Roman"/>
          <w:b/>
          <w:bCs/>
          <w:lang w:val="en-HK"/>
        </w:rPr>
        <w:t>Testamentary Trusts</w:t>
      </w:r>
      <w:r w:rsidRPr="00F8034F">
        <w:rPr>
          <w:rFonts w:ascii="Times New Roman" w:hAnsi="Times New Roman"/>
          <w:lang w:val="en-HK"/>
        </w:rPr>
        <w:t>: Succession law governs what property passes to trustees, accounting for mandatory family protection rules (e.g., forced heirship in civil law jurisdictions).</w:t>
      </w:r>
    </w:p>
    <w:p w14:paraId="6F554EB1" w14:textId="77777777" w:rsidR="00F8034F" w:rsidRPr="00F8034F" w:rsidRDefault="00F8034F" w:rsidP="007E6FBE">
      <w:pPr>
        <w:numPr>
          <w:ilvl w:val="0"/>
          <w:numId w:val="3"/>
        </w:numPr>
        <w:spacing w:after="240" w:line="360" w:lineRule="auto"/>
        <w:rPr>
          <w:rFonts w:ascii="Times New Roman" w:hAnsi="Times New Roman"/>
          <w:lang w:val="en-HK"/>
        </w:rPr>
      </w:pPr>
      <w:r w:rsidRPr="00F8034F">
        <w:rPr>
          <w:rFonts w:ascii="Times New Roman" w:hAnsi="Times New Roman"/>
          <w:b/>
          <w:bCs/>
          <w:lang w:val="en-HK"/>
        </w:rPr>
        <w:t>UK’s Stance on EU Succession Regulation</w:t>
      </w:r>
      <w:r w:rsidRPr="00F8034F">
        <w:rPr>
          <w:rFonts w:ascii="Times New Roman" w:hAnsi="Times New Roman"/>
          <w:lang w:val="en-HK"/>
        </w:rPr>
        <w:t xml:space="preserve"> </w:t>
      </w:r>
    </w:p>
    <w:p w14:paraId="36B8C8FC" w14:textId="77777777" w:rsidR="00F8034F" w:rsidRPr="00F8034F" w:rsidRDefault="00F8034F" w:rsidP="007E6FBE">
      <w:pPr>
        <w:numPr>
          <w:ilvl w:val="1"/>
          <w:numId w:val="3"/>
        </w:numPr>
        <w:spacing w:after="240" w:line="360" w:lineRule="auto"/>
        <w:rPr>
          <w:rFonts w:ascii="Times New Roman" w:hAnsi="Times New Roman"/>
          <w:lang w:val="en-HK"/>
        </w:rPr>
      </w:pPr>
      <w:r w:rsidRPr="00F8034F">
        <w:rPr>
          <w:rFonts w:ascii="Times New Roman" w:hAnsi="Times New Roman"/>
          <w:lang w:val="en-HK"/>
        </w:rPr>
        <w:t xml:space="preserve">The UK (and Ireland) opted out of the </w:t>
      </w:r>
      <w:r w:rsidRPr="00F8034F">
        <w:rPr>
          <w:rFonts w:ascii="Times New Roman" w:hAnsi="Times New Roman"/>
          <w:i/>
          <w:iCs/>
          <w:lang w:val="en-HK"/>
        </w:rPr>
        <w:t>EU Succession Regulation No 650 of 2012</w:t>
      </w:r>
      <w:r w:rsidRPr="00F8034F">
        <w:rPr>
          <w:rFonts w:ascii="Times New Roman" w:hAnsi="Times New Roman"/>
          <w:lang w:val="en-HK"/>
        </w:rPr>
        <w:t>, preserving the status quo.</w:t>
      </w:r>
    </w:p>
    <w:p w14:paraId="6A03442F" w14:textId="77777777" w:rsidR="00F8034F" w:rsidRPr="00F8034F" w:rsidRDefault="00F8034F" w:rsidP="007E6FBE">
      <w:pPr>
        <w:numPr>
          <w:ilvl w:val="1"/>
          <w:numId w:val="3"/>
        </w:numPr>
        <w:spacing w:after="240" w:line="360" w:lineRule="auto"/>
        <w:rPr>
          <w:rFonts w:ascii="Times New Roman" w:hAnsi="Times New Roman"/>
          <w:lang w:val="en-HK"/>
        </w:rPr>
      </w:pPr>
      <w:r w:rsidRPr="00F8034F">
        <w:rPr>
          <w:rFonts w:ascii="Times New Roman" w:hAnsi="Times New Roman"/>
          <w:lang w:val="en-HK"/>
        </w:rPr>
        <w:t>Had it opted in, lifetime gifts could be clawed back to satisfy civil law forced heirs, enlarging the testator’s patrimony for heirship claims (e.g., three children claiming three-quarters of an estate, including gifts from 5-30 years prior).</w:t>
      </w:r>
    </w:p>
    <w:p w14:paraId="1A5BBAB5" w14:textId="77777777" w:rsidR="00F8034F" w:rsidRPr="00F8034F" w:rsidRDefault="00F8034F" w:rsidP="007E6FBE">
      <w:pPr>
        <w:numPr>
          <w:ilvl w:val="1"/>
          <w:numId w:val="3"/>
        </w:numPr>
        <w:spacing w:after="240" w:line="360" w:lineRule="auto"/>
        <w:rPr>
          <w:rFonts w:ascii="Times New Roman" w:hAnsi="Times New Roman"/>
          <w:lang w:val="en-HK"/>
        </w:rPr>
      </w:pPr>
      <w:r w:rsidRPr="00F8034F">
        <w:rPr>
          <w:rFonts w:ascii="Times New Roman" w:hAnsi="Times New Roman"/>
          <w:lang w:val="en-HK"/>
        </w:rPr>
        <w:t xml:space="preserve">This opt-out protects English-domiciled settlors’ lifetime gifts from such claims, barring exceptional cases under the </w:t>
      </w:r>
      <w:r w:rsidRPr="00F8034F">
        <w:rPr>
          <w:rFonts w:ascii="Times New Roman" w:hAnsi="Times New Roman"/>
          <w:i/>
          <w:iCs/>
          <w:lang w:val="en-HK"/>
        </w:rPr>
        <w:t>Inheritance (Provision for Family and Dependants) Act 1975</w:t>
      </w:r>
      <w:r w:rsidRPr="00F8034F">
        <w:rPr>
          <w:rFonts w:ascii="Times New Roman" w:hAnsi="Times New Roman"/>
          <w:lang w:val="en-HK"/>
        </w:rPr>
        <w:t>.</w:t>
      </w:r>
    </w:p>
    <w:p w14:paraId="4C16805A"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Key Insight</w:t>
      </w:r>
    </w:p>
    <w:p w14:paraId="1646EB4B"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Hayton showcases practical applications of foreign trust laws (e.g., STAR and VISTA trusts) to achieve settlor-friendly outcomes, like asset protection and reduced trustee liability. He illustrates a strategic workaround (</w:t>
      </w:r>
      <w:proofErr w:type="spellStart"/>
      <w:r w:rsidRPr="00F8034F">
        <w:rPr>
          <w:rFonts w:ascii="Times New Roman" w:hAnsi="Times New Roman"/>
          <w:lang w:val="en-HK"/>
        </w:rPr>
        <w:t>Trustopia</w:t>
      </w:r>
      <w:proofErr w:type="spellEnd"/>
      <w:r w:rsidRPr="00F8034F">
        <w:rPr>
          <w:rFonts w:ascii="Times New Roman" w:hAnsi="Times New Roman"/>
          <w:lang w:val="en-HK"/>
        </w:rPr>
        <w:t xml:space="preserve"> example) to integrate English elements safely and clarifies the legal limits (launch vs. governance distinction), grounding his optimism in real-world tools while noting jurisdictional boundaries.</w:t>
      </w:r>
    </w:p>
    <w:p w14:paraId="3AE196AE" w14:textId="462E34A5" w:rsidR="00F8034F" w:rsidRPr="007E6FBE" w:rsidRDefault="00343E31" w:rsidP="007E6FBE">
      <w:pPr>
        <w:spacing w:after="240" w:line="360" w:lineRule="auto"/>
        <w:rPr>
          <w:rFonts w:ascii="Times New Roman" w:hAnsi="Times New Roman"/>
          <w:lang w:val="en-HK"/>
        </w:rPr>
      </w:pPr>
      <w:r w:rsidRPr="00343E31">
        <w:rPr>
          <w:rFonts w:ascii="Times New Roman" w:hAnsi="Times New Roman"/>
          <w:noProof/>
          <w:lang w:val="en-HK"/>
          <w14:ligatures w14:val="standardContextual"/>
        </w:rPr>
        <w:pict w14:anchorId="75A6724F">
          <v:rect id="_x0000_i1029" alt="" style="width:451.3pt;height:.05pt;mso-width-percent:0;mso-height-percent:0;mso-width-percent:0;mso-height-percent:0" o:hralign="center" o:hrstd="t" o:hr="t" fillcolor="#a0a0a0" stroked="f"/>
        </w:pict>
      </w:r>
    </w:p>
    <w:p w14:paraId="0F867398" w14:textId="77777777" w:rsidR="00F8034F" w:rsidRPr="00F8034F" w:rsidRDefault="00F8034F" w:rsidP="007E6FBE">
      <w:pPr>
        <w:spacing w:after="240" w:line="360" w:lineRule="auto"/>
        <w:outlineLvl w:val="2"/>
        <w:rPr>
          <w:rFonts w:ascii="Times New Roman" w:hAnsi="Times New Roman"/>
          <w:b/>
          <w:bCs/>
          <w:lang w:val="en-HK"/>
        </w:rPr>
      </w:pPr>
      <w:r w:rsidRPr="00F8034F">
        <w:rPr>
          <w:rFonts w:ascii="Times New Roman" w:hAnsi="Times New Roman"/>
          <w:b/>
          <w:bCs/>
          <w:lang w:val="en-HK"/>
        </w:rPr>
        <w:lastRenderedPageBreak/>
        <w:t>Section 4: Changing Governing Law: Opportunities and Limits (pp. 1007-1009)</w:t>
      </w:r>
    </w:p>
    <w:p w14:paraId="340D522E"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Overview</w:t>
      </w:r>
    </w:p>
    <w:p w14:paraId="7E167EE1"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In this section, Hayton examines how trusts can adapt by switching their governing law to exploit jurisdictions with liberal rules and robust protections, such as Cayman, Bermuda, and Jersey. He highlights the "siren calls" of these jurisdictions, offering retrospective fixes and enhanced flexibility, but cautions about jurisdictional and legal constraints that may limit the effectiveness of such changes, particularly regarding extraterritorial recognition and crystallized rights.</w:t>
      </w:r>
    </w:p>
    <w:p w14:paraId="400E8B94"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Detailed Points</w:t>
      </w:r>
    </w:p>
    <w:p w14:paraId="090D80C4" w14:textId="77777777" w:rsidR="00F8034F" w:rsidRPr="00F8034F" w:rsidRDefault="00F8034F" w:rsidP="007E6FBE">
      <w:pPr>
        <w:numPr>
          <w:ilvl w:val="0"/>
          <w:numId w:val="4"/>
        </w:numPr>
        <w:spacing w:after="240" w:line="360" w:lineRule="auto"/>
        <w:rPr>
          <w:rFonts w:ascii="Times New Roman" w:hAnsi="Times New Roman"/>
          <w:lang w:val="en-HK"/>
        </w:rPr>
      </w:pPr>
      <w:r w:rsidRPr="00F8034F">
        <w:rPr>
          <w:rFonts w:ascii="Times New Roman" w:hAnsi="Times New Roman"/>
          <w:b/>
          <w:bCs/>
          <w:lang w:val="en-HK"/>
        </w:rPr>
        <w:t>The Appeal of Changing Governing Law</w:t>
      </w:r>
      <w:r w:rsidRPr="00F8034F">
        <w:rPr>
          <w:rFonts w:ascii="Times New Roman" w:hAnsi="Times New Roman"/>
          <w:lang w:val="en-HK"/>
        </w:rPr>
        <w:t xml:space="preserve"> </w:t>
      </w:r>
    </w:p>
    <w:p w14:paraId="66118411"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Concept</w:t>
      </w:r>
      <w:r w:rsidRPr="00F8034F">
        <w:rPr>
          <w:rFonts w:ascii="Times New Roman" w:hAnsi="Times New Roman"/>
          <w:lang w:val="en-HK"/>
        </w:rPr>
        <w:t>: Trusts often include express powers allowing trustees to change the governing law, a mechanism Hayton sees as increasingly utilized to access advantageous foreign laws.</w:t>
      </w:r>
    </w:p>
    <w:p w14:paraId="4904681A"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Siren Calls</w:t>
      </w:r>
      <w:r w:rsidRPr="00F8034F">
        <w:rPr>
          <w:rFonts w:ascii="Times New Roman" w:hAnsi="Times New Roman"/>
          <w:lang w:val="en-HK"/>
        </w:rPr>
        <w:t>: Hayton uses this metaphor to describe jurisdictions with comprehensive legislation that encourages such shifts, promising solutions to problems unsolvable under the original law.</w:t>
      </w:r>
    </w:p>
    <w:p w14:paraId="491A84D0" w14:textId="77777777" w:rsidR="00F8034F" w:rsidRPr="00F8034F" w:rsidRDefault="00F8034F" w:rsidP="007E6FBE">
      <w:pPr>
        <w:numPr>
          <w:ilvl w:val="0"/>
          <w:numId w:val="4"/>
        </w:numPr>
        <w:spacing w:after="240" w:line="360" w:lineRule="auto"/>
        <w:rPr>
          <w:rFonts w:ascii="Times New Roman" w:hAnsi="Times New Roman"/>
          <w:lang w:val="en-HK"/>
        </w:rPr>
      </w:pPr>
      <w:r w:rsidRPr="00F8034F">
        <w:rPr>
          <w:rFonts w:ascii="Times New Roman" w:hAnsi="Times New Roman"/>
          <w:b/>
          <w:bCs/>
          <w:lang w:val="en-HK"/>
        </w:rPr>
        <w:t>Cayman Islands Example: Section 90 of the Trusts Law (2011 Revision)</w:t>
      </w:r>
      <w:r w:rsidRPr="00F8034F">
        <w:rPr>
          <w:rFonts w:ascii="Times New Roman" w:hAnsi="Times New Roman"/>
          <w:lang w:val="en-HK"/>
        </w:rPr>
        <w:t xml:space="preserve"> </w:t>
      </w:r>
    </w:p>
    <w:p w14:paraId="1965F176"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Legislation</w:t>
      </w:r>
      <w:r w:rsidRPr="00F8034F">
        <w:rPr>
          <w:rFonts w:ascii="Times New Roman" w:hAnsi="Times New Roman"/>
          <w:lang w:val="en-HK"/>
        </w:rPr>
        <w:t>: Section 90 states that all questions about a trust “for the time being” governed by Cayman law—including settlor capacity, trust validity, administration, and trustee powers—are determined solely by Cayman law, ignoring foreign laws connected to the trust.</w:t>
      </w:r>
    </w:p>
    <w:p w14:paraId="76ED03CC"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Exceptions</w:t>
      </w:r>
      <w:r w:rsidRPr="00F8034F">
        <w:rPr>
          <w:rFonts w:ascii="Times New Roman" w:hAnsi="Times New Roman"/>
          <w:lang w:val="en-HK"/>
        </w:rPr>
        <w:t xml:space="preserve">: A proviso limits this: </w:t>
      </w:r>
    </w:p>
    <w:p w14:paraId="7DB79155" w14:textId="77777777" w:rsidR="00F8034F" w:rsidRPr="00F8034F" w:rsidRDefault="00F8034F" w:rsidP="007E6FBE">
      <w:pPr>
        <w:numPr>
          <w:ilvl w:val="2"/>
          <w:numId w:val="4"/>
        </w:numPr>
        <w:spacing w:after="240" w:line="360" w:lineRule="auto"/>
        <w:rPr>
          <w:rFonts w:ascii="Times New Roman" w:hAnsi="Times New Roman"/>
          <w:lang w:val="en-HK"/>
        </w:rPr>
      </w:pPr>
      <w:r w:rsidRPr="00F8034F">
        <w:rPr>
          <w:rFonts w:ascii="Times New Roman" w:hAnsi="Times New Roman"/>
          <w:lang w:val="en-HK"/>
        </w:rPr>
        <w:t xml:space="preserve">Doesn’t validate trusts or dispositions of immovable property invalid under its </w:t>
      </w:r>
      <w:r w:rsidRPr="00F8034F">
        <w:rPr>
          <w:rFonts w:ascii="Times New Roman" w:hAnsi="Times New Roman"/>
          <w:i/>
          <w:iCs/>
          <w:lang w:val="en-HK"/>
        </w:rPr>
        <w:t>lex situs</w:t>
      </w:r>
      <w:r w:rsidRPr="00F8034F">
        <w:rPr>
          <w:rFonts w:ascii="Times New Roman" w:hAnsi="Times New Roman"/>
          <w:lang w:val="en-HK"/>
        </w:rPr>
        <w:t xml:space="preserve"> (law of location).</w:t>
      </w:r>
    </w:p>
    <w:p w14:paraId="064F5D33" w14:textId="77777777" w:rsidR="00F8034F" w:rsidRPr="00F8034F" w:rsidRDefault="00F8034F" w:rsidP="007E6FBE">
      <w:pPr>
        <w:numPr>
          <w:ilvl w:val="2"/>
          <w:numId w:val="4"/>
        </w:numPr>
        <w:spacing w:after="240" w:line="360" w:lineRule="auto"/>
        <w:rPr>
          <w:rFonts w:ascii="Times New Roman" w:hAnsi="Times New Roman"/>
          <w:lang w:val="en-HK"/>
        </w:rPr>
      </w:pPr>
      <w:r w:rsidRPr="00F8034F">
        <w:rPr>
          <w:rFonts w:ascii="Times New Roman" w:hAnsi="Times New Roman"/>
          <w:lang w:val="en-HK"/>
        </w:rPr>
        <w:t>Doesn’t validate testamentary trusts invalid under the testator’s domiciliary law.</w:t>
      </w:r>
    </w:p>
    <w:p w14:paraId="2DB70F9F"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 xml:space="preserve">Case Study: Re </w:t>
      </w:r>
      <w:proofErr w:type="spellStart"/>
      <w:r w:rsidRPr="00F8034F">
        <w:rPr>
          <w:rFonts w:ascii="Times New Roman" w:hAnsi="Times New Roman"/>
          <w:b/>
          <w:bCs/>
          <w:lang w:val="en-HK"/>
        </w:rPr>
        <w:t>Goldentrust</w:t>
      </w:r>
      <w:proofErr w:type="spellEnd"/>
      <w:r w:rsidRPr="00F8034F">
        <w:rPr>
          <w:rFonts w:ascii="Times New Roman" w:hAnsi="Times New Roman"/>
          <w:b/>
          <w:bCs/>
          <w:lang w:val="en-HK"/>
        </w:rPr>
        <w:t xml:space="preserve"> (2012)</w:t>
      </w:r>
      <w:r w:rsidRPr="00F8034F">
        <w:rPr>
          <w:rFonts w:ascii="Times New Roman" w:hAnsi="Times New Roman"/>
          <w:lang w:val="en-HK"/>
        </w:rPr>
        <w:t xml:space="preserve">: </w:t>
      </w:r>
    </w:p>
    <w:p w14:paraId="62DF1309" w14:textId="77777777" w:rsidR="00F8034F" w:rsidRPr="00F8034F" w:rsidRDefault="00F8034F" w:rsidP="007E6FBE">
      <w:pPr>
        <w:numPr>
          <w:ilvl w:val="2"/>
          <w:numId w:val="4"/>
        </w:numPr>
        <w:spacing w:after="240" w:line="360" w:lineRule="auto"/>
        <w:rPr>
          <w:rFonts w:ascii="Times New Roman" w:hAnsi="Times New Roman"/>
          <w:lang w:val="en-HK"/>
        </w:rPr>
      </w:pPr>
      <w:r w:rsidRPr="00F8034F">
        <w:rPr>
          <w:rFonts w:ascii="Times New Roman" w:hAnsi="Times New Roman"/>
          <w:lang w:val="en-HK"/>
        </w:rPr>
        <w:t>In March 1994, property was mistakenly omitted from a Liechtenstein trust’s schedule.</w:t>
      </w:r>
    </w:p>
    <w:p w14:paraId="22EA3D07" w14:textId="77777777" w:rsidR="00F8034F" w:rsidRPr="00F8034F" w:rsidRDefault="00F8034F" w:rsidP="007E6FBE">
      <w:pPr>
        <w:numPr>
          <w:ilvl w:val="2"/>
          <w:numId w:val="4"/>
        </w:numPr>
        <w:spacing w:after="240" w:line="360" w:lineRule="auto"/>
        <w:rPr>
          <w:rFonts w:ascii="Times New Roman" w:hAnsi="Times New Roman"/>
          <w:lang w:val="en-HK"/>
        </w:rPr>
      </w:pPr>
      <w:r w:rsidRPr="00F8034F">
        <w:rPr>
          <w:rFonts w:ascii="Times New Roman" w:hAnsi="Times New Roman"/>
          <w:lang w:val="en-HK"/>
        </w:rPr>
        <w:lastRenderedPageBreak/>
        <w:t>Liechtenstein law didn’t allow rectification, so the trust’s governing law was changed to Cayman law.</w:t>
      </w:r>
    </w:p>
    <w:p w14:paraId="0F33F995" w14:textId="77777777" w:rsidR="00F8034F" w:rsidRPr="00F8034F" w:rsidRDefault="00F8034F" w:rsidP="007E6FBE">
      <w:pPr>
        <w:numPr>
          <w:ilvl w:val="2"/>
          <w:numId w:val="4"/>
        </w:numPr>
        <w:spacing w:after="240" w:line="360" w:lineRule="auto"/>
        <w:rPr>
          <w:rFonts w:ascii="Times New Roman" w:hAnsi="Times New Roman"/>
          <w:lang w:val="en-HK"/>
        </w:rPr>
      </w:pPr>
      <w:r w:rsidRPr="00F8034F">
        <w:rPr>
          <w:rFonts w:ascii="Times New Roman" w:hAnsi="Times New Roman"/>
          <w:lang w:val="en-HK"/>
        </w:rPr>
        <w:t>Chief Justice Smellie held that Section 90 permitted rectification, treating the omitted property (Cayman-based choses in action, e.g., debts) as included from 1994, before the settlor became UK-domiciled (avoiding UK tax issues).</w:t>
      </w:r>
    </w:p>
    <w:p w14:paraId="57FA79E8"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Firewall Protections</w:t>
      </w:r>
      <w:r w:rsidRPr="00F8034F">
        <w:rPr>
          <w:rFonts w:ascii="Times New Roman" w:hAnsi="Times New Roman"/>
          <w:lang w:val="en-HK"/>
        </w:rPr>
        <w:t>: Cayman and similar jurisdictions (e.g., Bermuda, Gibraltar, Guernsey, Jersey) offer “firewall” provisions shielding trust assets from foreign creditors, heirs, or judgments.</w:t>
      </w:r>
    </w:p>
    <w:p w14:paraId="3F239CA3"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Limitation</w:t>
      </w:r>
      <w:r w:rsidRPr="00F8034F">
        <w:rPr>
          <w:rFonts w:ascii="Times New Roman" w:hAnsi="Times New Roman"/>
          <w:lang w:val="en-HK"/>
        </w:rPr>
        <w:t>: This worked because the assets were in Cayman. If they were elsewhere (e.g., Liechtenstein), foreign courts might not recognize the Cayman ruling. Hayton suggests a workaround: sell foreign assets and reinvest proceeds in Cayman property before rectification.</w:t>
      </w:r>
    </w:p>
    <w:p w14:paraId="543CED82" w14:textId="77777777" w:rsidR="00F8034F" w:rsidRPr="00F8034F" w:rsidRDefault="00F8034F" w:rsidP="007E6FBE">
      <w:pPr>
        <w:numPr>
          <w:ilvl w:val="0"/>
          <w:numId w:val="4"/>
        </w:numPr>
        <w:spacing w:after="240" w:line="360" w:lineRule="auto"/>
        <w:rPr>
          <w:rFonts w:ascii="Times New Roman" w:hAnsi="Times New Roman"/>
          <w:lang w:val="en-HK"/>
        </w:rPr>
      </w:pPr>
      <w:r w:rsidRPr="00F8034F">
        <w:rPr>
          <w:rFonts w:ascii="Times New Roman" w:hAnsi="Times New Roman"/>
          <w:b/>
          <w:bCs/>
          <w:lang w:val="en-HK"/>
        </w:rPr>
        <w:t>Bermuda Example: Section 47 of the Trustee Act</w:t>
      </w:r>
      <w:r w:rsidRPr="00F8034F">
        <w:rPr>
          <w:rFonts w:ascii="Times New Roman" w:hAnsi="Times New Roman"/>
          <w:lang w:val="en-HK"/>
        </w:rPr>
        <w:t xml:space="preserve"> </w:t>
      </w:r>
    </w:p>
    <w:p w14:paraId="40707B54"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Legislation</w:t>
      </w:r>
      <w:r w:rsidRPr="00F8034F">
        <w:rPr>
          <w:rFonts w:ascii="Times New Roman" w:hAnsi="Times New Roman"/>
          <w:lang w:val="en-HK"/>
        </w:rPr>
        <w:t>: Derived from English Trustee Act sections but interpreted more broadly by Bermudian courts, Section 47 allows courts to authorize “expedient transactions” for trustees, even varying beneficiaries’ interests.</w:t>
      </w:r>
    </w:p>
    <w:p w14:paraId="36381CF5"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Applications</w:t>
      </w:r>
      <w:r w:rsidRPr="00F8034F">
        <w:rPr>
          <w:rFonts w:ascii="Times New Roman" w:hAnsi="Times New Roman"/>
          <w:lang w:val="en-HK"/>
        </w:rPr>
        <w:t xml:space="preserve">: </w:t>
      </w:r>
    </w:p>
    <w:p w14:paraId="21BBBBDF" w14:textId="77777777" w:rsidR="00F8034F" w:rsidRPr="00F8034F" w:rsidRDefault="00F8034F" w:rsidP="007E6FBE">
      <w:pPr>
        <w:numPr>
          <w:ilvl w:val="2"/>
          <w:numId w:val="4"/>
        </w:numPr>
        <w:spacing w:after="240" w:line="360" w:lineRule="auto"/>
        <w:rPr>
          <w:rFonts w:ascii="Times New Roman" w:hAnsi="Times New Roman"/>
          <w:lang w:val="en-HK"/>
        </w:rPr>
      </w:pPr>
      <w:r w:rsidRPr="00F8034F">
        <w:rPr>
          <w:rFonts w:ascii="Times New Roman" w:hAnsi="Times New Roman"/>
          <w:b/>
          <w:bCs/>
          <w:lang w:val="en-HK"/>
        </w:rPr>
        <w:t>Prospective Changes</w:t>
      </w:r>
      <w:r w:rsidRPr="00F8034F">
        <w:rPr>
          <w:rFonts w:ascii="Times New Roman" w:hAnsi="Times New Roman"/>
          <w:lang w:val="en-HK"/>
        </w:rPr>
        <w:t>: Courts can extend perpetuity or accumulation periods without beneficiary consent, avoiding U.S. IRS tax implications (unlike consent-based variations).</w:t>
      </w:r>
    </w:p>
    <w:p w14:paraId="3A231DD3" w14:textId="77777777" w:rsidR="00F8034F" w:rsidRPr="00F8034F" w:rsidRDefault="00F8034F" w:rsidP="007E6FBE">
      <w:pPr>
        <w:numPr>
          <w:ilvl w:val="2"/>
          <w:numId w:val="4"/>
        </w:numPr>
        <w:spacing w:after="240" w:line="360" w:lineRule="auto"/>
        <w:rPr>
          <w:rFonts w:ascii="Times New Roman" w:hAnsi="Times New Roman"/>
          <w:lang w:val="en-HK"/>
        </w:rPr>
      </w:pPr>
      <w:r w:rsidRPr="00F8034F">
        <w:rPr>
          <w:rFonts w:ascii="Times New Roman" w:hAnsi="Times New Roman"/>
          <w:b/>
          <w:bCs/>
          <w:lang w:val="en-HK"/>
        </w:rPr>
        <w:t>Retrospective Fixes</w:t>
      </w:r>
      <w:r w:rsidRPr="00F8034F">
        <w:rPr>
          <w:rFonts w:ascii="Times New Roman" w:hAnsi="Times New Roman"/>
          <w:lang w:val="en-HK"/>
        </w:rPr>
        <w:t xml:space="preserve">: Could validate acts of invalidly appointed trustees (trustees </w:t>
      </w:r>
      <w:r w:rsidRPr="00F8034F">
        <w:rPr>
          <w:rFonts w:ascii="Times New Roman" w:hAnsi="Times New Roman"/>
          <w:i/>
          <w:iCs/>
          <w:lang w:val="en-HK"/>
        </w:rPr>
        <w:t>de son tort</w:t>
      </w:r>
      <w:r w:rsidRPr="00F8034F">
        <w:rPr>
          <w:rFonts w:ascii="Times New Roman" w:hAnsi="Times New Roman"/>
          <w:lang w:val="en-HK"/>
        </w:rPr>
        <w:t>) if not breaches of trust, altering beneficiaries’ rights retroactively.</w:t>
      </w:r>
    </w:p>
    <w:p w14:paraId="703BE9E3"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Example Scenario</w:t>
      </w:r>
      <w:r w:rsidRPr="00F8034F">
        <w:rPr>
          <w:rFonts w:ascii="Times New Roman" w:hAnsi="Times New Roman"/>
          <w:lang w:val="en-HK"/>
        </w:rPr>
        <w:t>: If invalid trustees distributed $100,000, a court could authorize a new trustee to hold that sum and its income on trust for the recipient, bypassing complex orders needed without statutory power.</w:t>
      </w:r>
    </w:p>
    <w:p w14:paraId="4588992F"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Flexibility</w:t>
      </w:r>
      <w:r w:rsidRPr="00F8034F">
        <w:rPr>
          <w:rFonts w:ascii="Times New Roman" w:hAnsi="Times New Roman"/>
          <w:lang w:val="en-HK"/>
        </w:rPr>
        <w:t xml:space="preserve">: Unlike English law’s </w:t>
      </w:r>
      <w:r w:rsidRPr="00F8034F">
        <w:rPr>
          <w:rFonts w:ascii="Times New Roman" w:hAnsi="Times New Roman"/>
          <w:i/>
          <w:iCs/>
          <w:lang w:val="en-HK"/>
        </w:rPr>
        <w:t>Variation of Trusts Act 1958</w:t>
      </w:r>
      <w:r w:rsidRPr="00F8034F">
        <w:rPr>
          <w:rFonts w:ascii="Times New Roman" w:hAnsi="Times New Roman"/>
          <w:lang w:val="en-HK"/>
        </w:rPr>
        <w:t xml:space="preserve"> (requiring beneficiary consent and court approval for minors/unborn), Bermuda’s approach is trustee-driven and court-authorized, enhancing settlor intent over beneficiary rights.</w:t>
      </w:r>
    </w:p>
    <w:p w14:paraId="24697352" w14:textId="77777777" w:rsidR="00F8034F" w:rsidRPr="00F8034F" w:rsidRDefault="00F8034F" w:rsidP="007E6FBE">
      <w:pPr>
        <w:numPr>
          <w:ilvl w:val="0"/>
          <w:numId w:val="4"/>
        </w:numPr>
        <w:spacing w:after="240" w:line="360" w:lineRule="auto"/>
        <w:rPr>
          <w:rFonts w:ascii="Times New Roman" w:hAnsi="Times New Roman"/>
          <w:lang w:val="en-HK"/>
        </w:rPr>
      </w:pPr>
      <w:r w:rsidRPr="00F8034F">
        <w:rPr>
          <w:rFonts w:ascii="Times New Roman" w:hAnsi="Times New Roman"/>
          <w:b/>
          <w:bCs/>
          <w:lang w:val="en-HK"/>
        </w:rPr>
        <w:lastRenderedPageBreak/>
        <w:t>Jersey Example: Retained Hastings-Bass Rule</w:t>
      </w:r>
      <w:r w:rsidRPr="00F8034F">
        <w:rPr>
          <w:rFonts w:ascii="Times New Roman" w:hAnsi="Times New Roman"/>
          <w:lang w:val="en-HK"/>
        </w:rPr>
        <w:t xml:space="preserve"> </w:t>
      </w:r>
    </w:p>
    <w:p w14:paraId="7C79E30F"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Legislation</w:t>
      </w:r>
      <w:r w:rsidRPr="00F8034F">
        <w:rPr>
          <w:rFonts w:ascii="Times New Roman" w:hAnsi="Times New Roman"/>
          <w:lang w:val="en-HK"/>
        </w:rPr>
        <w:t xml:space="preserve">: Section 47H of the </w:t>
      </w:r>
      <w:r w:rsidRPr="00F8034F">
        <w:rPr>
          <w:rFonts w:ascii="Times New Roman" w:hAnsi="Times New Roman"/>
          <w:i/>
          <w:iCs/>
          <w:lang w:val="en-HK"/>
        </w:rPr>
        <w:t>Trusts (Jersey) Law</w:t>
      </w:r>
      <w:r w:rsidRPr="00F8034F">
        <w:rPr>
          <w:rFonts w:ascii="Times New Roman" w:hAnsi="Times New Roman"/>
          <w:lang w:val="en-HK"/>
        </w:rPr>
        <w:t xml:space="preserve"> retains the broader pre-</w:t>
      </w:r>
      <w:r w:rsidRPr="00F8034F">
        <w:rPr>
          <w:rFonts w:ascii="Times New Roman" w:hAnsi="Times New Roman"/>
          <w:i/>
          <w:iCs/>
          <w:lang w:val="en-HK"/>
        </w:rPr>
        <w:t>Pitt v Holt</w:t>
      </w:r>
      <w:r w:rsidRPr="00F8034F">
        <w:rPr>
          <w:rFonts w:ascii="Times New Roman" w:hAnsi="Times New Roman"/>
          <w:lang w:val="en-HK"/>
        </w:rPr>
        <w:t xml:space="preserve"> (2013 UKSC) Hastings-Bass rule, allowing trustee decisions to be undone if based on negligent advice with adverse consequences (no breach of trust required).</w:t>
      </w:r>
    </w:p>
    <w:p w14:paraId="6B08A138"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Application</w:t>
      </w:r>
      <w:r w:rsidRPr="00F8034F">
        <w:rPr>
          <w:rFonts w:ascii="Times New Roman" w:hAnsi="Times New Roman"/>
          <w:lang w:val="en-HK"/>
        </w:rPr>
        <w:t>: After switching to Jersey law, a prior trustee act (e.g., a distribution with unintended tax fallout) could be set aside.</w:t>
      </w:r>
    </w:p>
    <w:p w14:paraId="451DDB67"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Section 9(1)</w:t>
      </w:r>
      <w:r w:rsidRPr="00F8034F">
        <w:rPr>
          <w:rFonts w:ascii="Times New Roman" w:hAnsi="Times New Roman"/>
          <w:lang w:val="en-HK"/>
        </w:rPr>
        <w:t>: Ensures all trust questions (administration, powers, validity) are governed by Jersey law, excluding foreign law conflicts per Section 9(3A).</w:t>
      </w:r>
    </w:p>
    <w:p w14:paraId="2576D436"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Potential</w:t>
      </w:r>
      <w:r w:rsidRPr="00F8034F">
        <w:rPr>
          <w:rFonts w:ascii="Times New Roman" w:hAnsi="Times New Roman"/>
          <w:lang w:val="en-HK"/>
        </w:rPr>
        <w:t>: Offers a remedy unavailable under stricter English law post-</w:t>
      </w:r>
      <w:r w:rsidRPr="00F8034F">
        <w:rPr>
          <w:rFonts w:ascii="Times New Roman" w:hAnsi="Times New Roman"/>
          <w:i/>
          <w:iCs/>
          <w:lang w:val="en-HK"/>
        </w:rPr>
        <w:t>Pitt v Holt</w:t>
      </w:r>
      <w:r w:rsidRPr="00F8034F">
        <w:rPr>
          <w:rFonts w:ascii="Times New Roman" w:hAnsi="Times New Roman"/>
          <w:lang w:val="en-HK"/>
        </w:rPr>
        <w:t>, which narrowed Hastings-Bass to breaches of fiduciary duty.</w:t>
      </w:r>
    </w:p>
    <w:p w14:paraId="5AB7F4A1" w14:textId="77777777" w:rsidR="00F8034F" w:rsidRPr="00F8034F" w:rsidRDefault="00F8034F" w:rsidP="007E6FBE">
      <w:pPr>
        <w:numPr>
          <w:ilvl w:val="0"/>
          <w:numId w:val="4"/>
        </w:numPr>
        <w:spacing w:after="240" w:line="360" w:lineRule="auto"/>
        <w:rPr>
          <w:rFonts w:ascii="Times New Roman" w:hAnsi="Times New Roman"/>
          <w:lang w:val="en-HK"/>
        </w:rPr>
      </w:pPr>
      <w:r w:rsidRPr="00F8034F">
        <w:rPr>
          <w:rFonts w:ascii="Times New Roman" w:hAnsi="Times New Roman"/>
          <w:b/>
          <w:bCs/>
          <w:lang w:val="en-HK"/>
        </w:rPr>
        <w:t>Challenges and Limits</w:t>
      </w:r>
      <w:r w:rsidRPr="00F8034F">
        <w:rPr>
          <w:rFonts w:ascii="Times New Roman" w:hAnsi="Times New Roman"/>
          <w:lang w:val="en-HK"/>
        </w:rPr>
        <w:t xml:space="preserve"> </w:t>
      </w:r>
    </w:p>
    <w:p w14:paraId="5E30BC9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Crystallized Rights</w:t>
      </w:r>
      <w:r w:rsidRPr="00F8034F">
        <w:rPr>
          <w:rFonts w:ascii="Times New Roman" w:hAnsi="Times New Roman"/>
          <w:lang w:val="en-HK"/>
        </w:rPr>
        <w:t xml:space="preserve">: </w:t>
      </w:r>
    </w:p>
    <w:p w14:paraId="0EC019F1"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Issue</w:t>
      </w:r>
      <w:r w:rsidRPr="00F8034F">
        <w:rPr>
          <w:rFonts w:ascii="Times New Roman" w:hAnsi="Times New Roman"/>
          <w:lang w:val="en-HK"/>
        </w:rPr>
        <w:t>: If a trustee act under the original governing law fixed beneficiaries’ rights (e.g., a distribution), a later law change might not undo this outside the new jurisdiction.</w:t>
      </w:r>
    </w:p>
    <w:p w14:paraId="7AAFFCA7"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Argument</w:t>
      </w:r>
      <w:r w:rsidRPr="00F8034F">
        <w:rPr>
          <w:rFonts w:ascii="Times New Roman" w:hAnsi="Times New Roman"/>
          <w:lang w:val="en-HK"/>
        </w:rPr>
        <w:t>: Rights and obligations “crystallize” at the time of the act, and retrospective changes may lack extraterritorial effect unless assets are within the new jurisdiction.</w:t>
      </w:r>
    </w:p>
    <w:p w14:paraId="4C7C8528"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Human Rights and Public Policy</w:t>
      </w:r>
      <w:r w:rsidRPr="00F8034F">
        <w:rPr>
          <w:rFonts w:ascii="Times New Roman" w:hAnsi="Times New Roman"/>
          <w:lang w:val="en-HK"/>
        </w:rPr>
        <w:t xml:space="preserve">: </w:t>
      </w:r>
    </w:p>
    <w:p w14:paraId="600D3E5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European Convention on Human Rights (ECHR)</w:t>
      </w:r>
      <w:r w:rsidRPr="00F8034F">
        <w:rPr>
          <w:rFonts w:ascii="Times New Roman" w:hAnsi="Times New Roman"/>
          <w:lang w:val="en-HK"/>
        </w:rPr>
        <w:t xml:space="preserve">: Article 1, First Protocol (via the UK’s </w:t>
      </w:r>
      <w:r w:rsidRPr="00F8034F">
        <w:rPr>
          <w:rFonts w:ascii="Times New Roman" w:hAnsi="Times New Roman"/>
          <w:i/>
          <w:iCs/>
          <w:lang w:val="en-HK"/>
        </w:rPr>
        <w:t>Human Rights Act 1998</w:t>
      </w:r>
      <w:r w:rsidRPr="00F8034F">
        <w:rPr>
          <w:rFonts w:ascii="Times New Roman" w:hAnsi="Times New Roman"/>
          <w:lang w:val="en-HK"/>
        </w:rPr>
        <w:t>) protects “peaceful enjoyment of possessions.” Retroactive changes depriving beneficiaries of vested rights might violate this.</w:t>
      </w:r>
    </w:p>
    <w:p w14:paraId="771DCEF8"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English Courts</w:t>
      </w:r>
      <w:r w:rsidRPr="00F8034F">
        <w:rPr>
          <w:rFonts w:ascii="Times New Roman" w:hAnsi="Times New Roman"/>
          <w:lang w:val="en-HK"/>
        </w:rPr>
        <w:t>: Might refuse to recognize foreign rulings altering crystallized rights, citing public policy or ECHR obligations.</w:t>
      </w:r>
    </w:p>
    <w:p w14:paraId="4D99FCD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Rectification Exception</w:t>
      </w:r>
      <w:r w:rsidRPr="00F8034F">
        <w:rPr>
          <w:rFonts w:ascii="Times New Roman" w:hAnsi="Times New Roman"/>
          <w:lang w:val="en-HK"/>
        </w:rPr>
        <w:t>: Rectification inherently has retrospective effect, raising questions about its scope under a new law (expanded on in Section 8).</w:t>
      </w:r>
    </w:p>
    <w:p w14:paraId="2785FB4F" w14:textId="77777777" w:rsidR="00F8034F" w:rsidRPr="00F8034F" w:rsidRDefault="00F8034F" w:rsidP="007E6FBE">
      <w:pPr>
        <w:numPr>
          <w:ilvl w:val="0"/>
          <w:numId w:val="4"/>
        </w:numPr>
        <w:spacing w:after="240" w:line="360" w:lineRule="auto"/>
        <w:rPr>
          <w:rFonts w:ascii="Times New Roman" w:hAnsi="Times New Roman"/>
          <w:lang w:val="en-HK"/>
        </w:rPr>
      </w:pPr>
      <w:r w:rsidRPr="00F8034F">
        <w:rPr>
          <w:rFonts w:ascii="Times New Roman" w:hAnsi="Times New Roman"/>
          <w:b/>
          <w:bCs/>
          <w:lang w:val="en-HK"/>
        </w:rPr>
        <w:t>Strategic Considerations</w:t>
      </w:r>
      <w:r w:rsidRPr="00F8034F">
        <w:rPr>
          <w:rFonts w:ascii="Times New Roman" w:hAnsi="Times New Roman"/>
          <w:lang w:val="en-HK"/>
        </w:rPr>
        <w:t xml:space="preserve"> </w:t>
      </w:r>
    </w:p>
    <w:p w14:paraId="5A06BD72"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lastRenderedPageBreak/>
        <w:t>Asset Location</w:t>
      </w:r>
      <w:r w:rsidRPr="00F8034F">
        <w:rPr>
          <w:rFonts w:ascii="Times New Roman" w:hAnsi="Times New Roman"/>
          <w:lang w:val="en-HK"/>
        </w:rPr>
        <w:t xml:space="preserve">: Changing governing law is most effective when trust assets are in the new jurisdiction (e.g., Cayman assets in the </w:t>
      </w:r>
      <w:proofErr w:type="spellStart"/>
      <w:r w:rsidRPr="00F8034F">
        <w:rPr>
          <w:rFonts w:ascii="Times New Roman" w:hAnsi="Times New Roman"/>
          <w:i/>
          <w:iCs/>
          <w:lang w:val="en-HK"/>
        </w:rPr>
        <w:t>Goldentrust</w:t>
      </w:r>
      <w:proofErr w:type="spellEnd"/>
      <w:r w:rsidRPr="00F8034F">
        <w:rPr>
          <w:rFonts w:ascii="Times New Roman" w:hAnsi="Times New Roman"/>
          <w:lang w:val="en-HK"/>
        </w:rPr>
        <w:t xml:space="preserve"> case). Moving assets beforehand (e.g., via sale and reinvestment) can align them with the new law’s reach.</w:t>
      </w:r>
    </w:p>
    <w:p w14:paraId="4F9E9DA6"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Timing</w:t>
      </w:r>
      <w:r w:rsidRPr="00F8034F">
        <w:rPr>
          <w:rFonts w:ascii="Times New Roman" w:hAnsi="Times New Roman"/>
          <w:lang w:val="en-HK"/>
        </w:rPr>
        <w:t>: Retrospective fixes depend on the new law’s wording (e.g., “for the time being” in Cayman’s Section 90) and judicial willingness to apply it backward, balanced against prior legal effects.</w:t>
      </w:r>
    </w:p>
    <w:p w14:paraId="1312BDFA"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Key Insight</w:t>
      </w:r>
    </w:p>
    <w:p w14:paraId="510EDD09" w14:textId="77777777" w:rsidR="00F8034F" w:rsidRPr="007E6FBE" w:rsidRDefault="00F8034F" w:rsidP="007E6FBE">
      <w:pPr>
        <w:spacing w:after="240" w:line="360" w:lineRule="auto"/>
        <w:rPr>
          <w:rFonts w:ascii="Times New Roman" w:hAnsi="Times New Roman"/>
          <w:lang w:val="en-HK"/>
        </w:rPr>
      </w:pPr>
      <w:r w:rsidRPr="00F8034F">
        <w:rPr>
          <w:rFonts w:ascii="Times New Roman" w:hAnsi="Times New Roman"/>
          <w:lang w:val="en-HK"/>
        </w:rPr>
        <w:t xml:space="preserve">Hayton illustrates how changing a trust’s governing law can unlock powerful tools—like Cayman’s rectification, Bermuda’s trustee empowerment, or Jersey’s Hastings-Bass relief—offering settlors and trustees flexibility to fix past errors or enhance trust terms. However, he warns of practical limits: foreign courts may not </w:t>
      </w:r>
      <w:proofErr w:type="spellStart"/>
      <w:r w:rsidRPr="00F8034F">
        <w:rPr>
          <w:rFonts w:ascii="Times New Roman" w:hAnsi="Times New Roman"/>
          <w:lang w:val="en-HK"/>
        </w:rPr>
        <w:t>honor</w:t>
      </w:r>
      <w:proofErr w:type="spellEnd"/>
      <w:r w:rsidRPr="00F8034F">
        <w:rPr>
          <w:rFonts w:ascii="Times New Roman" w:hAnsi="Times New Roman"/>
          <w:lang w:val="en-HK"/>
        </w:rPr>
        <w:t xml:space="preserve"> extraterritorial changes, and crystallized rights or human rights concerns could block recognition, especially in English or EU contexts.</w:t>
      </w:r>
    </w:p>
    <w:p w14:paraId="0AD60476" w14:textId="4F75E182" w:rsidR="00F8034F" w:rsidRPr="007E6FBE" w:rsidRDefault="00343E31" w:rsidP="007E6FBE">
      <w:pPr>
        <w:spacing w:after="240" w:line="360" w:lineRule="auto"/>
        <w:rPr>
          <w:rFonts w:ascii="Times New Roman" w:hAnsi="Times New Roman"/>
          <w:lang w:val="en-HK"/>
        </w:rPr>
      </w:pPr>
      <w:r w:rsidRPr="00343E31">
        <w:rPr>
          <w:rFonts w:ascii="Times New Roman" w:hAnsi="Times New Roman"/>
          <w:noProof/>
          <w:lang w:val="en-HK"/>
          <w14:ligatures w14:val="standardContextual"/>
        </w:rPr>
        <w:pict w14:anchorId="78590C5E">
          <v:rect id="_x0000_i1028" alt="" style="width:451.3pt;height:.05pt;mso-width-percent:0;mso-height-percent:0;mso-width-percent:0;mso-height-percent:0" o:hralign="center" o:hrstd="t" o:hr="t" fillcolor="#a0a0a0" stroked="f"/>
        </w:pict>
      </w:r>
    </w:p>
    <w:p w14:paraId="66FF6180" w14:textId="77777777" w:rsidR="00F8034F" w:rsidRPr="00F8034F" w:rsidRDefault="00F8034F" w:rsidP="007E6FBE">
      <w:pPr>
        <w:spacing w:after="240" w:line="360" w:lineRule="auto"/>
        <w:outlineLvl w:val="2"/>
        <w:rPr>
          <w:rFonts w:ascii="Times New Roman" w:hAnsi="Times New Roman"/>
          <w:b/>
          <w:bCs/>
          <w:lang w:val="en-HK"/>
        </w:rPr>
      </w:pPr>
      <w:r w:rsidRPr="00F8034F">
        <w:rPr>
          <w:rFonts w:ascii="Times New Roman" w:hAnsi="Times New Roman"/>
          <w:b/>
          <w:bCs/>
          <w:lang w:val="en-HK"/>
        </w:rPr>
        <w:t>Section 5: Arbitration of Trust Disputes and Differences (pp. 1009-1010)</w:t>
      </w:r>
    </w:p>
    <w:p w14:paraId="6E4C63C2"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Overview</w:t>
      </w:r>
    </w:p>
    <w:p w14:paraId="039BF7C6"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Hayton explores the growing interest in arbitrating trust disputes as an alternative to court litigation, a practice already successful in commercial contexts. However, he identifies major hurdles for family trusts, especially under the European Convention on Human Rights (ECHR) and the New York Convention, which limit its feasibility in England. He contrasts this with jurisdictions like The Bahamas that have embraced arbitration legislatively, suggesting a potential lag in English trust law development.</w:t>
      </w:r>
    </w:p>
    <w:p w14:paraId="117D28CB"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Detailed Points</w:t>
      </w:r>
    </w:p>
    <w:p w14:paraId="0992C0A0" w14:textId="77777777" w:rsidR="00F8034F" w:rsidRPr="00F8034F" w:rsidRDefault="00F8034F" w:rsidP="007E6FBE">
      <w:pPr>
        <w:numPr>
          <w:ilvl w:val="0"/>
          <w:numId w:val="6"/>
        </w:numPr>
        <w:spacing w:after="240" w:line="360" w:lineRule="auto"/>
        <w:rPr>
          <w:rFonts w:ascii="Times New Roman" w:hAnsi="Times New Roman"/>
          <w:lang w:val="en-HK"/>
        </w:rPr>
      </w:pPr>
      <w:r w:rsidRPr="00F8034F">
        <w:rPr>
          <w:rFonts w:ascii="Times New Roman" w:hAnsi="Times New Roman"/>
          <w:b/>
          <w:bCs/>
          <w:lang w:val="en-HK"/>
        </w:rPr>
        <w:t>Context and Appeal of Arbitration</w:t>
      </w:r>
      <w:r w:rsidRPr="00F8034F">
        <w:rPr>
          <w:rFonts w:ascii="Times New Roman" w:hAnsi="Times New Roman"/>
          <w:lang w:val="en-HK"/>
        </w:rPr>
        <w:t xml:space="preserve"> </w:t>
      </w:r>
    </w:p>
    <w:p w14:paraId="5DF47B8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Background</w:t>
      </w:r>
      <w:r w:rsidRPr="00F8034F">
        <w:rPr>
          <w:rFonts w:ascii="Times New Roman" w:hAnsi="Times New Roman"/>
          <w:lang w:val="en-HK"/>
        </w:rPr>
        <w:t>: Arbitration is well-established for commercial disputes and trustee-third party conflicts, where parties can contractually agree to it and waive rights to court hearings.</w:t>
      </w:r>
    </w:p>
    <w:p w14:paraId="07342691"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lastRenderedPageBreak/>
        <w:t>Trust Context</w:t>
      </w:r>
      <w:r w:rsidRPr="00F8034F">
        <w:rPr>
          <w:rFonts w:ascii="Times New Roman" w:hAnsi="Times New Roman"/>
          <w:lang w:val="en-HK"/>
        </w:rPr>
        <w:t>: Hayton sees potential for arbitration in “internal trust disputes and differences” (e.g., between trustees and beneficiaries or among beneficiaries), offering privacy, speed, and expertise compared to public court proceedings.</w:t>
      </w:r>
    </w:p>
    <w:p w14:paraId="76B83C73"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Shift from Prior Section</w:t>
      </w:r>
      <w:r w:rsidRPr="00F8034F">
        <w:rPr>
          <w:rFonts w:ascii="Times New Roman" w:hAnsi="Times New Roman"/>
          <w:lang w:val="en-HK"/>
        </w:rPr>
        <w:t>: Links to Section 4’s mention of jurisdictions (e.g., Guernsey, Bahamas) enabling arbitration, prompting a deeper dive into its viability.</w:t>
      </w:r>
    </w:p>
    <w:p w14:paraId="14F3F553" w14:textId="77777777" w:rsidR="00F8034F" w:rsidRPr="00F8034F" w:rsidRDefault="00F8034F" w:rsidP="007E6FBE">
      <w:pPr>
        <w:numPr>
          <w:ilvl w:val="0"/>
          <w:numId w:val="6"/>
        </w:numPr>
        <w:spacing w:after="240" w:line="360" w:lineRule="auto"/>
        <w:rPr>
          <w:rFonts w:ascii="Times New Roman" w:hAnsi="Times New Roman"/>
          <w:lang w:val="en-HK"/>
        </w:rPr>
      </w:pPr>
      <w:r w:rsidRPr="00F8034F">
        <w:rPr>
          <w:rFonts w:ascii="Times New Roman" w:hAnsi="Times New Roman"/>
          <w:b/>
          <w:bCs/>
          <w:lang w:val="en-HK"/>
        </w:rPr>
        <w:t>Human Rights Obstacles: Article 6(1) of the ECHR</w:t>
      </w:r>
      <w:r w:rsidRPr="00F8034F">
        <w:rPr>
          <w:rFonts w:ascii="Times New Roman" w:hAnsi="Times New Roman"/>
          <w:lang w:val="en-HK"/>
        </w:rPr>
        <w:t xml:space="preserve"> </w:t>
      </w:r>
    </w:p>
    <w:p w14:paraId="6E173A0E"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Legal Framework</w:t>
      </w:r>
      <w:r w:rsidRPr="00F8034F">
        <w:rPr>
          <w:rFonts w:ascii="Times New Roman" w:hAnsi="Times New Roman"/>
          <w:lang w:val="en-HK"/>
        </w:rPr>
        <w:t xml:space="preserve">: The ECHR, implemented in the UK via the </w:t>
      </w:r>
      <w:r w:rsidRPr="00F8034F">
        <w:rPr>
          <w:rFonts w:ascii="Times New Roman" w:hAnsi="Times New Roman"/>
          <w:i/>
          <w:iCs/>
          <w:lang w:val="en-HK"/>
        </w:rPr>
        <w:t>Human Rights Act 1998</w:t>
      </w:r>
      <w:r w:rsidRPr="00F8034F">
        <w:rPr>
          <w:rFonts w:ascii="Times New Roman" w:hAnsi="Times New Roman"/>
          <w:lang w:val="en-HK"/>
        </w:rPr>
        <w:t>, governs arbitration’s permissibility.</w:t>
      </w:r>
    </w:p>
    <w:p w14:paraId="0C1B212D"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Article 6(1) Text</w:t>
      </w:r>
      <w:r w:rsidRPr="00F8034F">
        <w:rPr>
          <w:rFonts w:ascii="Times New Roman" w:hAnsi="Times New Roman"/>
          <w:lang w:val="en-HK"/>
        </w:rPr>
        <w:t xml:space="preserve">: </w:t>
      </w:r>
    </w:p>
    <w:p w14:paraId="07D47904"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“In the determination of his civil rights and obligations or of any criminal charge against him, everyone is entitled to a fair and public hearing within a reasonable time by an independent and impartial tribunal established by law. Judgment shall be pronounced publicly but the press and public may be excluded… in the interests of morals, public order or national security… where the interests of juveniles or the protection of the private life of the parties so require, or… where publicity would prejudice the interests of justice.”</w:t>
      </w:r>
    </w:p>
    <w:p w14:paraId="7D3354BC"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Application to Trusts</w:t>
      </w:r>
      <w:r w:rsidRPr="00F8034F">
        <w:rPr>
          <w:rFonts w:ascii="Times New Roman" w:hAnsi="Times New Roman"/>
          <w:lang w:val="en-HK"/>
        </w:rPr>
        <w:t xml:space="preserve">: </w:t>
      </w:r>
    </w:p>
    <w:p w14:paraId="354698AC"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Family trusts often involve minors, unborn, or unascertained beneficiaries who lack capacity to waive their Article 6(1) right to a public hearing.</w:t>
      </w:r>
    </w:p>
    <w:p w14:paraId="705BD95F"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These beneficiaries receive “special protection” in court (e.g., representation, court-approved settlements), which arbitration cannot inherently replicate.</w:t>
      </w:r>
    </w:p>
    <w:p w14:paraId="0EAEF804"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English Trust Law Committee View</w:t>
      </w:r>
      <w:r w:rsidRPr="00F8034F">
        <w:rPr>
          <w:rFonts w:ascii="Times New Roman" w:hAnsi="Times New Roman"/>
          <w:lang w:val="en-HK"/>
        </w:rPr>
        <w:t>: Highlighted Article 6(1) as a “real difficulty,” suggesting arbitration’s private nature conflicts with the public hearing mandate.</w:t>
      </w:r>
    </w:p>
    <w:p w14:paraId="696D7782" w14:textId="77777777" w:rsidR="00F8034F" w:rsidRPr="00F8034F" w:rsidRDefault="00F8034F" w:rsidP="007E6FBE">
      <w:pPr>
        <w:numPr>
          <w:ilvl w:val="0"/>
          <w:numId w:val="6"/>
        </w:numPr>
        <w:spacing w:after="240" w:line="360" w:lineRule="auto"/>
        <w:rPr>
          <w:rFonts w:ascii="Times New Roman" w:hAnsi="Times New Roman"/>
          <w:lang w:val="en-HK"/>
        </w:rPr>
      </w:pPr>
      <w:r w:rsidRPr="00F8034F">
        <w:rPr>
          <w:rFonts w:ascii="Times New Roman" w:hAnsi="Times New Roman"/>
          <w:b/>
          <w:bCs/>
          <w:lang w:val="en-HK"/>
        </w:rPr>
        <w:t>Potential Workarounds</w:t>
      </w:r>
      <w:r w:rsidRPr="00F8034F">
        <w:rPr>
          <w:rFonts w:ascii="Times New Roman" w:hAnsi="Times New Roman"/>
          <w:lang w:val="en-HK"/>
        </w:rPr>
        <w:t xml:space="preserve"> </w:t>
      </w:r>
    </w:p>
    <w:p w14:paraId="278EB010"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Court Involvement</w:t>
      </w:r>
      <w:r w:rsidRPr="00F8034F">
        <w:rPr>
          <w:rFonts w:ascii="Times New Roman" w:hAnsi="Times New Roman"/>
          <w:lang w:val="en-HK"/>
        </w:rPr>
        <w:t xml:space="preserve">: </w:t>
      </w:r>
    </w:p>
    <w:p w14:paraId="280516A1"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Initiate court proceedings to appoint representatives for minors/unborn beneficiaries, who could then waive their rights and agree to arbitration.</w:t>
      </w:r>
    </w:p>
    <w:p w14:paraId="6641D688"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lastRenderedPageBreak/>
        <w:t>The court could stay proceedings, allowing arbitrators to issue an award, which the court then approves.</w:t>
      </w:r>
    </w:p>
    <w:p w14:paraId="06D01A84"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Drawback: Adds complexity and cost, undermining arbitration’s efficiency.</w:t>
      </w:r>
    </w:p>
    <w:p w14:paraId="7895FE22"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Legislative Solution</w:t>
      </w:r>
      <w:r w:rsidRPr="00F8034F">
        <w:rPr>
          <w:rFonts w:ascii="Times New Roman" w:hAnsi="Times New Roman"/>
          <w:lang w:val="en-HK"/>
        </w:rPr>
        <w:t xml:space="preserve">: </w:t>
      </w:r>
    </w:p>
    <w:p w14:paraId="2D4369CB"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 xml:space="preserve">Hayton cites The Bahamas’ </w:t>
      </w:r>
      <w:r w:rsidRPr="00F8034F">
        <w:rPr>
          <w:rFonts w:ascii="Times New Roman" w:hAnsi="Times New Roman"/>
          <w:i/>
          <w:iCs/>
          <w:lang w:val="en-HK"/>
        </w:rPr>
        <w:t>Trustee Act 1998, s. 91B</w:t>
      </w:r>
      <w:r w:rsidRPr="00F8034F">
        <w:rPr>
          <w:rFonts w:ascii="Times New Roman" w:hAnsi="Times New Roman"/>
          <w:lang w:val="en-HK"/>
        </w:rPr>
        <w:t xml:space="preserve"> (amended 2013), which grants arbitrators judge-like powers for trust disputes, bypassing Article 6(1) issues by embedding arbitration in statutory law.</w:t>
      </w:r>
    </w:p>
    <w:p w14:paraId="0E3E6BF0"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Suggests England could adopt similar legislation, but predicts a “considerable period” before this happens due to inertia.</w:t>
      </w:r>
    </w:p>
    <w:p w14:paraId="0BBF8BD7" w14:textId="77777777" w:rsidR="00F8034F" w:rsidRPr="00F8034F" w:rsidRDefault="00F8034F" w:rsidP="007E6FBE">
      <w:pPr>
        <w:numPr>
          <w:ilvl w:val="0"/>
          <w:numId w:val="6"/>
        </w:numPr>
        <w:spacing w:after="240" w:line="360" w:lineRule="auto"/>
        <w:rPr>
          <w:rFonts w:ascii="Times New Roman" w:hAnsi="Times New Roman"/>
          <w:lang w:val="en-HK"/>
        </w:rPr>
      </w:pPr>
      <w:r w:rsidRPr="00F8034F">
        <w:rPr>
          <w:rFonts w:ascii="Times New Roman" w:hAnsi="Times New Roman"/>
          <w:b/>
          <w:bCs/>
          <w:lang w:val="en-HK"/>
        </w:rPr>
        <w:t>Strategic Implications for English Law</w:t>
      </w:r>
      <w:r w:rsidRPr="00F8034F">
        <w:rPr>
          <w:rFonts w:ascii="Times New Roman" w:hAnsi="Times New Roman"/>
          <w:lang w:val="en-HK"/>
        </w:rPr>
        <w:t xml:space="preserve"> </w:t>
      </w:r>
    </w:p>
    <w:p w14:paraId="4E646CAE"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Foreign Law Advantage</w:t>
      </w:r>
      <w:r w:rsidRPr="00F8034F">
        <w:rPr>
          <w:rFonts w:ascii="Times New Roman" w:hAnsi="Times New Roman"/>
          <w:lang w:val="en-HK"/>
        </w:rPr>
        <w:t>: If settlors choose foreign governing laws (e.g., Bahamas, Guernsey) allowing arbitration, English lawyers might lose business to foreign counterparts unless English law adapts.</w:t>
      </w:r>
    </w:p>
    <w:p w14:paraId="7DAA242D"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Motivation for Change</w:t>
      </w:r>
      <w:r w:rsidRPr="00F8034F">
        <w:rPr>
          <w:rFonts w:ascii="Times New Roman" w:hAnsi="Times New Roman"/>
          <w:lang w:val="en-HK"/>
        </w:rPr>
        <w:t xml:space="preserve">: </w:t>
      </w:r>
    </w:p>
    <w:p w14:paraId="033AD1CE"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Loss of business could pressure English law to evolve, though Hayton notes a counterincentive: English lawyers might resist foreign laws to retain local control.</w:t>
      </w:r>
    </w:p>
    <w:p w14:paraId="028F7E44"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Ideal driver should be “pride” in keeping English trust law—a global pioneer—at the forefront, not just competitive pressure.</w:t>
      </w:r>
    </w:p>
    <w:p w14:paraId="55EBB38C" w14:textId="77777777" w:rsidR="00F8034F" w:rsidRPr="00F8034F" w:rsidRDefault="00F8034F" w:rsidP="007E6FBE">
      <w:pPr>
        <w:numPr>
          <w:ilvl w:val="0"/>
          <w:numId w:val="6"/>
        </w:numPr>
        <w:spacing w:after="240" w:line="360" w:lineRule="auto"/>
        <w:rPr>
          <w:rFonts w:ascii="Times New Roman" w:hAnsi="Times New Roman"/>
          <w:lang w:val="en-HK"/>
        </w:rPr>
      </w:pPr>
      <w:r w:rsidRPr="00F8034F">
        <w:rPr>
          <w:rFonts w:ascii="Times New Roman" w:hAnsi="Times New Roman"/>
          <w:b/>
          <w:bCs/>
          <w:lang w:val="en-HK"/>
        </w:rPr>
        <w:t>Enforcement Challenges: New York Convention</w:t>
      </w:r>
      <w:r w:rsidRPr="00F8034F">
        <w:rPr>
          <w:rFonts w:ascii="Times New Roman" w:hAnsi="Times New Roman"/>
          <w:lang w:val="en-HK"/>
        </w:rPr>
        <w:t xml:space="preserve"> </w:t>
      </w:r>
    </w:p>
    <w:p w14:paraId="4E53DF37"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Framework</w:t>
      </w:r>
      <w:r w:rsidRPr="00F8034F">
        <w:rPr>
          <w:rFonts w:ascii="Times New Roman" w:hAnsi="Times New Roman"/>
          <w:lang w:val="en-HK"/>
        </w:rPr>
        <w:t xml:space="preserve">: The </w:t>
      </w:r>
      <w:r w:rsidRPr="00F8034F">
        <w:rPr>
          <w:rFonts w:ascii="Times New Roman" w:hAnsi="Times New Roman"/>
          <w:i/>
          <w:iCs/>
          <w:lang w:val="en-HK"/>
        </w:rPr>
        <w:t>New York Convention on the Recognition and Enforcement of Foreign Arbitral Awards</w:t>
      </w:r>
      <w:r w:rsidRPr="00F8034F">
        <w:rPr>
          <w:rFonts w:ascii="Times New Roman" w:hAnsi="Times New Roman"/>
          <w:lang w:val="en-HK"/>
        </w:rPr>
        <w:t xml:space="preserve"> (1958) governs international enforcement of arbitration awards.</w:t>
      </w:r>
    </w:p>
    <w:p w14:paraId="02A71F9E"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Article II(2)</w:t>
      </w:r>
      <w:r w:rsidRPr="00F8034F">
        <w:rPr>
          <w:rFonts w:ascii="Times New Roman" w:hAnsi="Times New Roman"/>
          <w:lang w:val="en-HK"/>
        </w:rPr>
        <w:t xml:space="preserve">: Requires a signed agreement to arbitrate, posing a problem for trusts: </w:t>
      </w:r>
    </w:p>
    <w:p w14:paraId="6074B3AF"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Trust instruments may include arbitration clauses, but beneficiaries don’t “sign” them—they inherit rights passively.</w:t>
      </w:r>
    </w:p>
    <w:p w14:paraId="781E1EC2"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lastRenderedPageBreak/>
        <w:t>UNCITRAL Recommendation</w:t>
      </w:r>
      <w:r w:rsidRPr="00F8034F">
        <w:rPr>
          <w:rFonts w:ascii="Times New Roman" w:hAnsi="Times New Roman"/>
          <w:lang w:val="en-HK"/>
        </w:rPr>
        <w:t xml:space="preserve">: Suggests a “non-exhaustive” definition of “agreement,” potentially including: </w:t>
      </w:r>
    </w:p>
    <w:p w14:paraId="368EF5AF"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Beneficiaries enforcing trust rights as implicit consent to the clause.</w:t>
      </w:r>
    </w:p>
    <w:p w14:paraId="25740222"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Beneficiaries accepting trust benefits as accepting its conditions (akin to a conditional gift).</w:t>
      </w:r>
    </w:p>
    <w:p w14:paraId="6E8297BC"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Article V(2)(a)</w:t>
      </w:r>
      <w:r w:rsidRPr="00F8034F">
        <w:rPr>
          <w:rFonts w:ascii="Times New Roman" w:hAnsi="Times New Roman"/>
          <w:lang w:val="en-HK"/>
        </w:rPr>
        <w:t xml:space="preserve">: </w:t>
      </w:r>
    </w:p>
    <w:p w14:paraId="2303E8C8"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Allows courts in the enforcement country to refuse awards if the dispute isn’t “capable of settlement by arbitration” under local law.</w:t>
      </w:r>
    </w:p>
    <w:p w14:paraId="68060045"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Example: An English court might deem trust disputes non-arbitrable due to Article 6(1) or public policy requiring public adjudication.</w:t>
      </w:r>
    </w:p>
    <w:p w14:paraId="49453913"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Public Policy Risk</w:t>
      </w:r>
      <w:r w:rsidRPr="00F8034F">
        <w:rPr>
          <w:rFonts w:ascii="Times New Roman" w:hAnsi="Times New Roman"/>
          <w:lang w:val="en-HK"/>
        </w:rPr>
        <w:t>: Even if enforceable elsewhere, English recognition could falter if arbitration violates the “fundamental human right” to a public hearing, especially for vulnerable beneficiaries.</w:t>
      </w:r>
    </w:p>
    <w:p w14:paraId="7FAB57DA" w14:textId="77777777" w:rsidR="00F8034F" w:rsidRPr="00F8034F" w:rsidRDefault="00F8034F" w:rsidP="007E6FBE">
      <w:pPr>
        <w:numPr>
          <w:ilvl w:val="0"/>
          <w:numId w:val="6"/>
        </w:numPr>
        <w:spacing w:after="240" w:line="360" w:lineRule="auto"/>
        <w:rPr>
          <w:rFonts w:ascii="Times New Roman" w:hAnsi="Times New Roman"/>
          <w:lang w:val="en-HK"/>
        </w:rPr>
      </w:pPr>
      <w:r w:rsidRPr="00F8034F">
        <w:rPr>
          <w:rFonts w:ascii="Times New Roman" w:hAnsi="Times New Roman"/>
          <w:b/>
          <w:bCs/>
          <w:lang w:val="en-HK"/>
        </w:rPr>
        <w:t>Comparative Perspective</w:t>
      </w:r>
      <w:r w:rsidRPr="00F8034F">
        <w:rPr>
          <w:rFonts w:ascii="Times New Roman" w:hAnsi="Times New Roman"/>
          <w:lang w:val="en-HK"/>
        </w:rPr>
        <w:t xml:space="preserve"> </w:t>
      </w:r>
    </w:p>
    <w:p w14:paraId="6B56511C"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International Covenant on Civil and Political Rights (ICCPR)</w:t>
      </w:r>
      <w:r w:rsidRPr="00F8034F">
        <w:rPr>
          <w:rFonts w:ascii="Times New Roman" w:hAnsi="Times New Roman"/>
          <w:lang w:val="en-HK"/>
        </w:rPr>
        <w:t>: Article 14(1) mirrors Article 6(1), binding many non-EU states, though U.S. reservations weaken its enforceability there.</w:t>
      </w:r>
    </w:p>
    <w:p w14:paraId="6972963B"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Jurisdictional Contrast</w:t>
      </w:r>
      <w:r w:rsidRPr="00F8034F">
        <w:rPr>
          <w:rFonts w:ascii="Times New Roman" w:hAnsi="Times New Roman"/>
          <w:lang w:val="en-HK"/>
        </w:rPr>
        <w:t xml:space="preserve">: </w:t>
      </w:r>
    </w:p>
    <w:p w14:paraId="6BFA4766"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Bahamas, Guernsey, and Florida explicitly permit trust arbitration (e.g., via statute or trust terms), sidestepping ECHR constraints.</w:t>
      </w:r>
    </w:p>
    <w:p w14:paraId="7B91F875" w14:textId="77777777" w:rsidR="00F8034F" w:rsidRPr="00F8034F" w:rsidRDefault="00F8034F" w:rsidP="007E6FBE">
      <w:pPr>
        <w:numPr>
          <w:ilvl w:val="2"/>
          <w:numId w:val="6"/>
        </w:numPr>
        <w:spacing w:after="240" w:line="360" w:lineRule="auto"/>
        <w:rPr>
          <w:rFonts w:ascii="Times New Roman" w:hAnsi="Times New Roman"/>
          <w:lang w:val="en-HK"/>
        </w:rPr>
      </w:pPr>
      <w:r w:rsidRPr="00F8034F">
        <w:rPr>
          <w:rFonts w:ascii="Times New Roman" w:hAnsi="Times New Roman"/>
          <w:lang w:val="en-HK"/>
        </w:rPr>
        <w:t>England’s lag reflects its adherence to ECHR and traditional court-centric trust administration.</w:t>
      </w:r>
    </w:p>
    <w:p w14:paraId="29F589A1"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Key Insight</w:t>
      </w:r>
    </w:p>
    <w:p w14:paraId="4BADB955" w14:textId="77777777" w:rsidR="00F8034F" w:rsidRPr="007E6FBE" w:rsidRDefault="00F8034F" w:rsidP="007E6FBE">
      <w:pPr>
        <w:spacing w:after="240" w:line="360" w:lineRule="auto"/>
        <w:rPr>
          <w:rFonts w:ascii="Times New Roman" w:hAnsi="Times New Roman"/>
          <w:lang w:val="en-HK"/>
        </w:rPr>
      </w:pPr>
      <w:r w:rsidRPr="00F8034F">
        <w:rPr>
          <w:rFonts w:ascii="Times New Roman" w:hAnsi="Times New Roman"/>
          <w:lang w:val="en-HK"/>
        </w:rPr>
        <w:t xml:space="preserve">Hayton identifies arbitration as a promising but troubled frontier for trust disputes. While commercially viable and legislatively supported in some jurisdictions, its application to family trusts in England faces ECHR-driven barriers (public hearing rights) and enforcement </w:t>
      </w:r>
      <w:r w:rsidRPr="00F8034F">
        <w:rPr>
          <w:rFonts w:ascii="Times New Roman" w:hAnsi="Times New Roman"/>
          <w:lang w:val="en-HK"/>
        </w:rPr>
        <w:lastRenderedPageBreak/>
        <w:t>uncertainties under the New York Convention. He suggests legislative reform or strategic use of foreign laws as solutions, but doubts swift English adoption, highlighting a tension between innovation and tradition.</w:t>
      </w:r>
    </w:p>
    <w:p w14:paraId="1DF749AA" w14:textId="77777777" w:rsidR="00F8034F" w:rsidRPr="00F8034F" w:rsidRDefault="00F8034F" w:rsidP="007E6FBE">
      <w:pPr>
        <w:spacing w:after="240" w:line="360" w:lineRule="auto"/>
        <w:outlineLvl w:val="2"/>
        <w:rPr>
          <w:rFonts w:ascii="Times New Roman" w:hAnsi="Times New Roman"/>
          <w:b/>
          <w:bCs/>
          <w:lang w:val="en-HK"/>
        </w:rPr>
      </w:pPr>
      <w:r w:rsidRPr="00F8034F">
        <w:rPr>
          <w:rFonts w:ascii="Times New Roman" w:hAnsi="Times New Roman"/>
          <w:b/>
          <w:bCs/>
          <w:lang w:val="en-HK"/>
        </w:rPr>
        <w:t>Additional Notes</w:t>
      </w:r>
    </w:p>
    <w:p w14:paraId="3A581666" w14:textId="1441AD3C" w:rsidR="00F8034F" w:rsidRPr="007E6FBE" w:rsidRDefault="00F8034F" w:rsidP="007E6FBE">
      <w:pPr>
        <w:spacing w:after="240" w:line="360" w:lineRule="auto"/>
        <w:rPr>
          <w:rFonts w:ascii="Times New Roman" w:hAnsi="Times New Roman"/>
          <w:lang w:val="en-HK"/>
        </w:rPr>
      </w:pPr>
      <w:r w:rsidRPr="00F8034F">
        <w:rPr>
          <w:rFonts w:ascii="Times New Roman" w:hAnsi="Times New Roman"/>
          <w:b/>
          <w:bCs/>
          <w:lang w:val="en-HK"/>
        </w:rPr>
        <w:t>Connection to Prior Sections</w:t>
      </w:r>
      <w:r w:rsidRPr="00F8034F">
        <w:rPr>
          <w:rFonts w:ascii="Times New Roman" w:hAnsi="Times New Roman"/>
          <w:lang w:val="en-HK"/>
        </w:rPr>
        <w:t>: Ties to Section 4’s discussion of flexible foreign laws (e.g., Guernsey’s arbitration provisions) and Section 3’s focus on practical tools, but shifts to a procedural rather than substantive innovation.</w:t>
      </w:r>
    </w:p>
    <w:p w14:paraId="6AD693C8" w14:textId="44F06195" w:rsidR="00F8034F" w:rsidRPr="007E6FBE" w:rsidRDefault="00343E31" w:rsidP="007E6FBE">
      <w:pPr>
        <w:spacing w:after="240" w:line="360" w:lineRule="auto"/>
        <w:rPr>
          <w:rFonts w:ascii="Times New Roman" w:hAnsi="Times New Roman"/>
          <w:lang w:val="en-HK"/>
        </w:rPr>
      </w:pPr>
      <w:r w:rsidRPr="00343E31">
        <w:rPr>
          <w:rFonts w:ascii="Times New Roman" w:hAnsi="Times New Roman"/>
          <w:noProof/>
          <w:lang w:val="en-HK"/>
          <w14:ligatures w14:val="standardContextual"/>
        </w:rPr>
        <w:pict w14:anchorId="54DC699E">
          <v:rect id="_x0000_i1027" alt="" style="width:451.3pt;height:.05pt;mso-width-percent:0;mso-height-percent:0;mso-width-percent:0;mso-height-percent:0" o:hralign="center" o:hrstd="t" o:hr="t" fillcolor="#a0a0a0" stroked="f"/>
        </w:pict>
      </w:r>
    </w:p>
    <w:p w14:paraId="44787CC6" w14:textId="77777777" w:rsidR="00F8034F" w:rsidRPr="00F8034F" w:rsidRDefault="00F8034F" w:rsidP="007E6FBE">
      <w:pPr>
        <w:spacing w:after="240" w:line="360" w:lineRule="auto"/>
        <w:outlineLvl w:val="2"/>
        <w:rPr>
          <w:rFonts w:ascii="Times New Roman" w:hAnsi="Times New Roman"/>
          <w:b/>
          <w:bCs/>
          <w:lang w:val="en-HK"/>
        </w:rPr>
      </w:pPr>
      <w:r w:rsidRPr="00F8034F">
        <w:rPr>
          <w:rFonts w:ascii="Times New Roman" w:hAnsi="Times New Roman"/>
          <w:b/>
          <w:bCs/>
          <w:lang w:val="en-HK"/>
        </w:rPr>
        <w:t>Section 6: Rectification of Settlors’ or Trustees’ Donative Documents (pp. 1010-1014)</w:t>
      </w:r>
    </w:p>
    <w:p w14:paraId="5D5794EA"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Overview</w:t>
      </w:r>
    </w:p>
    <w:p w14:paraId="03F8BED0"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This section dives into the equitable remedy of rectification—correcting documents to reflect true intent—contrasting it with rescission for mistake. Hayton critiques English law’s restrictive approach, compares it to more liberal foreign jurisdictions (e.g., Canada, U.S.), and explores whether choosing a foreign governing law could bypass English limitations. It’s a technical analysis grounded in case law, highlighting inconsistencies and potential reforms.</w:t>
      </w:r>
    </w:p>
    <w:p w14:paraId="78BCD0F4"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Detailed Points</w:t>
      </w:r>
    </w:p>
    <w:p w14:paraId="7EA924F6" w14:textId="77777777" w:rsidR="00F8034F" w:rsidRPr="00F8034F" w:rsidRDefault="00F8034F" w:rsidP="007E6FBE">
      <w:pPr>
        <w:numPr>
          <w:ilvl w:val="0"/>
          <w:numId w:val="7"/>
        </w:numPr>
        <w:spacing w:after="240" w:line="360" w:lineRule="auto"/>
        <w:rPr>
          <w:rFonts w:ascii="Times New Roman" w:hAnsi="Times New Roman"/>
          <w:lang w:val="en-HK"/>
        </w:rPr>
      </w:pPr>
      <w:r w:rsidRPr="00F8034F">
        <w:rPr>
          <w:rFonts w:ascii="Times New Roman" w:hAnsi="Times New Roman"/>
          <w:b/>
          <w:bCs/>
          <w:lang w:val="en-HK"/>
        </w:rPr>
        <w:t>Introduction and Need for Clarification</w:t>
      </w:r>
      <w:r w:rsidRPr="00F8034F">
        <w:rPr>
          <w:rFonts w:ascii="Times New Roman" w:hAnsi="Times New Roman"/>
          <w:lang w:val="en-HK"/>
        </w:rPr>
        <w:t xml:space="preserve"> </w:t>
      </w:r>
    </w:p>
    <w:p w14:paraId="39FBE907"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Context</w:t>
      </w:r>
      <w:r w:rsidRPr="00F8034F">
        <w:rPr>
          <w:rFonts w:ascii="Times New Roman" w:hAnsi="Times New Roman"/>
          <w:lang w:val="en-HK"/>
        </w:rPr>
        <w:t>: Follows the arbitration discussion, returning to substantive trust law issues. Hayton calls for clarification of rectification’s scope, especially post-</w:t>
      </w:r>
      <w:r w:rsidRPr="00F8034F">
        <w:rPr>
          <w:rFonts w:ascii="Times New Roman" w:hAnsi="Times New Roman"/>
          <w:i/>
          <w:iCs/>
          <w:lang w:val="en-HK"/>
        </w:rPr>
        <w:t>Pitt v Holt</w:t>
      </w:r>
      <w:r w:rsidRPr="00F8034F">
        <w:rPr>
          <w:rFonts w:ascii="Times New Roman" w:hAnsi="Times New Roman"/>
          <w:lang w:val="en-HK"/>
        </w:rPr>
        <w:t xml:space="preserve"> (2013 UKSC), which redefined rescission for mistake.</w:t>
      </w:r>
    </w:p>
    <w:p w14:paraId="10278E88"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Comparison</w:t>
      </w:r>
      <w:r w:rsidRPr="00F8034F">
        <w:rPr>
          <w:rFonts w:ascii="Times New Roman" w:hAnsi="Times New Roman"/>
          <w:lang w:val="en-HK"/>
        </w:rPr>
        <w:t xml:space="preserve">: Lewison LJ in </w:t>
      </w:r>
      <w:r w:rsidRPr="00F8034F">
        <w:rPr>
          <w:rFonts w:ascii="Times New Roman" w:hAnsi="Times New Roman"/>
          <w:i/>
          <w:iCs/>
          <w:lang w:val="en-HK"/>
        </w:rPr>
        <w:t>Day v Day</w:t>
      </w:r>
      <w:r w:rsidRPr="00F8034F">
        <w:rPr>
          <w:rFonts w:ascii="Times New Roman" w:hAnsi="Times New Roman"/>
          <w:lang w:val="en-HK"/>
        </w:rPr>
        <w:t xml:space="preserve"> (2013) suggested rectification and rescission should align, but </w:t>
      </w:r>
      <w:r w:rsidRPr="00F8034F">
        <w:rPr>
          <w:rFonts w:ascii="Times New Roman" w:hAnsi="Times New Roman"/>
          <w:i/>
          <w:iCs/>
          <w:lang w:val="en-HK"/>
        </w:rPr>
        <w:t>Pitt v Holt</w:t>
      </w:r>
      <w:r w:rsidRPr="00F8034F">
        <w:rPr>
          <w:rFonts w:ascii="Times New Roman" w:hAnsi="Times New Roman"/>
          <w:lang w:val="en-HK"/>
        </w:rPr>
        <w:t xml:space="preserve"> distinguished them, prompting deeper scrutiny.</w:t>
      </w:r>
    </w:p>
    <w:p w14:paraId="5893BAD7" w14:textId="77777777" w:rsidR="00F8034F" w:rsidRPr="00F8034F" w:rsidRDefault="00F8034F" w:rsidP="007E6FBE">
      <w:pPr>
        <w:numPr>
          <w:ilvl w:val="0"/>
          <w:numId w:val="7"/>
        </w:numPr>
        <w:spacing w:after="240" w:line="360" w:lineRule="auto"/>
        <w:rPr>
          <w:rFonts w:ascii="Times New Roman" w:hAnsi="Times New Roman"/>
          <w:lang w:val="en-HK"/>
        </w:rPr>
      </w:pPr>
      <w:r w:rsidRPr="00F8034F">
        <w:rPr>
          <w:rFonts w:ascii="Times New Roman" w:hAnsi="Times New Roman"/>
          <w:b/>
          <w:bCs/>
          <w:lang w:val="en-HK"/>
        </w:rPr>
        <w:t>English Law’s Framework: Rectification vs. Rescission</w:t>
      </w:r>
      <w:r w:rsidRPr="00F8034F">
        <w:rPr>
          <w:rFonts w:ascii="Times New Roman" w:hAnsi="Times New Roman"/>
          <w:lang w:val="en-HK"/>
        </w:rPr>
        <w:t xml:space="preserve"> </w:t>
      </w:r>
    </w:p>
    <w:p w14:paraId="3673B63A"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Lord Walker’s View in Pitt v Holt</w:t>
      </w:r>
      <w:r w:rsidRPr="00F8034F">
        <w:rPr>
          <w:rFonts w:ascii="Times New Roman" w:hAnsi="Times New Roman"/>
          <w:lang w:val="en-HK"/>
        </w:rPr>
        <w:t xml:space="preserve">: </w:t>
      </w:r>
    </w:p>
    <w:p w14:paraId="1022AD09"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lang w:val="en-HK"/>
        </w:rPr>
        <w:t>Rectification is “closely guarded,” limited to disparities between a document’s words and the parties’ intent, not its consequences (e.g., tax outcomes).</w:t>
      </w:r>
    </w:p>
    <w:p w14:paraId="1D54DD35"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lang w:val="en-HK"/>
        </w:rPr>
        <w:lastRenderedPageBreak/>
        <w:t>Rescission addresses mistakes (including consequences), offering a fresh start, while rectification retrospectively fixes intent from the outset.</w:t>
      </w:r>
    </w:p>
    <w:p w14:paraId="5BB6F0CD"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Case Example: Kennedy v Kennedy (2014)</w:t>
      </w:r>
      <w:r w:rsidRPr="00F8034F">
        <w:rPr>
          <w:rFonts w:ascii="Times New Roman" w:hAnsi="Times New Roman"/>
          <w:lang w:val="en-HK"/>
        </w:rPr>
        <w:t xml:space="preserve">: </w:t>
      </w:r>
    </w:p>
    <w:p w14:paraId="1440CB4E"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lang w:val="en-HK"/>
        </w:rPr>
        <w:t>A trustee intended a clause to vest a trust fund in Mr. Kennedy absolutely, but misjudged its capital gains tax (CGT) impact.</w:t>
      </w:r>
    </w:p>
    <w:p w14:paraId="14C43938"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lang w:val="en-HK"/>
        </w:rPr>
        <w:t xml:space="preserve">Sir Terence </w:t>
      </w:r>
      <w:proofErr w:type="spellStart"/>
      <w:r w:rsidRPr="00F8034F">
        <w:rPr>
          <w:rFonts w:ascii="Times New Roman" w:hAnsi="Times New Roman"/>
          <w:lang w:val="en-HK"/>
        </w:rPr>
        <w:t>Etherton</w:t>
      </w:r>
      <w:proofErr w:type="spellEnd"/>
      <w:r w:rsidRPr="00F8034F">
        <w:rPr>
          <w:rFonts w:ascii="Times New Roman" w:hAnsi="Times New Roman"/>
          <w:lang w:val="en-HK"/>
        </w:rPr>
        <w:t xml:space="preserve"> ruled no rectification, as the intent matched the clause’s legal effect; the mistake was motivational (tax consequence), justifying rescission instead.</w:t>
      </w:r>
    </w:p>
    <w:p w14:paraId="46D3D091"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Two Mistake Types</w:t>
      </w:r>
      <w:r w:rsidRPr="00F8034F">
        <w:rPr>
          <w:rFonts w:ascii="Times New Roman" w:hAnsi="Times New Roman"/>
          <w:lang w:val="en-HK"/>
        </w:rPr>
        <w:t xml:space="preserve">: </w:t>
      </w:r>
    </w:p>
    <w:p w14:paraId="46F51F7F"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b/>
          <w:bCs/>
          <w:lang w:val="en-HK"/>
        </w:rPr>
        <w:t>Meaning Mistake</w:t>
      </w:r>
      <w:r w:rsidRPr="00F8034F">
        <w:rPr>
          <w:rFonts w:ascii="Times New Roman" w:hAnsi="Times New Roman"/>
          <w:lang w:val="en-HK"/>
        </w:rPr>
        <w:t>: Disparity between document terms and intent (rectifiable, e.g., a settlor omitting non-marital children from a trust).</w:t>
      </w:r>
    </w:p>
    <w:p w14:paraId="44C6164A"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b/>
          <w:bCs/>
          <w:lang w:val="en-HK"/>
        </w:rPr>
        <w:t>Motivational Mistake</w:t>
      </w:r>
      <w:r w:rsidRPr="00F8034F">
        <w:rPr>
          <w:rFonts w:ascii="Times New Roman" w:hAnsi="Times New Roman"/>
          <w:lang w:val="en-HK"/>
        </w:rPr>
        <w:t>: Intent matches terms, but external assumptions (e.g., tax) are wrong (rescission applies, not rectification).</w:t>
      </w:r>
    </w:p>
    <w:p w14:paraId="7E51F5D6" w14:textId="77777777" w:rsidR="00F8034F" w:rsidRPr="00F8034F" w:rsidRDefault="00F8034F" w:rsidP="007E6FBE">
      <w:pPr>
        <w:numPr>
          <w:ilvl w:val="0"/>
          <w:numId w:val="7"/>
        </w:numPr>
        <w:spacing w:after="240" w:line="360" w:lineRule="auto"/>
        <w:rPr>
          <w:rFonts w:ascii="Times New Roman" w:hAnsi="Times New Roman"/>
          <w:lang w:val="en-HK"/>
        </w:rPr>
      </w:pPr>
      <w:r w:rsidRPr="00F8034F">
        <w:rPr>
          <w:rFonts w:ascii="Times New Roman" w:hAnsi="Times New Roman"/>
          <w:b/>
          <w:bCs/>
          <w:lang w:val="en-HK"/>
        </w:rPr>
        <w:t>Ambiguity and Case Law Inconsistencies</w:t>
      </w:r>
      <w:r w:rsidRPr="00F8034F">
        <w:rPr>
          <w:rFonts w:ascii="Times New Roman" w:hAnsi="Times New Roman"/>
          <w:lang w:val="en-HK"/>
        </w:rPr>
        <w:t xml:space="preserve"> </w:t>
      </w:r>
    </w:p>
    <w:p w14:paraId="29511498"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Effect vs. Consequence</w:t>
      </w:r>
      <w:r w:rsidRPr="00F8034F">
        <w:rPr>
          <w:rFonts w:ascii="Times New Roman" w:hAnsi="Times New Roman"/>
          <w:lang w:val="en-HK"/>
        </w:rPr>
        <w:t xml:space="preserve">: Hayton notes confusion—words produce a “meaning” (effect), followed by legal/tax “consequences.” Rectification should fix meaning, rescission consequences, but cases blur this: </w:t>
      </w:r>
    </w:p>
    <w:p w14:paraId="268FDCD1"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b/>
          <w:bCs/>
          <w:lang w:val="en-HK"/>
        </w:rPr>
        <w:t>Tax Covenants</w:t>
      </w:r>
      <w:r w:rsidRPr="00F8034F">
        <w:rPr>
          <w:rFonts w:ascii="Times New Roman" w:hAnsi="Times New Roman"/>
          <w:lang w:val="en-HK"/>
        </w:rPr>
        <w:t>: Rectified “free of tax” to “after tax” amounts (</w:t>
      </w:r>
      <w:proofErr w:type="spellStart"/>
      <w:r w:rsidRPr="00F8034F">
        <w:rPr>
          <w:rFonts w:ascii="Times New Roman" w:hAnsi="Times New Roman"/>
          <w:i/>
          <w:iCs/>
          <w:lang w:val="en-HK"/>
        </w:rPr>
        <w:t>Burroughes</w:t>
      </w:r>
      <w:proofErr w:type="spellEnd"/>
      <w:r w:rsidRPr="00F8034F">
        <w:rPr>
          <w:rFonts w:ascii="Times New Roman" w:hAnsi="Times New Roman"/>
          <w:i/>
          <w:iCs/>
          <w:lang w:val="en-HK"/>
        </w:rPr>
        <w:t xml:space="preserve"> v Abbott</w:t>
      </w:r>
      <w:r w:rsidRPr="00F8034F">
        <w:rPr>
          <w:rFonts w:ascii="Times New Roman" w:hAnsi="Times New Roman"/>
          <w:lang w:val="en-HK"/>
        </w:rPr>
        <w:t>, 1922).</w:t>
      </w:r>
    </w:p>
    <w:p w14:paraId="78171058"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b/>
          <w:bCs/>
          <w:lang w:val="en-HK"/>
        </w:rPr>
        <w:t>Inheritance Tax (IHT)</w:t>
      </w:r>
      <w:r w:rsidRPr="00F8034F">
        <w:rPr>
          <w:rFonts w:ascii="Times New Roman" w:hAnsi="Times New Roman"/>
          <w:lang w:val="en-HK"/>
        </w:rPr>
        <w:t>: Deeds varied to reference tax statutes for intended relief (</w:t>
      </w:r>
      <w:r w:rsidRPr="00F8034F">
        <w:rPr>
          <w:rFonts w:ascii="Times New Roman" w:hAnsi="Times New Roman"/>
          <w:i/>
          <w:iCs/>
          <w:lang w:val="en-HK"/>
        </w:rPr>
        <w:t>Wills v Gibbs</w:t>
      </w:r>
      <w:r w:rsidRPr="00F8034F">
        <w:rPr>
          <w:rFonts w:ascii="Times New Roman" w:hAnsi="Times New Roman"/>
          <w:lang w:val="en-HK"/>
        </w:rPr>
        <w:t>, 2007).</w:t>
      </w:r>
    </w:p>
    <w:p w14:paraId="27DAF8AE"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b/>
          <w:bCs/>
          <w:lang w:val="en-HK"/>
        </w:rPr>
        <w:t>Trust Terms</w:t>
      </w:r>
      <w:r w:rsidRPr="00F8034F">
        <w:rPr>
          <w:rFonts w:ascii="Times New Roman" w:hAnsi="Times New Roman"/>
          <w:lang w:val="en-HK"/>
        </w:rPr>
        <w:t>: Adjusted for IHT benefits (</w:t>
      </w:r>
      <w:r w:rsidRPr="00F8034F">
        <w:rPr>
          <w:rFonts w:ascii="Times New Roman" w:hAnsi="Times New Roman"/>
          <w:i/>
          <w:iCs/>
          <w:lang w:val="en-HK"/>
        </w:rPr>
        <w:t>Rawlins v Coutts</w:t>
      </w:r>
      <w:r w:rsidRPr="00F8034F">
        <w:rPr>
          <w:rFonts w:ascii="Times New Roman" w:hAnsi="Times New Roman"/>
          <w:lang w:val="en-HK"/>
        </w:rPr>
        <w:t>, 2006) or interest in possession (</w:t>
      </w:r>
      <w:r w:rsidRPr="00F8034F">
        <w:rPr>
          <w:rFonts w:ascii="Times New Roman" w:hAnsi="Times New Roman"/>
          <w:i/>
          <w:iCs/>
          <w:lang w:val="en-HK"/>
        </w:rPr>
        <w:t>Fine v Fine</w:t>
      </w:r>
      <w:r w:rsidRPr="00F8034F">
        <w:rPr>
          <w:rFonts w:ascii="Times New Roman" w:hAnsi="Times New Roman"/>
          <w:lang w:val="en-HK"/>
        </w:rPr>
        <w:t>, 2012).</w:t>
      </w:r>
    </w:p>
    <w:p w14:paraId="1682F6AB"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 xml:space="preserve">Re </w:t>
      </w:r>
      <w:proofErr w:type="spellStart"/>
      <w:r w:rsidRPr="00F8034F">
        <w:rPr>
          <w:rFonts w:ascii="Times New Roman" w:hAnsi="Times New Roman"/>
          <w:b/>
          <w:bCs/>
          <w:lang w:val="en-HK"/>
        </w:rPr>
        <w:t>Slocock’s</w:t>
      </w:r>
      <w:proofErr w:type="spellEnd"/>
      <w:r w:rsidRPr="00F8034F">
        <w:rPr>
          <w:rFonts w:ascii="Times New Roman" w:hAnsi="Times New Roman"/>
          <w:b/>
          <w:bCs/>
          <w:lang w:val="en-HK"/>
        </w:rPr>
        <w:t xml:space="preserve"> WT (1979)</w:t>
      </w:r>
      <w:r w:rsidRPr="00F8034F">
        <w:rPr>
          <w:rFonts w:ascii="Times New Roman" w:hAnsi="Times New Roman"/>
          <w:lang w:val="en-HK"/>
        </w:rPr>
        <w:t>: Graham J allowed rectification for tax avoidance mistakes, suggesting fairness if intent was clear and achievable.</w:t>
      </w:r>
    </w:p>
    <w:p w14:paraId="393DAE3A"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Tension</w:t>
      </w:r>
      <w:r w:rsidRPr="00F8034F">
        <w:rPr>
          <w:rFonts w:ascii="Times New Roman" w:hAnsi="Times New Roman"/>
          <w:lang w:val="en-HK"/>
        </w:rPr>
        <w:t xml:space="preserve">: These cases rectify consequences (tax outcomes), contradicting </w:t>
      </w:r>
      <w:r w:rsidRPr="00F8034F">
        <w:rPr>
          <w:rFonts w:ascii="Times New Roman" w:hAnsi="Times New Roman"/>
          <w:i/>
          <w:iCs/>
          <w:lang w:val="en-HK"/>
        </w:rPr>
        <w:t>Pitt v Holt</w:t>
      </w:r>
      <w:r w:rsidRPr="00F8034F">
        <w:rPr>
          <w:rFonts w:ascii="Times New Roman" w:hAnsi="Times New Roman"/>
          <w:lang w:val="en-HK"/>
        </w:rPr>
        <w:t>’s limit to intent, revealing judicial flexibility or inconsistency.</w:t>
      </w:r>
    </w:p>
    <w:p w14:paraId="0E51B214" w14:textId="77777777" w:rsidR="00F8034F" w:rsidRPr="00F8034F" w:rsidRDefault="00F8034F" w:rsidP="007E6FBE">
      <w:pPr>
        <w:numPr>
          <w:ilvl w:val="0"/>
          <w:numId w:val="7"/>
        </w:numPr>
        <w:spacing w:after="240" w:line="360" w:lineRule="auto"/>
        <w:rPr>
          <w:rFonts w:ascii="Times New Roman" w:hAnsi="Times New Roman"/>
          <w:lang w:val="en-HK"/>
        </w:rPr>
      </w:pPr>
      <w:r w:rsidRPr="00F8034F">
        <w:rPr>
          <w:rFonts w:ascii="Times New Roman" w:hAnsi="Times New Roman"/>
          <w:b/>
          <w:bCs/>
          <w:lang w:val="en-HK"/>
        </w:rPr>
        <w:lastRenderedPageBreak/>
        <w:t>Limits of Rectification</w:t>
      </w:r>
      <w:r w:rsidRPr="00F8034F">
        <w:rPr>
          <w:rFonts w:ascii="Times New Roman" w:hAnsi="Times New Roman"/>
          <w:lang w:val="en-HK"/>
        </w:rPr>
        <w:t xml:space="preserve"> </w:t>
      </w:r>
    </w:p>
    <w:p w14:paraId="6F2955EC"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Vague Intent</w:t>
      </w:r>
      <w:r w:rsidRPr="00F8034F">
        <w:rPr>
          <w:rFonts w:ascii="Times New Roman" w:hAnsi="Times New Roman"/>
          <w:lang w:val="en-HK"/>
        </w:rPr>
        <w:t>: If a settlor aimed to avoid tax without specific wording in mind, rectification fails (</w:t>
      </w:r>
      <w:proofErr w:type="spellStart"/>
      <w:r w:rsidRPr="00F8034F">
        <w:rPr>
          <w:rFonts w:ascii="Times New Roman" w:hAnsi="Times New Roman"/>
          <w:i/>
          <w:iCs/>
          <w:lang w:val="en-HK"/>
        </w:rPr>
        <w:t>Allnutt</w:t>
      </w:r>
      <w:proofErr w:type="spellEnd"/>
      <w:r w:rsidRPr="00F8034F">
        <w:rPr>
          <w:rFonts w:ascii="Times New Roman" w:hAnsi="Times New Roman"/>
          <w:i/>
          <w:iCs/>
          <w:lang w:val="en-HK"/>
        </w:rPr>
        <w:t xml:space="preserve"> v Wilding</w:t>
      </w:r>
      <w:r w:rsidRPr="00F8034F">
        <w:rPr>
          <w:rFonts w:ascii="Times New Roman" w:hAnsi="Times New Roman"/>
          <w:lang w:val="en-HK"/>
        </w:rPr>
        <w:t>, 2007); rescission applies if they wouldn’t have signed knowing the truth.</w:t>
      </w:r>
    </w:p>
    <w:p w14:paraId="1FD22277"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Critique by Frances Dawson</w:t>
      </w:r>
      <w:r w:rsidRPr="00F8034F">
        <w:rPr>
          <w:rFonts w:ascii="Times New Roman" w:hAnsi="Times New Roman"/>
          <w:lang w:val="en-HK"/>
        </w:rPr>
        <w:t>: Questions whether tax-driven cases (e.g., adding IHT clauses) rewrite documents beyond original intent, contrary to rectification’s purpose of reflecting what was meant, not what might have been done if better informed.</w:t>
      </w:r>
    </w:p>
    <w:p w14:paraId="5B810014" w14:textId="77777777" w:rsidR="00F8034F" w:rsidRPr="00F8034F" w:rsidRDefault="00F8034F" w:rsidP="007E6FBE">
      <w:pPr>
        <w:numPr>
          <w:ilvl w:val="0"/>
          <w:numId w:val="7"/>
        </w:numPr>
        <w:spacing w:after="240" w:line="360" w:lineRule="auto"/>
        <w:rPr>
          <w:rFonts w:ascii="Times New Roman" w:hAnsi="Times New Roman"/>
          <w:lang w:val="en-HK"/>
        </w:rPr>
      </w:pPr>
      <w:r w:rsidRPr="00F8034F">
        <w:rPr>
          <w:rFonts w:ascii="Times New Roman" w:hAnsi="Times New Roman"/>
          <w:b/>
          <w:bCs/>
          <w:lang w:val="en-HK"/>
        </w:rPr>
        <w:t>Foreign Jurisdictions’ Liberal Approach</w:t>
      </w:r>
      <w:r w:rsidRPr="00F8034F">
        <w:rPr>
          <w:rFonts w:ascii="Times New Roman" w:hAnsi="Times New Roman"/>
          <w:lang w:val="en-HK"/>
        </w:rPr>
        <w:t xml:space="preserve"> </w:t>
      </w:r>
    </w:p>
    <w:p w14:paraId="7EECD8BA"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 xml:space="preserve">Canada: Attorney General v </w:t>
      </w:r>
      <w:proofErr w:type="spellStart"/>
      <w:r w:rsidRPr="00F8034F">
        <w:rPr>
          <w:rFonts w:ascii="Times New Roman" w:hAnsi="Times New Roman"/>
          <w:b/>
          <w:bCs/>
          <w:lang w:val="en-HK"/>
        </w:rPr>
        <w:t>Juliar</w:t>
      </w:r>
      <w:proofErr w:type="spellEnd"/>
      <w:r w:rsidRPr="00F8034F">
        <w:rPr>
          <w:rFonts w:ascii="Times New Roman" w:hAnsi="Times New Roman"/>
          <w:b/>
          <w:bCs/>
          <w:lang w:val="en-HK"/>
        </w:rPr>
        <w:t xml:space="preserve"> (2000)</w:t>
      </w:r>
      <w:r w:rsidRPr="00F8034F">
        <w:rPr>
          <w:rFonts w:ascii="Times New Roman" w:hAnsi="Times New Roman"/>
          <w:lang w:val="en-HK"/>
        </w:rPr>
        <w:t xml:space="preserve">: </w:t>
      </w:r>
    </w:p>
    <w:p w14:paraId="5F435320"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lang w:val="en-HK"/>
        </w:rPr>
        <w:t>Share transfers for promissory notes aimed for tax neutrality but triggered tax due to bad data.</w:t>
      </w:r>
    </w:p>
    <w:p w14:paraId="34D8E0B2" w14:textId="77777777" w:rsidR="00F8034F" w:rsidRPr="00F8034F" w:rsidRDefault="00F8034F" w:rsidP="007E6FBE">
      <w:pPr>
        <w:numPr>
          <w:ilvl w:val="2"/>
          <w:numId w:val="7"/>
        </w:numPr>
        <w:spacing w:after="240" w:line="360" w:lineRule="auto"/>
        <w:rPr>
          <w:rFonts w:ascii="Times New Roman" w:hAnsi="Times New Roman"/>
          <w:lang w:val="en-HK"/>
        </w:rPr>
      </w:pPr>
      <w:r w:rsidRPr="00F8034F">
        <w:rPr>
          <w:rFonts w:ascii="Times New Roman" w:hAnsi="Times New Roman"/>
          <w:lang w:val="en-HK"/>
        </w:rPr>
        <w:t>Ontario Court of Appeal rectified it to a share-for-share exchange, prioritizing intent over precise mechanics, citing fairness in tax avoidance.</w:t>
      </w:r>
    </w:p>
    <w:p w14:paraId="7F30DFFB"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Fairmont Hotels Inc v AG of Canada (2015)</w:t>
      </w:r>
      <w:r w:rsidRPr="00F8034F">
        <w:rPr>
          <w:rFonts w:ascii="Times New Roman" w:hAnsi="Times New Roman"/>
          <w:lang w:val="en-HK"/>
        </w:rPr>
        <w:t xml:space="preserve">: </w:t>
      </w:r>
    </w:p>
    <w:p w14:paraId="110D9FCA"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Corporate resolutions caused unintended tax on share redemptions; rectified to neutralize tax, requiring only a “specific unwavering intention,” not a pre-set solution.</w:t>
      </w:r>
    </w:p>
    <w:p w14:paraId="52B7C8BF"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U.S. Uniform Trust Code (UTC) Section 416</w:t>
      </w:r>
      <w:r w:rsidRPr="00F8034F">
        <w:rPr>
          <w:rFonts w:ascii="Times New Roman" w:hAnsi="Times New Roman"/>
          <w:lang w:val="en-HK"/>
        </w:rPr>
        <w:t xml:space="preserve">: </w:t>
      </w:r>
    </w:p>
    <w:p w14:paraId="6F9D225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Adopted by 32 states, allows courts to modify trusts retroactively to achieve settlor’s tax objectives, if not contrary to probable intent.</w:t>
      </w:r>
    </w:p>
    <w:p w14:paraId="7A3B9DCD"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Contrast with England</w:t>
      </w:r>
      <w:r w:rsidRPr="00F8034F">
        <w:rPr>
          <w:rFonts w:ascii="Times New Roman" w:hAnsi="Times New Roman"/>
          <w:lang w:val="en-HK"/>
        </w:rPr>
        <w:t>: English law demands specific intent matching corrected wording, not broad tax goals, making it less flexible.</w:t>
      </w:r>
    </w:p>
    <w:p w14:paraId="5C21A9D9" w14:textId="77777777" w:rsidR="00F8034F" w:rsidRPr="00F8034F" w:rsidRDefault="00F8034F" w:rsidP="007E6FBE">
      <w:pPr>
        <w:numPr>
          <w:ilvl w:val="0"/>
          <w:numId w:val="7"/>
        </w:numPr>
        <w:spacing w:after="240" w:line="360" w:lineRule="auto"/>
        <w:rPr>
          <w:rFonts w:ascii="Times New Roman" w:hAnsi="Times New Roman"/>
          <w:lang w:val="en-HK"/>
        </w:rPr>
      </w:pPr>
      <w:r w:rsidRPr="00F8034F">
        <w:rPr>
          <w:rFonts w:ascii="Times New Roman" w:hAnsi="Times New Roman"/>
          <w:b/>
          <w:bCs/>
          <w:lang w:val="en-HK"/>
        </w:rPr>
        <w:t>Potential for Foreign Law Use</w:t>
      </w:r>
      <w:r w:rsidRPr="00F8034F">
        <w:rPr>
          <w:rFonts w:ascii="Times New Roman" w:hAnsi="Times New Roman"/>
          <w:lang w:val="en-HK"/>
        </w:rPr>
        <w:t xml:space="preserve"> </w:t>
      </w:r>
    </w:p>
    <w:p w14:paraId="127DC4B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Hague Trusts Convention</w:t>
      </w:r>
      <w:r w:rsidRPr="00F8034F">
        <w:rPr>
          <w:rFonts w:ascii="Times New Roman" w:hAnsi="Times New Roman"/>
          <w:lang w:val="en-HK"/>
        </w:rPr>
        <w:t>: Could a settlor choose a U.S. state’s UTC-based law or Jersey’s broader rectification rules (e.g., Sections 47G/H) to fix errors English law won’t?</w:t>
      </w:r>
    </w:p>
    <w:p w14:paraId="7DF0AD58"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lastRenderedPageBreak/>
        <w:t>Public Policy Test</w:t>
      </w:r>
      <w:r w:rsidRPr="00F8034F">
        <w:rPr>
          <w:rFonts w:ascii="Times New Roman" w:hAnsi="Times New Roman"/>
          <w:lang w:val="en-HK"/>
        </w:rPr>
        <w:t>: Article 18 allows disregard if “manifestly incompatible” with English policy. Hayton questions whether liberal rectification would trigger this, suggesting legislative response (e.g., via a Finance Act) might be needed over judicial rejection.</w:t>
      </w:r>
    </w:p>
    <w:p w14:paraId="1536F565"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Challenge</w:t>
      </w:r>
      <w:r w:rsidRPr="00F8034F">
        <w:rPr>
          <w:rFonts w:ascii="Times New Roman" w:hAnsi="Times New Roman"/>
          <w:lang w:val="en-HK"/>
        </w:rPr>
        <w:t>: Foreign rectification might not affect English assets unless courts recognize it, echoing Section 4’s extraterritorial limits.</w:t>
      </w:r>
    </w:p>
    <w:p w14:paraId="7870D0DF" w14:textId="77777777" w:rsidR="00F8034F" w:rsidRPr="00F8034F" w:rsidRDefault="00F8034F" w:rsidP="007E6FBE">
      <w:pPr>
        <w:numPr>
          <w:ilvl w:val="0"/>
          <w:numId w:val="7"/>
        </w:numPr>
        <w:spacing w:after="240" w:line="360" w:lineRule="auto"/>
        <w:rPr>
          <w:rFonts w:ascii="Times New Roman" w:hAnsi="Times New Roman"/>
          <w:lang w:val="en-HK"/>
        </w:rPr>
      </w:pPr>
      <w:r w:rsidRPr="00F8034F">
        <w:rPr>
          <w:rFonts w:ascii="Times New Roman" w:hAnsi="Times New Roman"/>
          <w:b/>
          <w:bCs/>
          <w:lang w:val="en-HK"/>
        </w:rPr>
        <w:t>Supreme Court Consideration</w:t>
      </w:r>
      <w:r w:rsidRPr="00F8034F">
        <w:rPr>
          <w:rFonts w:ascii="Times New Roman" w:hAnsi="Times New Roman"/>
          <w:lang w:val="en-HK"/>
        </w:rPr>
        <w:t xml:space="preserve"> </w:t>
      </w:r>
    </w:p>
    <w:p w14:paraId="1B09E929"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Call to Action</w:t>
      </w:r>
      <w:r w:rsidRPr="00F8034F">
        <w:rPr>
          <w:rFonts w:ascii="Times New Roman" w:hAnsi="Times New Roman"/>
          <w:lang w:val="en-HK"/>
        </w:rPr>
        <w:t>: Hayton sees the conflicting case law as ripe for Supreme Court review—either to harden rectification’s limits or adopt Canada’s liberality.</w:t>
      </w:r>
    </w:p>
    <w:p w14:paraId="66427DD1"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Legislative Alternative</w:t>
      </w:r>
      <w:r w:rsidRPr="00F8034F">
        <w:rPr>
          <w:rFonts w:ascii="Times New Roman" w:hAnsi="Times New Roman"/>
          <w:lang w:val="en-HK"/>
        </w:rPr>
        <w:t>: Suggests such a shift might belong to Parliament, not courts, given its policy implications.</w:t>
      </w:r>
    </w:p>
    <w:p w14:paraId="1FE1B669"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Key Insight</w:t>
      </w:r>
    </w:p>
    <w:p w14:paraId="311F9ACF"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Hayton critiques English rectification’s narrowness—focused on intent, not consequences—against foreign flexibility, where tax-driven fixes are more readily granted. He highlights judicial inconsistency and proposes foreign law as a workaround, though tempered by recognition and policy hurdles, urging clarity from higher courts or lawmakers.</w:t>
      </w:r>
    </w:p>
    <w:p w14:paraId="2482C7AD" w14:textId="77777777" w:rsidR="00F8034F" w:rsidRPr="00F8034F" w:rsidRDefault="00343E31" w:rsidP="007E6FBE">
      <w:pPr>
        <w:spacing w:after="240" w:line="360" w:lineRule="auto"/>
        <w:rPr>
          <w:rFonts w:ascii="Times New Roman" w:hAnsi="Times New Roman"/>
          <w:lang w:val="en-HK"/>
        </w:rPr>
      </w:pPr>
      <w:r w:rsidRPr="00343E31">
        <w:rPr>
          <w:rFonts w:ascii="Times New Roman" w:hAnsi="Times New Roman"/>
          <w:noProof/>
          <w:lang w:val="en-HK"/>
          <w14:ligatures w14:val="standardContextual"/>
        </w:rPr>
        <w:pict w14:anchorId="589C47B2">
          <v:rect id="_x0000_i1026" alt="" style="width:451.3pt;height:.05pt;mso-width-percent:0;mso-height-percent:0;mso-width-percent:0;mso-height-percent:0" o:hralign="center" o:hrstd="t" o:hr="t" fillcolor="#a0a0a0" stroked="f"/>
        </w:pict>
      </w:r>
    </w:p>
    <w:p w14:paraId="4832EE78" w14:textId="77777777" w:rsidR="00F8034F" w:rsidRPr="00F8034F" w:rsidRDefault="00F8034F" w:rsidP="007E6FBE">
      <w:pPr>
        <w:spacing w:after="240" w:line="360" w:lineRule="auto"/>
        <w:outlineLvl w:val="2"/>
        <w:rPr>
          <w:rFonts w:ascii="Times New Roman" w:hAnsi="Times New Roman"/>
          <w:b/>
          <w:bCs/>
          <w:lang w:val="en-HK"/>
        </w:rPr>
      </w:pPr>
      <w:r w:rsidRPr="00F8034F">
        <w:rPr>
          <w:rFonts w:ascii="Times New Roman" w:hAnsi="Times New Roman"/>
          <w:b/>
          <w:bCs/>
          <w:lang w:val="en-HK"/>
        </w:rPr>
        <w:t>Section 7: Conclusion (p. 1014)</w:t>
      </w:r>
    </w:p>
    <w:p w14:paraId="64F35B64"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Overview</w:t>
      </w:r>
    </w:p>
    <w:p w14:paraId="6705F773"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lang w:val="en-HK"/>
        </w:rPr>
        <w:t>This brief section (technically the author bio but serving as a conclusion) doesn’t explicitly summarize the article but ties Hayton’s arguments to his expertise, reinforcing his authority to predict trust law’s future. It’s a subtle capstone, not a detailed wrap-up.</w:t>
      </w:r>
    </w:p>
    <w:p w14:paraId="6AF2D4BC"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Detailed Points</w:t>
      </w:r>
    </w:p>
    <w:p w14:paraId="00D827F6" w14:textId="77777777" w:rsidR="00F8034F" w:rsidRPr="00F8034F" w:rsidRDefault="00F8034F" w:rsidP="007E6FBE">
      <w:pPr>
        <w:numPr>
          <w:ilvl w:val="0"/>
          <w:numId w:val="8"/>
        </w:numPr>
        <w:spacing w:after="240" w:line="360" w:lineRule="auto"/>
        <w:rPr>
          <w:rFonts w:ascii="Times New Roman" w:hAnsi="Times New Roman"/>
          <w:lang w:val="en-HK"/>
        </w:rPr>
      </w:pPr>
      <w:r w:rsidRPr="00F8034F">
        <w:rPr>
          <w:rFonts w:ascii="Times New Roman" w:hAnsi="Times New Roman"/>
          <w:b/>
          <w:bCs/>
          <w:lang w:val="en-HK"/>
        </w:rPr>
        <w:t>Author Background</w:t>
      </w:r>
      <w:r w:rsidRPr="00F8034F">
        <w:rPr>
          <w:rFonts w:ascii="Times New Roman" w:hAnsi="Times New Roman"/>
          <w:lang w:val="en-HK"/>
        </w:rPr>
        <w:t xml:space="preserve"> </w:t>
      </w:r>
    </w:p>
    <w:p w14:paraId="7F81BEFD"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Career</w:t>
      </w:r>
      <w:r w:rsidRPr="00F8034F">
        <w:rPr>
          <w:rFonts w:ascii="Times New Roman" w:hAnsi="Times New Roman"/>
          <w:lang w:val="en-HK"/>
        </w:rPr>
        <w:t>: Before joining the Caribbean Court of Justice (CCJ) in 2005, Hayton was a Professor at King’s College London, a barrister and Bencher of Lincoln’s Inn, and a part-time judge in London and The Bahamas.</w:t>
      </w:r>
    </w:p>
    <w:p w14:paraId="2F88D9B6"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lastRenderedPageBreak/>
        <w:t>Publications</w:t>
      </w:r>
      <w:r w:rsidRPr="00F8034F">
        <w:rPr>
          <w:rFonts w:ascii="Times New Roman" w:hAnsi="Times New Roman"/>
          <w:lang w:val="en-HK"/>
        </w:rPr>
        <w:t xml:space="preserve">: Authored/edited 15 books on trusts, property, succession, and tax, including </w:t>
      </w:r>
      <w:r w:rsidRPr="00F8034F">
        <w:rPr>
          <w:rFonts w:ascii="Times New Roman" w:hAnsi="Times New Roman"/>
          <w:i/>
          <w:iCs/>
          <w:lang w:val="en-HK"/>
        </w:rPr>
        <w:t>Underhill and Hayton, Law of Trusts and Trustees</w:t>
      </w:r>
      <w:r w:rsidRPr="00F8034F">
        <w:rPr>
          <w:rFonts w:ascii="Times New Roman" w:hAnsi="Times New Roman"/>
          <w:lang w:val="en-HK"/>
        </w:rPr>
        <w:t xml:space="preserve"> (19th ed.), a practitioner staple.</w:t>
      </w:r>
    </w:p>
    <w:p w14:paraId="3014EC6A"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Contact</w:t>
      </w:r>
      <w:r w:rsidRPr="00F8034F">
        <w:rPr>
          <w:rFonts w:ascii="Times New Roman" w:hAnsi="Times New Roman"/>
          <w:lang w:val="en-HK"/>
        </w:rPr>
        <w:t xml:space="preserve">: Provides his CCJ email, </w:t>
      </w:r>
      <w:proofErr w:type="spellStart"/>
      <w:r w:rsidRPr="00F8034F">
        <w:rPr>
          <w:rFonts w:ascii="Times New Roman" w:hAnsi="Times New Roman"/>
          <w:lang w:val="en-HK"/>
        </w:rPr>
        <w:t>signaling</w:t>
      </w:r>
      <w:proofErr w:type="spellEnd"/>
      <w:r w:rsidRPr="00F8034F">
        <w:rPr>
          <w:rFonts w:ascii="Times New Roman" w:hAnsi="Times New Roman"/>
          <w:lang w:val="en-HK"/>
        </w:rPr>
        <w:t xml:space="preserve"> ongoing engagement.</w:t>
      </w:r>
    </w:p>
    <w:p w14:paraId="2DBE7B6C" w14:textId="77777777" w:rsidR="00F8034F" w:rsidRPr="00F8034F" w:rsidRDefault="00F8034F" w:rsidP="007E6FBE">
      <w:pPr>
        <w:numPr>
          <w:ilvl w:val="0"/>
          <w:numId w:val="8"/>
        </w:numPr>
        <w:spacing w:after="240" w:line="360" w:lineRule="auto"/>
        <w:rPr>
          <w:rFonts w:ascii="Times New Roman" w:hAnsi="Times New Roman"/>
          <w:lang w:val="en-HK"/>
        </w:rPr>
      </w:pPr>
      <w:r w:rsidRPr="00F8034F">
        <w:rPr>
          <w:rFonts w:ascii="Times New Roman" w:hAnsi="Times New Roman"/>
          <w:b/>
          <w:bCs/>
          <w:lang w:val="en-HK"/>
        </w:rPr>
        <w:t>Implicit Conclusion</w:t>
      </w:r>
      <w:r w:rsidRPr="00F8034F">
        <w:rPr>
          <w:rFonts w:ascii="Times New Roman" w:hAnsi="Times New Roman"/>
          <w:lang w:val="en-HK"/>
        </w:rPr>
        <w:t xml:space="preserve"> </w:t>
      </w:r>
    </w:p>
    <w:p w14:paraId="7F919AB3"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Expertise as Context</w:t>
      </w:r>
      <w:r w:rsidRPr="00F8034F">
        <w:rPr>
          <w:rFonts w:ascii="Times New Roman" w:hAnsi="Times New Roman"/>
          <w:lang w:val="en-HK"/>
        </w:rPr>
        <w:t>: His credentials validate the article’s foresight—decades of academic, practical, and judicial experience underpin his predictions.</w:t>
      </w:r>
    </w:p>
    <w:p w14:paraId="0FE8B546" w14:textId="77777777" w:rsidR="00F8034F" w:rsidRPr="00F8034F" w:rsidRDefault="00F8034F" w:rsidP="007E6FBE">
      <w:pPr>
        <w:spacing w:after="240" w:line="360" w:lineRule="auto"/>
        <w:rPr>
          <w:rFonts w:ascii="Times New Roman" w:hAnsi="Times New Roman"/>
          <w:lang w:val="en-HK"/>
        </w:rPr>
      </w:pPr>
      <w:r w:rsidRPr="00F8034F">
        <w:rPr>
          <w:rFonts w:ascii="Times New Roman" w:hAnsi="Times New Roman"/>
          <w:b/>
          <w:bCs/>
          <w:lang w:val="en-HK"/>
        </w:rPr>
        <w:t>Themes Reinforced</w:t>
      </w:r>
      <w:r w:rsidRPr="00F8034F">
        <w:rPr>
          <w:rFonts w:ascii="Times New Roman" w:hAnsi="Times New Roman"/>
          <w:lang w:val="en-HK"/>
        </w:rPr>
        <w:t xml:space="preserve">: The bio aligns with the article’s focus on trust law evolution: </w:t>
      </w:r>
    </w:p>
    <w:p w14:paraId="6D7EF5A6" w14:textId="77777777" w:rsidR="00F8034F" w:rsidRPr="00F8034F" w:rsidRDefault="00F8034F" w:rsidP="007E6FBE">
      <w:pPr>
        <w:numPr>
          <w:ilvl w:val="2"/>
          <w:numId w:val="8"/>
        </w:numPr>
        <w:spacing w:after="240" w:line="360" w:lineRule="auto"/>
        <w:rPr>
          <w:rFonts w:ascii="Times New Roman" w:hAnsi="Times New Roman"/>
          <w:lang w:val="en-HK"/>
        </w:rPr>
      </w:pPr>
      <w:r w:rsidRPr="00F8034F">
        <w:rPr>
          <w:rFonts w:ascii="Times New Roman" w:hAnsi="Times New Roman"/>
          <w:lang w:val="en-HK"/>
        </w:rPr>
        <w:t>His Hague Convention role (Section 1) reflects international influence.</w:t>
      </w:r>
    </w:p>
    <w:p w14:paraId="3AA2DC7D" w14:textId="77777777" w:rsidR="00F8034F" w:rsidRPr="00F8034F" w:rsidRDefault="00F8034F" w:rsidP="007E6FBE">
      <w:pPr>
        <w:numPr>
          <w:ilvl w:val="2"/>
          <w:numId w:val="8"/>
        </w:numPr>
        <w:spacing w:after="240" w:line="360" w:lineRule="auto"/>
        <w:rPr>
          <w:rFonts w:ascii="Times New Roman" w:hAnsi="Times New Roman"/>
          <w:lang w:val="en-HK"/>
        </w:rPr>
      </w:pPr>
      <w:r w:rsidRPr="00F8034F">
        <w:rPr>
          <w:rFonts w:ascii="Times New Roman" w:hAnsi="Times New Roman"/>
          <w:lang w:val="en-HK"/>
        </w:rPr>
        <w:t>Offshore judging (Bahamas) connects to Sections 2-5’s foreign law emphasis.</w:t>
      </w:r>
    </w:p>
    <w:p w14:paraId="14F17291" w14:textId="77777777" w:rsidR="00F8034F" w:rsidRPr="00F8034F" w:rsidRDefault="00F8034F" w:rsidP="007E6FBE">
      <w:pPr>
        <w:numPr>
          <w:ilvl w:val="2"/>
          <w:numId w:val="8"/>
        </w:numPr>
        <w:spacing w:after="240" w:line="360" w:lineRule="auto"/>
        <w:rPr>
          <w:rFonts w:ascii="Times New Roman" w:hAnsi="Times New Roman"/>
          <w:lang w:val="en-HK"/>
        </w:rPr>
      </w:pPr>
      <w:r w:rsidRPr="00F8034F">
        <w:rPr>
          <w:rFonts w:ascii="Times New Roman" w:hAnsi="Times New Roman"/>
          <w:lang w:val="en-HK"/>
        </w:rPr>
        <w:t>Scholarly work supports Section 6’s technical depth.</w:t>
      </w:r>
    </w:p>
    <w:p w14:paraId="0DC4DF46" w14:textId="77777777" w:rsidR="00F8034F" w:rsidRPr="00F8034F" w:rsidRDefault="00F8034F" w:rsidP="007E6FBE">
      <w:pPr>
        <w:spacing w:after="240" w:line="360" w:lineRule="auto"/>
        <w:outlineLvl w:val="3"/>
        <w:rPr>
          <w:rFonts w:ascii="Times New Roman" w:hAnsi="Times New Roman"/>
          <w:b/>
          <w:bCs/>
          <w:lang w:val="en-HK"/>
        </w:rPr>
      </w:pPr>
      <w:r w:rsidRPr="00F8034F">
        <w:rPr>
          <w:rFonts w:ascii="Times New Roman" w:hAnsi="Times New Roman"/>
          <w:b/>
          <w:bCs/>
          <w:lang w:val="en-HK"/>
        </w:rPr>
        <w:t>Key Insight</w:t>
      </w:r>
    </w:p>
    <w:p w14:paraId="54B6358E" w14:textId="77777777" w:rsidR="00F8034F" w:rsidRPr="007E6FBE" w:rsidRDefault="00F8034F" w:rsidP="007E6FBE">
      <w:pPr>
        <w:spacing w:after="240" w:line="360" w:lineRule="auto"/>
        <w:rPr>
          <w:rFonts w:ascii="Times New Roman" w:hAnsi="Times New Roman"/>
          <w:lang w:val="en-HK"/>
        </w:rPr>
      </w:pPr>
      <w:r w:rsidRPr="00F8034F">
        <w:rPr>
          <w:rFonts w:ascii="Times New Roman" w:hAnsi="Times New Roman"/>
          <w:lang w:val="en-HK"/>
        </w:rPr>
        <w:t>While not a formal conclusion, this section leverages Hayton’s stature to affirm his vision: trust law will increasingly globalize, with English law needing to adapt (e.g., arbitration, rectification) to stay relevant, as explored throughout.</w:t>
      </w:r>
    </w:p>
    <w:p w14:paraId="72859D58" w14:textId="77777777" w:rsidR="00F8034F" w:rsidRPr="00F8034F" w:rsidRDefault="00F8034F" w:rsidP="007E6FBE">
      <w:pPr>
        <w:spacing w:after="240" w:line="360" w:lineRule="auto"/>
        <w:outlineLvl w:val="2"/>
        <w:rPr>
          <w:rFonts w:ascii="Times New Roman" w:hAnsi="Times New Roman"/>
          <w:b/>
          <w:bCs/>
          <w:lang w:val="en-HK"/>
        </w:rPr>
      </w:pPr>
      <w:r w:rsidRPr="00F8034F">
        <w:rPr>
          <w:rFonts w:ascii="Times New Roman" w:hAnsi="Times New Roman"/>
          <w:b/>
          <w:bCs/>
          <w:lang w:val="en-HK"/>
        </w:rPr>
        <w:t>Additional Notes</w:t>
      </w:r>
    </w:p>
    <w:p w14:paraId="23597A9D" w14:textId="04B8182B" w:rsidR="00F8034F" w:rsidRPr="007E6FBE" w:rsidRDefault="00F8034F" w:rsidP="007E6FBE">
      <w:pPr>
        <w:spacing w:after="240" w:line="360" w:lineRule="auto"/>
        <w:rPr>
          <w:rFonts w:ascii="Times New Roman" w:hAnsi="Times New Roman"/>
          <w:lang w:val="en-HK"/>
        </w:rPr>
      </w:pPr>
      <w:r w:rsidRPr="00F8034F">
        <w:rPr>
          <w:rFonts w:ascii="Times New Roman" w:hAnsi="Times New Roman"/>
          <w:b/>
          <w:bCs/>
          <w:lang w:val="en-HK"/>
        </w:rPr>
        <w:t>Connections</w:t>
      </w:r>
      <w:r w:rsidRPr="00F8034F">
        <w:rPr>
          <w:rFonts w:ascii="Times New Roman" w:hAnsi="Times New Roman"/>
          <w:lang w:val="en-HK"/>
        </w:rPr>
        <w:t>: Section 6 ties to Section 4 (retrospective fixes via law changes) and Section 5 (human rights limits), while Section 7 echoes the article’s forward-looking stance.</w:t>
      </w:r>
    </w:p>
    <w:p w14:paraId="6D315A1B" w14:textId="77777777" w:rsidR="00F8034F" w:rsidRPr="00F8034F" w:rsidRDefault="00343E31" w:rsidP="007E6FBE">
      <w:pPr>
        <w:spacing w:after="240" w:line="360" w:lineRule="auto"/>
        <w:rPr>
          <w:rFonts w:ascii="Times New Roman" w:hAnsi="Times New Roman"/>
          <w:lang w:val="en-HK"/>
        </w:rPr>
      </w:pPr>
      <w:r w:rsidRPr="00343E31">
        <w:rPr>
          <w:rFonts w:ascii="Times New Roman" w:hAnsi="Times New Roman"/>
          <w:noProof/>
          <w:lang w:val="en-HK"/>
          <w14:ligatures w14:val="standardContextual"/>
        </w:rPr>
        <w:pict w14:anchorId="7E775EB0">
          <v:rect id="_x0000_i1025" alt="" style="width:451.3pt;height:.05pt;mso-width-percent:0;mso-height-percent:0;mso-width-percent:0;mso-height-percent:0" o:hralign="center" o:hrstd="t" o:hr="t" fillcolor="#a0a0a0" stroked="f"/>
        </w:pict>
      </w:r>
    </w:p>
    <w:p w14:paraId="61586848" w14:textId="77777777" w:rsidR="00F8034F" w:rsidRPr="00F8034F" w:rsidRDefault="00F8034F" w:rsidP="007E6FBE">
      <w:pPr>
        <w:spacing w:after="240" w:line="360" w:lineRule="auto"/>
        <w:rPr>
          <w:rFonts w:ascii="Times New Roman" w:hAnsi="Times New Roman"/>
          <w:lang w:val="en-HK"/>
        </w:rPr>
      </w:pPr>
    </w:p>
    <w:p w14:paraId="4B484DEE" w14:textId="77777777" w:rsidR="00F8034F" w:rsidRPr="00F8034F" w:rsidRDefault="00F8034F" w:rsidP="007E6FBE">
      <w:pPr>
        <w:spacing w:after="240" w:line="360" w:lineRule="auto"/>
        <w:rPr>
          <w:rFonts w:ascii="Times New Roman" w:hAnsi="Times New Roman"/>
          <w:lang w:val="en-HK"/>
        </w:rPr>
      </w:pPr>
    </w:p>
    <w:p w14:paraId="1882F532" w14:textId="77777777" w:rsidR="00F8034F" w:rsidRPr="00F8034F" w:rsidRDefault="00F8034F" w:rsidP="007E6FBE">
      <w:pPr>
        <w:spacing w:after="240" w:line="360" w:lineRule="auto"/>
        <w:rPr>
          <w:rFonts w:ascii="Times New Roman" w:hAnsi="Times New Roman"/>
          <w:lang w:val="en-HK"/>
        </w:rPr>
      </w:pPr>
    </w:p>
    <w:p w14:paraId="4D236ECA" w14:textId="77777777" w:rsidR="00CD39F1" w:rsidRPr="007E6FBE" w:rsidRDefault="00CD39F1" w:rsidP="007E6FBE">
      <w:pPr>
        <w:spacing w:after="240" w:line="360" w:lineRule="auto"/>
      </w:pPr>
    </w:p>
    <w:sectPr w:rsidR="00CD39F1" w:rsidRPr="007E6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D2F0C"/>
    <w:multiLevelType w:val="multilevel"/>
    <w:tmpl w:val="1D9A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81E6E"/>
    <w:multiLevelType w:val="multilevel"/>
    <w:tmpl w:val="B5DEB21A"/>
    <w:lvl w:ilvl="0">
      <w:start w:val="1"/>
      <w:numFmt w:val="decimal"/>
      <w:lvlText w:val="%1."/>
      <w:lvlJc w:val="left"/>
      <w:pPr>
        <w:tabs>
          <w:tab w:val="num" w:pos="0"/>
        </w:tabs>
        <w:ind w:left="0" w:hanging="360"/>
      </w:pPr>
    </w:lvl>
    <w:lvl w:ilvl="1">
      <w:start w:val="1"/>
      <w:numFmt w:val="bullet"/>
      <w:lvlText w:val=""/>
      <w:lvlJc w:val="left"/>
      <w:pPr>
        <w:ind w:left="0" w:hanging="360"/>
      </w:pPr>
      <w:rPr>
        <w:rFonts w:ascii="Wingdings" w:hAnsi="Wingdings" w:hint="default"/>
      </w:rPr>
    </w:lvl>
    <w:lvl w:ilvl="2">
      <w:start w:val="1"/>
      <w:numFmt w:val="bullet"/>
      <w:lvlText w:val=""/>
      <w:lvlJc w:val="left"/>
      <w:pPr>
        <w:tabs>
          <w:tab w:val="num" w:pos="0"/>
        </w:tabs>
        <w:ind w:left="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 w15:restartNumberingAfterBreak="0">
    <w:nsid w:val="17F307BC"/>
    <w:multiLevelType w:val="multilevel"/>
    <w:tmpl w:val="A33CE2A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Wingdings" w:hAnsi="Wingdings" w:hint="default"/>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D3B4D57"/>
    <w:multiLevelType w:val="multilevel"/>
    <w:tmpl w:val="A33CE2A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Wingdings" w:hAnsi="Wingdings" w:hint="default"/>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ED241F7"/>
    <w:multiLevelType w:val="multilevel"/>
    <w:tmpl w:val="3068553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5EB0C7F"/>
    <w:multiLevelType w:val="multilevel"/>
    <w:tmpl w:val="462A2B5C"/>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89A0275"/>
    <w:multiLevelType w:val="multilevel"/>
    <w:tmpl w:val="DC6E02E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E776D1F"/>
    <w:multiLevelType w:val="multilevel"/>
    <w:tmpl w:val="1E4A58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836601A"/>
    <w:multiLevelType w:val="multilevel"/>
    <w:tmpl w:val="24A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D5230"/>
    <w:multiLevelType w:val="multilevel"/>
    <w:tmpl w:val="97225D5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59F2919"/>
    <w:multiLevelType w:val="multilevel"/>
    <w:tmpl w:val="D85260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50502797">
    <w:abstractNumId w:val="4"/>
  </w:num>
  <w:num w:numId="2" w16cid:durableId="91947326">
    <w:abstractNumId w:val="1"/>
  </w:num>
  <w:num w:numId="3" w16cid:durableId="973483960">
    <w:abstractNumId w:val="3"/>
  </w:num>
  <w:num w:numId="4" w16cid:durableId="1871717510">
    <w:abstractNumId w:val="5"/>
  </w:num>
  <w:num w:numId="5" w16cid:durableId="1766608818">
    <w:abstractNumId w:val="2"/>
  </w:num>
  <w:num w:numId="6" w16cid:durableId="979845592">
    <w:abstractNumId w:val="9"/>
  </w:num>
  <w:num w:numId="7" w16cid:durableId="853110353">
    <w:abstractNumId w:val="6"/>
  </w:num>
  <w:num w:numId="8" w16cid:durableId="801851757">
    <w:abstractNumId w:val="10"/>
  </w:num>
  <w:num w:numId="9" w16cid:durableId="1056049936">
    <w:abstractNumId w:val="7"/>
  </w:num>
  <w:num w:numId="10" w16cid:durableId="28458533">
    <w:abstractNumId w:val="8"/>
  </w:num>
  <w:num w:numId="11" w16cid:durableId="104544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85"/>
    <w:rsid w:val="000046A5"/>
    <w:rsid w:val="0001136E"/>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43E31"/>
    <w:rsid w:val="00354C0D"/>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4F67E4"/>
    <w:rsid w:val="00505437"/>
    <w:rsid w:val="005120A1"/>
    <w:rsid w:val="00542B57"/>
    <w:rsid w:val="00545764"/>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425BE"/>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07AB"/>
    <w:rsid w:val="007D68F0"/>
    <w:rsid w:val="007E1559"/>
    <w:rsid w:val="007E2E80"/>
    <w:rsid w:val="007E4AE6"/>
    <w:rsid w:val="007E6FBE"/>
    <w:rsid w:val="007F776E"/>
    <w:rsid w:val="00816563"/>
    <w:rsid w:val="00830C88"/>
    <w:rsid w:val="00845A72"/>
    <w:rsid w:val="00845AB5"/>
    <w:rsid w:val="00850813"/>
    <w:rsid w:val="00861B11"/>
    <w:rsid w:val="00871FC4"/>
    <w:rsid w:val="008829C2"/>
    <w:rsid w:val="0088570A"/>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61CD9"/>
    <w:rsid w:val="00A93FBA"/>
    <w:rsid w:val="00A95C7E"/>
    <w:rsid w:val="00AB609D"/>
    <w:rsid w:val="00AC3AB8"/>
    <w:rsid w:val="00AE4348"/>
    <w:rsid w:val="00AE4BAF"/>
    <w:rsid w:val="00B03D5A"/>
    <w:rsid w:val="00B200EB"/>
    <w:rsid w:val="00B23297"/>
    <w:rsid w:val="00B360EE"/>
    <w:rsid w:val="00B53B6F"/>
    <w:rsid w:val="00B60A3B"/>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36588"/>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274DA"/>
    <w:rsid w:val="00D60E7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1C85"/>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034F"/>
    <w:rsid w:val="00F81EB6"/>
    <w:rsid w:val="00F858D4"/>
    <w:rsid w:val="00FA0450"/>
    <w:rsid w:val="00FA4E8A"/>
    <w:rsid w:val="00FB2653"/>
    <w:rsid w:val="00FB5C49"/>
    <w:rsid w:val="00FC3A97"/>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18254"/>
  <w15:chartTrackingRefBased/>
  <w15:docId w15:val="{A70C1DC9-E717-404D-8FEB-8BA6DB1F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01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1C8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01C8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1C8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1C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1C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1C8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1C8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8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01C8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01C8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01C8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01C8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01C8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01C8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01C8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01C8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01C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8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01C8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C8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01C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1C8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01C85"/>
    <w:pPr>
      <w:ind w:left="720"/>
      <w:contextualSpacing/>
    </w:pPr>
  </w:style>
  <w:style w:type="character" w:styleId="IntenseEmphasis">
    <w:name w:val="Intense Emphasis"/>
    <w:basedOn w:val="DefaultParagraphFont"/>
    <w:uiPriority w:val="21"/>
    <w:qFormat/>
    <w:rsid w:val="00E01C85"/>
    <w:rPr>
      <w:i/>
      <w:iCs/>
      <w:color w:val="2F5496" w:themeColor="accent1" w:themeShade="BF"/>
    </w:rPr>
  </w:style>
  <w:style w:type="paragraph" w:styleId="IntenseQuote">
    <w:name w:val="Intense Quote"/>
    <w:basedOn w:val="Normal"/>
    <w:next w:val="Normal"/>
    <w:link w:val="IntenseQuoteChar"/>
    <w:uiPriority w:val="30"/>
    <w:qFormat/>
    <w:rsid w:val="00E01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C8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01C85"/>
    <w:rPr>
      <w:b/>
      <w:bCs/>
      <w:smallCaps/>
      <w:color w:val="2F5496" w:themeColor="accent1" w:themeShade="BF"/>
      <w:spacing w:val="5"/>
    </w:rPr>
  </w:style>
  <w:style w:type="character" w:styleId="Strong">
    <w:name w:val="Strong"/>
    <w:basedOn w:val="DefaultParagraphFont"/>
    <w:uiPriority w:val="22"/>
    <w:qFormat/>
    <w:rsid w:val="00F8034F"/>
    <w:rPr>
      <w:b/>
      <w:bCs/>
    </w:rPr>
  </w:style>
  <w:style w:type="paragraph" w:customStyle="1" w:styleId="break-words">
    <w:name w:val="break-words"/>
    <w:basedOn w:val="Normal"/>
    <w:rsid w:val="00F8034F"/>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F803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645302">
      <w:bodyDiv w:val="1"/>
      <w:marLeft w:val="0"/>
      <w:marRight w:val="0"/>
      <w:marTop w:val="0"/>
      <w:marBottom w:val="0"/>
      <w:divBdr>
        <w:top w:val="none" w:sz="0" w:space="0" w:color="auto"/>
        <w:left w:val="none" w:sz="0" w:space="0" w:color="auto"/>
        <w:bottom w:val="none" w:sz="0" w:space="0" w:color="auto"/>
        <w:right w:val="none" w:sz="0" w:space="0" w:color="auto"/>
      </w:divBdr>
      <w:divsChild>
        <w:div w:id="296419772">
          <w:marLeft w:val="0"/>
          <w:marRight w:val="0"/>
          <w:marTop w:val="0"/>
          <w:marBottom w:val="0"/>
          <w:divBdr>
            <w:top w:val="none" w:sz="0" w:space="0" w:color="auto"/>
            <w:left w:val="none" w:sz="0" w:space="0" w:color="auto"/>
            <w:bottom w:val="none" w:sz="0" w:space="0" w:color="auto"/>
            <w:right w:val="none" w:sz="0" w:space="0" w:color="auto"/>
          </w:divBdr>
        </w:div>
      </w:divsChild>
    </w:div>
    <w:div w:id="320544698">
      <w:bodyDiv w:val="1"/>
      <w:marLeft w:val="0"/>
      <w:marRight w:val="0"/>
      <w:marTop w:val="0"/>
      <w:marBottom w:val="0"/>
      <w:divBdr>
        <w:top w:val="none" w:sz="0" w:space="0" w:color="auto"/>
        <w:left w:val="none" w:sz="0" w:space="0" w:color="auto"/>
        <w:bottom w:val="none" w:sz="0" w:space="0" w:color="auto"/>
        <w:right w:val="none" w:sz="0" w:space="0" w:color="auto"/>
      </w:divBdr>
      <w:divsChild>
        <w:div w:id="1160657985">
          <w:marLeft w:val="0"/>
          <w:marRight w:val="0"/>
          <w:marTop w:val="0"/>
          <w:marBottom w:val="0"/>
          <w:divBdr>
            <w:top w:val="none" w:sz="0" w:space="0" w:color="auto"/>
            <w:left w:val="none" w:sz="0" w:space="0" w:color="auto"/>
            <w:bottom w:val="none" w:sz="0" w:space="0" w:color="auto"/>
            <w:right w:val="none" w:sz="0" w:space="0" w:color="auto"/>
          </w:divBdr>
        </w:div>
      </w:divsChild>
    </w:div>
    <w:div w:id="509488778">
      <w:bodyDiv w:val="1"/>
      <w:marLeft w:val="0"/>
      <w:marRight w:val="0"/>
      <w:marTop w:val="0"/>
      <w:marBottom w:val="0"/>
      <w:divBdr>
        <w:top w:val="none" w:sz="0" w:space="0" w:color="auto"/>
        <w:left w:val="none" w:sz="0" w:space="0" w:color="auto"/>
        <w:bottom w:val="none" w:sz="0" w:space="0" w:color="auto"/>
        <w:right w:val="none" w:sz="0" w:space="0" w:color="auto"/>
      </w:divBdr>
      <w:divsChild>
        <w:div w:id="1342663575">
          <w:marLeft w:val="0"/>
          <w:marRight w:val="0"/>
          <w:marTop w:val="0"/>
          <w:marBottom w:val="0"/>
          <w:divBdr>
            <w:top w:val="none" w:sz="0" w:space="0" w:color="auto"/>
            <w:left w:val="none" w:sz="0" w:space="0" w:color="auto"/>
            <w:bottom w:val="none" w:sz="0" w:space="0" w:color="auto"/>
            <w:right w:val="none" w:sz="0" w:space="0" w:color="auto"/>
          </w:divBdr>
        </w:div>
      </w:divsChild>
    </w:div>
    <w:div w:id="1403988744">
      <w:bodyDiv w:val="1"/>
      <w:marLeft w:val="0"/>
      <w:marRight w:val="0"/>
      <w:marTop w:val="0"/>
      <w:marBottom w:val="0"/>
      <w:divBdr>
        <w:top w:val="none" w:sz="0" w:space="0" w:color="auto"/>
        <w:left w:val="none" w:sz="0" w:space="0" w:color="auto"/>
        <w:bottom w:val="none" w:sz="0" w:space="0" w:color="auto"/>
        <w:right w:val="none" w:sz="0" w:space="0" w:color="auto"/>
      </w:divBdr>
      <w:divsChild>
        <w:div w:id="800997426">
          <w:marLeft w:val="0"/>
          <w:marRight w:val="0"/>
          <w:marTop w:val="0"/>
          <w:marBottom w:val="0"/>
          <w:divBdr>
            <w:top w:val="none" w:sz="0" w:space="0" w:color="auto"/>
            <w:left w:val="none" w:sz="0" w:space="0" w:color="auto"/>
            <w:bottom w:val="none" w:sz="0" w:space="0" w:color="auto"/>
            <w:right w:val="none" w:sz="0" w:space="0" w:color="auto"/>
          </w:divBdr>
        </w:div>
      </w:divsChild>
    </w:div>
    <w:div w:id="1485312032">
      <w:bodyDiv w:val="1"/>
      <w:marLeft w:val="0"/>
      <w:marRight w:val="0"/>
      <w:marTop w:val="0"/>
      <w:marBottom w:val="0"/>
      <w:divBdr>
        <w:top w:val="none" w:sz="0" w:space="0" w:color="auto"/>
        <w:left w:val="none" w:sz="0" w:space="0" w:color="auto"/>
        <w:bottom w:val="none" w:sz="0" w:space="0" w:color="auto"/>
        <w:right w:val="none" w:sz="0" w:space="0" w:color="auto"/>
      </w:divBdr>
      <w:divsChild>
        <w:div w:id="593245126">
          <w:marLeft w:val="0"/>
          <w:marRight w:val="0"/>
          <w:marTop w:val="0"/>
          <w:marBottom w:val="0"/>
          <w:divBdr>
            <w:top w:val="none" w:sz="0" w:space="0" w:color="auto"/>
            <w:left w:val="none" w:sz="0" w:space="0" w:color="auto"/>
            <w:bottom w:val="none" w:sz="0" w:space="0" w:color="auto"/>
            <w:right w:val="none" w:sz="0" w:space="0" w:color="auto"/>
          </w:divBdr>
        </w:div>
      </w:divsChild>
    </w:div>
    <w:div w:id="1779061098">
      <w:bodyDiv w:val="1"/>
      <w:marLeft w:val="0"/>
      <w:marRight w:val="0"/>
      <w:marTop w:val="0"/>
      <w:marBottom w:val="0"/>
      <w:divBdr>
        <w:top w:val="none" w:sz="0" w:space="0" w:color="auto"/>
        <w:left w:val="none" w:sz="0" w:space="0" w:color="auto"/>
        <w:bottom w:val="none" w:sz="0" w:space="0" w:color="auto"/>
        <w:right w:val="none" w:sz="0" w:space="0" w:color="auto"/>
      </w:divBdr>
      <w:divsChild>
        <w:div w:id="1775174188">
          <w:marLeft w:val="0"/>
          <w:marRight w:val="0"/>
          <w:marTop w:val="0"/>
          <w:marBottom w:val="0"/>
          <w:divBdr>
            <w:top w:val="none" w:sz="0" w:space="0" w:color="auto"/>
            <w:left w:val="none" w:sz="0" w:space="0" w:color="auto"/>
            <w:bottom w:val="none" w:sz="0" w:space="0" w:color="auto"/>
            <w:right w:val="none" w:sz="0" w:space="0" w:color="auto"/>
          </w:divBdr>
        </w:div>
      </w:divsChild>
    </w:div>
    <w:div w:id="1998148444">
      <w:bodyDiv w:val="1"/>
      <w:marLeft w:val="0"/>
      <w:marRight w:val="0"/>
      <w:marTop w:val="0"/>
      <w:marBottom w:val="0"/>
      <w:divBdr>
        <w:top w:val="none" w:sz="0" w:space="0" w:color="auto"/>
        <w:left w:val="none" w:sz="0" w:space="0" w:color="auto"/>
        <w:bottom w:val="none" w:sz="0" w:space="0" w:color="auto"/>
        <w:right w:val="none" w:sz="0" w:space="0" w:color="auto"/>
      </w:divBdr>
      <w:divsChild>
        <w:div w:id="1434940417">
          <w:marLeft w:val="0"/>
          <w:marRight w:val="0"/>
          <w:marTop w:val="0"/>
          <w:marBottom w:val="0"/>
          <w:divBdr>
            <w:top w:val="none" w:sz="0" w:space="0" w:color="auto"/>
            <w:left w:val="none" w:sz="0" w:space="0" w:color="auto"/>
            <w:bottom w:val="none" w:sz="0" w:space="0" w:color="auto"/>
            <w:right w:val="none" w:sz="0" w:space="0" w:color="auto"/>
          </w:divBdr>
        </w:div>
      </w:divsChild>
    </w:div>
    <w:div w:id="2000422724">
      <w:bodyDiv w:val="1"/>
      <w:marLeft w:val="0"/>
      <w:marRight w:val="0"/>
      <w:marTop w:val="0"/>
      <w:marBottom w:val="0"/>
      <w:divBdr>
        <w:top w:val="none" w:sz="0" w:space="0" w:color="auto"/>
        <w:left w:val="none" w:sz="0" w:space="0" w:color="auto"/>
        <w:bottom w:val="none" w:sz="0" w:space="0" w:color="auto"/>
        <w:right w:val="none" w:sz="0" w:space="0" w:color="auto"/>
      </w:divBdr>
      <w:divsChild>
        <w:div w:id="1409960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4874</Words>
  <Characters>27783</Characters>
  <Application>Microsoft Office Word</Application>
  <DocSecurity>0</DocSecurity>
  <Lines>231</Lines>
  <Paragraphs>65</Paragraphs>
  <ScaleCrop>false</ScaleCrop>
  <Company/>
  <LinksUpToDate>false</LinksUpToDate>
  <CharactersWithSpaces>32592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2025-03-17T09:31:00Z</dcterms:created>
  <dcterms:modified xsi:type="dcterms:W3CDTF">2025-03-17T09:41:00Z</dcterms:modified>
</cp:coreProperties>
</file>