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A6AF6A" w14:textId="77777777" w:rsidR="007D491C" w:rsidRPr="007D491C" w:rsidRDefault="007D491C" w:rsidP="00457DA0">
      <w:pPr>
        <w:spacing w:after="240" w:line="360" w:lineRule="auto"/>
        <w:outlineLvl w:val="2"/>
        <w:rPr>
          <w:rFonts w:ascii="Times New Roman" w:hAnsi="Times New Roman"/>
          <w:b/>
          <w:bCs/>
          <w:lang w:val="en-HK"/>
        </w:rPr>
      </w:pPr>
      <w:r w:rsidRPr="007D491C">
        <w:rPr>
          <w:rFonts w:ascii="Times New Roman" w:hAnsi="Times New Roman"/>
          <w:b/>
          <w:bCs/>
          <w:lang w:val="en-HK"/>
        </w:rPr>
        <w:t>Section I: Introduction (pp. 599-601)</w:t>
      </w:r>
    </w:p>
    <w:p w14:paraId="22A4641B" w14:textId="77777777" w:rsidR="007D491C" w:rsidRPr="007D491C" w:rsidRDefault="007D491C" w:rsidP="00457DA0">
      <w:pPr>
        <w:spacing w:after="240" w:line="360" w:lineRule="auto"/>
        <w:outlineLvl w:val="3"/>
        <w:rPr>
          <w:rFonts w:ascii="Times New Roman" w:hAnsi="Times New Roman"/>
          <w:b/>
          <w:bCs/>
          <w:lang w:val="en-HK"/>
        </w:rPr>
      </w:pPr>
      <w:r w:rsidRPr="007D491C">
        <w:rPr>
          <w:rFonts w:ascii="Times New Roman" w:hAnsi="Times New Roman"/>
          <w:b/>
          <w:bCs/>
          <w:lang w:val="en-HK"/>
        </w:rPr>
        <w:t>Overview</w:t>
      </w:r>
    </w:p>
    <w:p w14:paraId="17A1172F"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lang w:val="en-HK"/>
        </w:rPr>
        <w:t>Gretton opens by identifying the trust as a problematic concept for comparative lawyers due to its functional versatility and the prevailing belief that it is inherently tied to the English common law’s law/equity distinction. He argues that this view is overly narrow, using Scots law—lacking equity yet fully embracing trusts—as evidence that trusts can exist without this duality. The section sets the stage for a re-examination of trusts from a civilian perspective.</w:t>
      </w:r>
    </w:p>
    <w:p w14:paraId="1A032278" w14:textId="77777777" w:rsidR="007D491C" w:rsidRPr="007D491C" w:rsidRDefault="007D491C" w:rsidP="00457DA0">
      <w:pPr>
        <w:spacing w:after="240" w:line="360" w:lineRule="auto"/>
        <w:outlineLvl w:val="3"/>
        <w:rPr>
          <w:rFonts w:ascii="Times New Roman" w:hAnsi="Times New Roman"/>
          <w:b/>
          <w:bCs/>
          <w:lang w:val="en-HK"/>
        </w:rPr>
      </w:pPr>
      <w:r w:rsidRPr="007D491C">
        <w:rPr>
          <w:rFonts w:ascii="Times New Roman" w:hAnsi="Times New Roman"/>
          <w:b/>
          <w:bCs/>
          <w:lang w:val="en-HK"/>
        </w:rPr>
        <w:t>Detailed Points</w:t>
      </w:r>
    </w:p>
    <w:p w14:paraId="054E1882" w14:textId="77777777" w:rsidR="007D491C" w:rsidRPr="007D491C" w:rsidRDefault="007D491C" w:rsidP="00457DA0">
      <w:pPr>
        <w:numPr>
          <w:ilvl w:val="0"/>
          <w:numId w:val="1"/>
        </w:numPr>
        <w:spacing w:after="240" w:line="360" w:lineRule="auto"/>
        <w:rPr>
          <w:rFonts w:ascii="Times New Roman" w:hAnsi="Times New Roman"/>
          <w:lang w:val="en-HK"/>
        </w:rPr>
      </w:pPr>
      <w:r w:rsidRPr="007D491C">
        <w:rPr>
          <w:rFonts w:ascii="Times New Roman" w:hAnsi="Times New Roman"/>
          <w:b/>
          <w:bCs/>
          <w:lang w:val="en-HK"/>
        </w:rPr>
        <w:t>Opening Quotation and Premise</w:t>
      </w:r>
      <w:r w:rsidRPr="007D491C">
        <w:rPr>
          <w:rFonts w:ascii="Times New Roman" w:hAnsi="Times New Roman"/>
          <w:lang w:val="en-HK"/>
        </w:rPr>
        <w:t xml:space="preserve"> </w:t>
      </w:r>
    </w:p>
    <w:p w14:paraId="200EEE92"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Lawson’s Insight</w:t>
      </w:r>
      <w:r w:rsidRPr="007D491C">
        <w:rPr>
          <w:rFonts w:ascii="Times New Roman" w:hAnsi="Times New Roman"/>
          <w:lang w:val="en-HK"/>
        </w:rPr>
        <w:t>: The section begins with a quote from F.H. Lawson (</w:t>
      </w:r>
      <w:r w:rsidRPr="007D491C">
        <w:rPr>
          <w:rFonts w:ascii="Times New Roman" w:hAnsi="Times New Roman"/>
          <w:i/>
          <w:iCs/>
          <w:lang w:val="en-HK"/>
        </w:rPr>
        <w:t>A Common Lawyer Looks at the Civil Law</w:t>
      </w:r>
      <w:r w:rsidRPr="007D491C">
        <w:rPr>
          <w:rFonts w:ascii="Times New Roman" w:hAnsi="Times New Roman"/>
          <w:lang w:val="en-HK"/>
        </w:rPr>
        <w:t xml:space="preserve">, 1953, p. 201): </w:t>
      </w:r>
    </w:p>
    <w:p w14:paraId="77E32B7B" w14:textId="77777777" w:rsidR="007D491C" w:rsidRPr="007D491C" w:rsidRDefault="007D491C" w:rsidP="00457DA0">
      <w:pPr>
        <w:numPr>
          <w:ilvl w:val="2"/>
          <w:numId w:val="1"/>
        </w:numPr>
        <w:spacing w:after="240" w:line="360" w:lineRule="auto"/>
        <w:rPr>
          <w:rFonts w:ascii="Times New Roman" w:hAnsi="Times New Roman"/>
          <w:lang w:val="en-HK"/>
        </w:rPr>
      </w:pPr>
      <w:r w:rsidRPr="007D491C">
        <w:rPr>
          <w:rFonts w:ascii="Times New Roman" w:hAnsi="Times New Roman"/>
          <w:lang w:val="en-HK"/>
        </w:rPr>
        <w:t>“Perhaps the greatest difficulty the civilians have in accepting the trust is caused by ... the distinction between the legal and the equitable estate ... In Scots law ... no such distinction has ever been known. There the trustee becomes owner and the beneficiary acquires a contractual right against him.”</w:t>
      </w:r>
    </w:p>
    <w:p w14:paraId="610802B8" w14:textId="77777777" w:rsidR="007D491C" w:rsidRPr="007D491C" w:rsidRDefault="007D491C" w:rsidP="00457DA0">
      <w:pPr>
        <w:numPr>
          <w:ilvl w:val="2"/>
          <w:numId w:val="1"/>
        </w:numPr>
        <w:spacing w:after="240" w:line="360" w:lineRule="auto"/>
        <w:rPr>
          <w:rFonts w:ascii="Times New Roman" w:hAnsi="Times New Roman"/>
          <w:lang w:val="en-HK"/>
        </w:rPr>
      </w:pPr>
      <w:r w:rsidRPr="007D491C">
        <w:rPr>
          <w:rFonts w:ascii="Times New Roman" w:hAnsi="Times New Roman"/>
          <w:lang w:val="en-HK"/>
        </w:rPr>
        <w:t>This frames Gretton’s thesis: the law/equity split, often seen as essential, is a detachable English peculiarity, not a trust requirement.</w:t>
      </w:r>
    </w:p>
    <w:p w14:paraId="0B5D4269"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Scots Law Context</w:t>
      </w:r>
      <w:r w:rsidRPr="007D491C">
        <w:rPr>
          <w:rFonts w:ascii="Times New Roman" w:hAnsi="Times New Roman"/>
          <w:lang w:val="en-HK"/>
        </w:rPr>
        <w:t>: Lawson notes Scots law’s uninhibited adoption of trusts—possibly borrowed from England, though origins are debated—without equity, suggesting a simpler ownership model (trustee as owner, beneficiary with a personal right).</w:t>
      </w:r>
    </w:p>
    <w:p w14:paraId="13C96966" w14:textId="77777777" w:rsidR="007D491C" w:rsidRPr="007D491C" w:rsidRDefault="007D491C" w:rsidP="00457DA0">
      <w:pPr>
        <w:numPr>
          <w:ilvl w:val="0"/>
          <w:numId w:val="1"/>
        </w:numPr>
        <w:spacing w:after="240" w:line="360" w:lineRule="auto"/>
        <w:rPr>
          <w:rFonts w:ascii="Times New Roman" w:hAnsi="Times New Roman"/>
          <w:lang w:val="en-HK"/>
        </w:rPr>
      </w:pPr>
      <w:r w:rsidRPr="007D491C">
        <w:rPr>
          <w:rFonts w:ascii="Times New Roman" w:hAnsi="Times New Roman"/>
          <w:b/>
          <w:bCs/>
          <w:lang w:val="en-HK"/>
        </w:rPr>
        <w:t>Comparative Law Challenge: Functional Fluidity</w:t>
      </w:r>
      <w:r w:rsidRPr="007D491C">
        <w:rPr>
          <w:rFonts w:ascii="Times New Roman" w:hAnsi="Times New Roman"/>
          <w:lang w:val="en-HK"/>
        </w:rPr>
        <w:t xml:space="preserve"> </w:t>
      </w:r>
    </w:p>
    <w:p w14:paraId="30DD2AD3"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Slogan Critique</w:t>
      </w:r>
      <w:r w:rsidRPr="007D491C">
        <w:rPr>
          <w:rFonts w:ascii="Times New Roman" w:hAnsi="Times New Roman"/>
          <w:lang w:val="en-HK"/>
        </w:rPr>
        <w:t xml:space="preserve">: Gretton challenges the modern comparative law mantra, “compare function rather than form,” as unworkable for trusts. </w:t>
      </w:r>
    </w:p>
    <w:p w14:paraId="2FC0A00B"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lang w:val="en-HK"/>
        </w:rPr>
        <w:t>Reason: Trusts lack a singular function; they are “functionally protean” (shapeshifting).</w:t>
      </w:r>
    </w:p>
    <w:p w14:paraId="0BC8931A"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Examples of Versatility</w:t>
      </w:r>
      <w:r w:rsidRPr="007D491C">
        <w:rPr>
          <w:rFonts w:ascii="Times New Roman" w:hAnsi="Times New Roman"/>
          <w:lang w:val="en-HK"/>
        </w:rPr>
        <w:t xml:space="preserve"> (supported by footnotes): </w:t>
      </w:r>
    </w:p>
    <w:p w14:paraId="28BFFC67"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lastRenderedPageBreak/>
        <w:t>Quasi-Entails/Usufructs</w:t>
      </w:r>
      <w:r w:rsidRPr="007D491C">
        <w:rPr>
          <w:rFonts w:ascii="Times New Roman" w:hAnsi="Times New Roman"/>
          <w:lang w:val="en-HK"/>
        </w:rPr>
        <w:t>: Limiting inheritance or use rights (</w:t>
      </w:r>
      <w:proofErr w:type="spellStart"/>
      <w:r w:rsidRPr="007D491C">
        <w:rPr>
          <w:rFonts w:ascii="Times New Roman" w:hAnsi="Times New Roman"/>
          <w:lang w:val="en-HK"/>
        </w:rPr>
        <w:t>fn</w:t>
      </w:r>
      <w:proofErr w:type="spellEnd"/>
      <w:r w:rsidRPr="007D491C">
        <w:rPr>
          <w:rFonts w:ascii="Times New Roman" w:hAnsi="Times New Roman"/>
          <w:lang w:val="en-HK"/>
        </w:rPr>
        <w:t xml:space="preserve"> 2 references </w:t>
      </w:r>
      <w:proofErr w:type="spellStart"/>
      <w:r w:rsidRPr="007D491C">
        <w:rPr>
          <w:rFonts w:ascii="Times New Roman" w:hAnsi="Times New Roman"/>
          <w:lang w:val="en-HK"/>
        </w:rPr>
        <w:t>Kötz</w:t>
      </w:r>
      <w:proofErr w:type="spellEnd"/>
      <w:r w:rsidRPr="007D491C">
        <w:rPr>
          <w:rFonts w:ascii="Times New Roman" w:hAnsi="Times New Roman"/>
          <w:lang w:val="en-HK"/>
        </w:rPr>
        <w:t>, de Wulf, Wilson on trust-like devices).</w:t>
      </w:r>
    </w:p>
    <w:p w14:paraId="6842B87B"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Quasi-Wills</w:t>
      </w:r>
      <w:r w:rsidRPr="007D491C">
        <w:rPr>
          <w:rFonts w:ascii="Times New Roman" w:hAnsi="Times New Roman"/>
          <w:lang w:val="en-HK"/>
        </w:rPr>
        <w:t>: Managing estates post-death.</w:t>
      </w:r>
    </w:p>
    <w:p w14:paraId="62AC484F"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Quasi-Corporations</w:t>
      </w:r>
      <w:r w:rsidRPr="007D491C">
        <w:rPr>
          <w:rFonts w:ascii="Times New Roman" w:hAnsi="Times New Roman"/>
          <w:lang w:val="en-HK"/>
        </w:rPr>
        <w:t>: Non-profit (e.g., Inns of Court) or profit-driven (</w:t>
      </w:r>
      <w:proofErr w:type="spellStart"/>
      <w:r w:rsidRPr="007D491C">
        <w:rPr>
          <w:rFonts w:ascii="Times New Roman" w:hAnsi="Times New Roman"/>
          <w:lang w:val="en-HK"/>
        </w:rPr>
        <w:t>fn</w:t>
      </w:r>
      <w:proofErr w:type="spellEnd"/>
      <w:r w:rsidRPr="007D491C">
        <w:rPr>
          <w:rFonts w:ascii="Times New Roman" w:hAnsi="Times New Roman"/>
          <w:lang w:val="en-HK"/>
        </w:rPr>
        <w:t xml:space="preserve"> 3 cites Sears’ </w:t>
      </w:r>
      <w:r w:rsidRPr="007D491C">
        <w:rPr>
          <w:rFonts w:ascii="Times New Roman" w:hAnsi="Times New Roman"/>
          <w:i/>
          <w:iCs/>
          <w:lang w:val="en-HK"/>
        </w:rPr>
        <w:t>Trust Estates as Business Companies</w:t>
      </w:r>
      <w:r w:rsidRPr="007D491C">
        <w:rPr>
          <w:rFonts w:ascii="Times New Roman" w:hAnsi="Times New Roman"/>
          <w:lang w:val="en-HK"/>
        </w:rPr>
        <w:t>).</w:t>
      </w:r>
    </w:p>
    <w:p w14:paraId="065EE1AF"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Quasi-Securities</w:t>
      </w:r>
      <w:r w:rsidRPr="007D491C">
        <w:rPr>
          <w:rFonts w:ascii="Times New Roman" w:hAnsi="Times New Roman"/>
          <w:lang w:val="en-HK"/>
        </w:rPr>
        <w:t>: Three models (</w:t>
      </w:r>
      <w:proofErr w:type="spellStart"/>
      <w:r w:rsidRPr="007D491C">
        <w:rPr>
          <w:rFonts w:ascii="Times New Roman" w:hAnsi="Times New Roman"/>
          <w:lang w:val="en-HK"/>
        </w:rPr>
        <w:t>fn</w:t>
      </w:r>
      <w:proofErr w:type="spellEnd"/>
      <w:r w:rsidRPr="007D491C">
        <w:rPr>
          <w:rFonts w:ascii="Times New Roman" w:hAnsi="Times New Roman"/>
          <w:lang w:val="en-HK"/>
        </w:rPr>
        <w:t xml:space="preserve"> 4): </w:t>
      </w:r>
    </w:p>
    <w:p w14:paraId="0104A808" w14:textId="231C20EA" w:rsidR="007D491C" w:rsidRPr="007D491C" w:rsidRDefault="007D491C" w:rsidP="00457DA0">
      <w:pPr>
        <w:spacing w:after="240" w:line="360" w:lineRule="auto"/>
        <w:rPr>
          <w:rFonts w:ascii="Times New Roman" w:hAnsi="Times New Roman"/>
          <w:lang w:val="en-HK"/>
        </w:rPr>
      </w:pPr>
      <w:r w:rsidRPr="00457DA0">
        <w:rPr>
          <w:rFonts w:ascii="Times New Roman" w:hAnsi="Times New Roman"/>
          <w:lang w:val="en-HK"/>
        </w:rPr>
        <w:t xml:space="preserve">1. </w:t>
      </w:r>
      <w:r w:rsidRPr="007D491C">
        <w:rPr>
          <w:rFonts w:ascii="Times New Roman" w:hAnsi="Times New Roman"/>
          <w:lang w:val="en-HK"/>
        </w:rPr>
        <w:t>Debtor transfers to a neutral trustee for lender and debtor.</w:t>
      </w:r>
    </w:p>
    <w:p w14:paraId="2AAEE9E3" w14:textId="5D2F0770" w:rsidR="007D491C" w:rsidRPr="007D491C" w:rsidRDefault="007D491C" w:rsidP="00457DA0">
      <w:pPr>
        <w:spacing w:after="240" w:line="360" w:lineRule="auto"/>
        <w:rPr>
          <w:rFonts w:ascii="Times New Roman" w:hAnsi="Times New Roman"/>
          <w:lang w:val="en-HK"/>
        </w:rPr>
      </w:pPr>
      <w:r w:rsidRPr="00457DA0">
        <w:rPr>
          <w:rFonts w:ascii="Times New Roman" w:hAnsi="Times New Roman"/>
          <w:lang w:val="en-HK"/>
        </w:rPr>
        <w:t xml:space="preserve">2. </w:t>
      </w:r>
      <w:r w:rsidRPr="007D491C">
        <w:rPr>
          <w:rFonts w:ascii="Times New Roman" w:hAnsi="Times New Roman"/>
          <w:lang w:val="en-HK"/>
        </w:rPr>
        <w:t xml:space="preserve">Debtor transfers to creditor as trustee (akin to Roman </w:t>
      </w:r>
      <w:r w:rsidRPr="007D491C">
        <w:rPr>
          <w:rFonts w:ascii="Times New Roman" w:hAnsi="Times New Roman"/>
          <w:i/>
          <w:iCs/>
          <w:lang w:val="en-HK"/>
        </w:rPr>
        <w:t xml:space="preserve">fiducia cum </w:t>
      </w:r>
      <w:proofErr w:type="spellStart"/>
      <w:r w:rsidRPr="007D491C">
        <w:rPr>
          <w:rFonts w:ascii="Times New Roman" w:hAnsi="Times New Roman"/>
          <w:i/>
          <w:iCs/>
          <w:lang w:val="en-HK"/>
        </w:rPr>
        <w:t>creditore</w:t>
      </w:r>
      <w:proofErr w:type="spellEnd"/>
      <w:r w:rsidRPr="007D491C">
        <w:rPr>
          <w:rFonts w:ascii="Times New Roman" w:hAnsi="Times New Roman"/>
          <w:lang w:val="en-HK"/>
        </w:rPr>
        <w:t>).</w:t>
      </w:r>
    </w:p>
    <w:p w14:paraId="134F7F0A" w14:textId="17DEE7D6" w:rsidR="007D491C" w:rsidRPr="007D491C" w:rsidRDefault="007D491C" w:rsidP="00457DA0">
      <w:pPr>
        <w:spacing w:after="240" w:line="360" w:lineRule="auto"/>
        <w:rPr>
          <w:rFonts w:ascii="Times New Roman" w:hAnsi="Times New Roman"/>
          <w:lang w:val="en-HK"/>
        </w:rPr>
      </w:pPr>
      <w:r w:rsidRPr="00457DA0">
        <w:rPr>
          <w:rFonts w:ascii="Times New Roman" w:hAnsi="Times New Roman"/>
          <w:lang w:val="en-HK"/>
        </w:rPr>
        <w:t xml:space="preserve">3. </w:t>
      </w:r>
      <w:r w:rsidRPr="007D491C">
        <w:rPr>
          <w:rFonts w:ascii="Times New Roman" w:hAnsi="Times New Roman"/>
          <w:lang w:val="en-HK"/>
        </w:rPr>
        <w:t>Debtor self-declares a trust, holding for self and lender.</w:t>
      </w:r>
    </w:p>
    <w:p w14:paraId="6BC94BE1"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Collective Investment</w:t>
      </w:r>
      <w:r w:rsidRPr="007D491C">
        <w:rPr>
          <w:rFonts w:ascii="Times New Roman" w:hAnsi="Times New Roman"/>
          <w:lang w:val="en-HK"/>
        </w:rPr>
        <w:t>: Unit trusts (</w:t>
      </w:r>
      <w:proofErr w:type="spellStart"/>
      <w:r w:rsidRPr="007D491C">
        <w:rPr>
          <w:rFonts w:ascii="Times New Roman" w:hAnsi="Times New Roman"/>
          <w:lang w:val="en-HK"/>
        </w:rPr>
        <w:t>fn</w:t>
      </w:r>
      <w:proofErr w:type="spellEnd"/>
      <w:r w:rsidRPr="007D491C">
        <w:rPr>
          <w:rFonts w:ascii="Times New Roman" w:hAnsi="Times New Roman"/>
          <w:lang w:val="en-HK"/>
        </w:rPr>
        <w:t xml:space="preserve"> 5 notes investment trusts aren’t trusts).</w:t>
      </w:r>
    </w:p>
    <w:p w14:paraId="2470E380"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Bond Issues</w:t>
      </w:r>
      <w:r w:rsidRPr="007D491C">
        <w:rPr>
          <w:rFonts w:ascii="Times New Roman" w:hAnsi="Times New Roman"/>
          <w:lang w:val="en-HK"/>
        </w:rPr>
        <w:t>: Debenture trusts (</w:t>
      </w:r>
      <w:proofErr w:type="spellStart"/>
      <w:r w:rsidRPr="007D491C">
        <w:rPr>
          <w:rFonts w:ascii="Times New Roman" w:hAnsi="Times New Roman"/>
          <w:lang w:val="en-HK"/>
        </w:rPr>
        <w:t>fn</w:t>
      </w:r>
      <w:proofErr w:type="spellEnd"/>
      <w:r w:rsidRPr="007D491C">
        <w:rPr>
          <w:rFonts w:ascii="Times New Roman" w:hAnsi="Times New Roman"/>
          <w:lang w:val="en-HK"/>
        </w:rPr>
        <w:t xml:space="preserve"> 6).</w:t>
      </w:r>
    </w:p>
    <w:p w14:paraId="19D45ED3"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Bankruptcy Administration</w:t>
      </w:r>
      <w:r w:rsidRPr="007D491C">
        <w:rPr>
          <w:rFonts w:ascii="Times New Roman" w:hAnsi="Times New Roman"/>
          <w:lang w:val="en-HK"/>
        </w:rPr>
        <w:t>: Managing insolvent estates.</w:t>
      </w:r>
    </w:p>
    <w:p w14:paraId="03467669"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Software Analogy</w:t>
      </w:r>
      <w:r w:rsidRPr="007D491C">
        <w:rPr>
          <w:rFonts w:ascii="Times New Roman" w:hAnsi="Times New Roman"/>
          <w:lang w:val="en-HK"/>
        </w:rPr>
        <w:t>: Trusts are “emulators,” adapting to mimic other legal tools, defying functional pigeonholing.</w:t>
      </w:r>
    </w:p>
    <w:p w14:paraId="41393EA3"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Public Law Reach</w:t>
      </w:r>
      <w:r w:rsidRPr="007D491C">
        <w:rPr>
          <w:rFonts w:ascii="Times New Roman" w:hAnsi="Times New Roman"/>
          <w:lang w:val="en-HK"/>
        </w:rPr>
        <w:t>: Trusts extend beyond private law into public law and international law (</w:t>
      </w:r>
      <w:proofErr w:type="spellStart"/>
      <w:r w:rsidRPr="007D491C">
        <w:rPr>
          <w:rFonts w:ascii="Times New Roman" w:hAnsi="Times New Roman"/>
          <w:lang w:val="en-HK"/>
        </w:rPr>
        <w:t>fn</w:t>
      </w:r>
      <w:proofErr w:type="spellEnd"/>
      <w:r w:rsidRPr="007D491C">
        <w:rPr>
          <w:rFonts w:ascii="Times New Roman" w:hAnsi="Times New Roman"/>
          <w:lang w:val="en-HK"/>
        </w:rPr>
        <w:t xml:space="preserve"> 8 cites </w:t>
      </w:r>
      <w:proofErr w:type="spellStart"/>
      <w:r w:rsidRPr="007D491C">
        <w:rPr>
          <w:rFonts w:ascii="Times New Roman" w:hAnsi="Times New Roman"/>
          <w:lang w:val="en-HK"/>
        </w:rPr>
        <w:t>Redgwell</w:t>
      </w:r>
      <w:proofErr w:type="spellEnd"/>
      <w:r w:rsidRPr="007D491C">
        <w:rPr>
          <w:rFonts w:ascii="Times New Roman" w:hAnsi="Times New Roman"/>
          <w:lang w:val="en-HK"/>
        </w:rPr>
        <w:t xml:space="preserve"> on environmental trusts), amplifying their scope.</w:t>
      </w:r>
    </w:p>
    <w:p w14:paraId="4C24B84D" w14:textId="77777777" w:rsidR="007D491C" w:rsidRPr="007D491C" w:rsidRDefault="007D491C" w:rsidP="00457DA0">
      <w:pPr>
        <w:numPr>
          <w:ilvl w:val="0"/>
          <w:numId w:val="1"/>
        </w:numPr>
        <w:spacing w:after="240" w:line="360" w:lineRule="auto"/>
        <w:rPr>
          <w:rFonts w:ascii="Times New Roman" w:hAnsi="Times New Roman"/>
          <w:lang w:val="en-HK"/>
        </w:rPr>
      </w:pPr>
      <w:r w:rsidRPr="007D491C">
        <w:rPr>
          <w:rFonts w:ascii="Times New Roman" w:hAnsi="Times New Roman"/>
          <w:b/>
          <w:bCs/>
          <w:lang w:val="en-HK"/>
        </w:rPr>
        <w:t>Common Law Perception: Equity and Divided Ownership</w:t>
      </w:r>
      <w:r w:rsidRPr="007D491C">
        <w:rPr>
          <w:rFonts w:ascii="Times New Roman" w:hAnsi="Times New Roman"/>
          <w:lang w:val="en-HK"/>
        </w:rPr>
        <w:t xml:space="preserve"> </w:t>
      </w:r>
    </w:p>
    <w:p w14:paraId="37BF3E96"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Widespread Belief</w:t>
      </w:r>
      <w:r w:rsidRPr="007D491C">
        <w:rPr>
          <w:rFonts w:ascii="Times New Roman" w:hAnsi="Times New Roman"/>
          <w:lang w:val="en-HK"/>
        </w:rPr>
        <w:t>: Trusts are seen as a unique common law product, rooted in the law/equity duality and split ownership (legal vs. equitable estates).</w:t>
      </w:r>
    </w:p>
    <w:p w14:paraId="3ED0C773"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Hague Convention</w:t>
      </w:r>
      <w:r w:rsidRPr="007D491C">
        <w:rPr>
          <w:rFonts w:ascii="Times New Roman" w:hAnsi="Times New Roman"/>
          <w:lang w:val="en-HK"/>
        </w:rPr>
        <w:t>: The preamble calls trusts “a unique legal institution” developed in equity courts, adopted elsewhere with modifications (</w:t>
      </w:r>
      <w:proofErr w:type="spellStart"/>
      <w:r w:rsidRPr="007D491C">
        <w:rPr>
          <w:rFonts w:ascii="Times New Roman" w:hAnsi="Times New Roman"/>
          <w:lang w:val="en-HK"/>
        </w:rPr>
        <w:t>fn</w:t>
      </w:r>
      <w:proofErr w:type="spellEnd"/>
      <w:r w:rsidRPr="007D491C">
        <w:rPr>
          <w:rFonts w:ascii="Times New Roman" w:hAnsi="Times New Roman"/>
          <w:lang w:val="en-HK"/>
        </w:rPr>
        <w:t xml:space="preserve"> 10 notes French text differences: “institution </w:t>
      </w:r>
      <w:proofErr w:type="spellStart"/>
      <w:r w:rsidRPr="007D491C">
        <w:rPr>
          <w:rFonts w:ascii="Times New Roman" w:hAnsi="Times New Roman"/>
          <w:lang w:val="en-HK"/>
        </w:rPr>
        <w:t>caractéristique</w:t>
      </w:r>
      <w:proofErr w:type="spellEnd"/>
      <w:r w:rsidRPr="007D491C">
        <w:rPr>
          <w:rFonts w:ascii="Times New Roman" w:hAnsi="Times New Roman"/>
          <w:lang w:val="en-HK"/>
        </w:rPr>
        <w:t>” vs. “unique”).</w:t>
      </w:r>
    </w:p>
    <w:p w14:paraId="6A806123"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Privy Council</w:t>
      </w:r>
      <w:r w:rsidRPr="007D491C">
        <w:rPr>
          <w:rFonts w:ascii="Times New Roman" w:hAnsi="Times New Roman"/>
          <w:lang w:val="en-HK"/>
        </w:rPr>
        <w:t xml:space="preserve">: In </w:t>
      </w:r>
      <w:r w:rsidRPr="007D491C">
        <w:rPr>
          <w:rFonts w:ascii="Times New Roman" w:hAnsi="Times New Roman"/>
          <w:i/>
          <w:iCs/>
          <w:lang w:val="en-HK"/>
        </w:rPr>
        <w:t xml:space="preserve">Abdul Hameed </w:t>
      </w:r>
      <w:proofErr w:type="spellStart"/>
      <w:r w:rsidRPr="007D491C">
        <w:rPr>
          <w:rFonts w:ascii="Times New Roman" w:hAnsi="Times New Roman"/>
          <w:i/>
          <w:iCs/>
          <w:lang w:val="en-HK"/>
        </w:rPr>
        <w:t>Sitti</w:t>
      </w:r>
      <w:proofErr w:type="spellEnd"/>
      <w:r w:rsidRPr="007D491C">
        <w:rPr>
          <w:rFonts w:ascii="Times New Roman" w:hAnsi="Times New Roman"/>
          <w:i/>
          <w:iCs/>
          <w:lang w:val="en-HK"/>
        </w:rPr>
        <w:t xml:space="preserve"> </w:t>
      </w:r>
      <w:proofErr w:type="spellStart"/>
      <w:r w:rsidRPr="007D491C">
        <w:rPr>
          <w:rFonts w:ascii="Times New Roman" w:hAnsi="Times New Roman"/>
          <w:i/>
          <w:iCs/>
          <w:lang w:val="en-HK"/>
        </w:rPr>
        <w:t>Kadija</w:t>
      </w:r>
      <w:proofErr w:type="spellEnd"/>
      <w:r w:rsidRPr="007D491C">
        <w:rPr>
          <w:rFonts w:ascii="Times New Roman" w:hAnsi="Times New Roman"/>
          <w:i/>
          <w:iCs/>
          <w:lang w:val="en-HK"/>
        </w:rPr>
        <w:t xml:space="preserve"> v. De </w:t>
      </w:r>
      <w:proofErr w:type="spellStart"/>
      <w:r w:rsidRPr="007D491C">
        <w:rPr>
          <w:rFonts w:ascii="Times New Roman" w:hAnsi="Times New Roman"/>
          <w:i/>
          <w:iCs/>
          <w:lang w:val="en-HK"/>
        </w:rPr>
        <w:t>Saram</w:t>
      </w:r>
      <w:proofErr w:type="spellEnd"/>
      <w:r w:rsidRPr="007D491C">
        <w:rPr>
          <w:rFonts w:ascii="Times New Roman" w:hAnsi="Times New Roman"/>
          <w:lang w:val="en-HK"/>
        </w:rPr>
        <w:t xml:space="preserve"> [1946] (</w:t>
      </w:r>
      <w:proofErr w:type="spellStart"/>
      <w:r w:rsidRPr="007D491C">
        <w:rPr>
          <w:rFonts w:ascii="Times New Roman" w:hAnsi="Times New Roman"/>
          <w:lang w:val="en-HK"/>
        </w:rPr>
        <w:t>fn</w:t>
      </w:r>
      <w:proofErr w:type="spellEnd"/>
      <w:r w:rsidRPr="007D491C">
        <w:rPr>
          <w:rFonts w:ascii="Times New Roman" w:hAnsi="Times New Roman"/>
          <w:lang w:val="en-HK"/>
        </w:rPr>
        <w:t xml:space="preserve"> 11), it’s asserted that “the distinction between the legal and the equitable estate is of the essence of the trust,” echoing R.W. Lee’s Roman-Dutch law view.</w:t>
      </w:r>
    </w:p>
    <w:p w14:paraId="5A1B7E2A" w14:textId="77777777" w:rsidR="007D491C" w:rsidRPr="007D491C" w:rsidRDefault="007D491C" w:rsidP="00457DA0">
      <w:pPr>
        <w:spacing w:after="240" w:line="360" w:lineRule="auto"/>
        <w:rPr>
          <w:rFonts w:ascii="Times New Roman" w:hAnsi="Times New Roman"/>
          <w:lang w:val="en-HK"/>
        </w:rPr>
      </w:pPr>
      <w:proofErr w:type="spellStart"/>
      <w:r w:rsidRPr="007D491C">
        <w:rPr>
          <w:rFonts w:ascii="Times New Roman" w:hAnsi="Times New Roman"/>
          <w:b/>
          <w:bCs/>
          <w:lang w:val="en-HK"/>
        </w:rPr>
        <w:lastRenderedPageBreak/>
        <w:t>Fratcher’s</w:t>
      </w:r>
      <w:proofErr w:type="spellEnd"/>
      <w:r w:rsidRPr="007D491C">
        <w:rPr>
          <w:rFonts w:ascii="Times New Roman" w:hAnsi="Times New Roman"/>
          <w:b/>
          <w:bCs/>
          <w:lang w:val="en-HK"/>
        </w:rPr>
        <w:t xml:space="preserve"> View</w:t>
      </w:r>
      <w:r w:rsidRPr="007D491C">
        <w:rPr>
          <w:rFonts w:ascii="Times New Roman" w:hAnsi="Times New Roman"/>
          <w:lang w:val="en-HK"/>
        </w:rPr>
        <w:t xml:space="preserve">: In the </w:t>
      </w:r>
      <w:r w:rsidRPr="007D491C">
        <w:rPr>
          <w:rFonts w:ascii="Times New Roman" w:hAnsi="Times New Roman"/>
          <w:i/>
          <w:iCs/>
          <w:lang w:val="en-HK"/>
        </w:rPr>
        <w:t>International Encyclopaedia of Comparative Law</w:t>
      </w:r>
      <w:r w:rsidRPr="007D491C">
        <w:rPr>
          <w:rFonts w:ascii="Times New Roman" w:hAnsi="Times New Roman"/>
          <w:lang w:val="en-HK"/>
        </w:rPr>
        <w:t xml:space="preserve"> (</w:t>
      </w:r>
      <w:proofErr w:type="spellStart"/>
      <w:r w:rsidRPr="007D491C">
        <w:rPr>
          <w:rFonts w:ascii="Times New Roman" w:hAnsi="Times New Roman"/>
          <w:lang w:val="en-HK"/>
        </w:rPr>
        <w:t>fn</w:t>
      </w:r>
      <w:proofErr w:type="spellEnd"/>
      <w:r w:rsidRPr="007D491C">
        <w:rPr>
          <w:rFonts w:ascii="Times New Roman" w:hAnsi="Times New Roman"/>
          <w:lang w:val="en-HK"/>
        </w:rPr>
        <w:t xml:space="preserve"> 12), </w:t>
      </w:r>
      <w:proofErr w:type="spellStart"/>
      <w:r w:rsidRPr="007D491C">
        <w:rPr>
          <w:rFonts w:ascii="Times New Roman" w:hAnsi="Times New Roman"/>
          <w:lang w:val="en-HK"/>
        </w:rPr>
        <w:t>Fratcher</w:t>
      </w:r>
      <w:proofErr w:type="spellEnd"/>
      <w:r w:rsidRPr="007D491C">
        <w:rPr>
          <w:rFonts w:ascii="Times New Roman" w:hAnsi="Times New Roman"/>
          <w:lang w:val="en-HK"/>
        </w:rPr>
        <w:t xml:space="preserve"> defines trusts as splitting ownership into trustee (legal) and beneficiary (equitable) </w:t>
      </w:r>
      <w:r w:rsidRPr="007D491C">
        <w:rPr>
          <w:rFonts w:ascii="Times New Roman" w:hAnsi="Times New Roman"/>
          <w:i/>
          <w:iCs/>
          <w:lang w:val="en-HK"/>
        </w:rPr>
        <w:t>in rem</w:t>
      </w:r>
      <w:r w:rsidRPr="007D491C">
        <w:rPr>
          <w:rFonts w:ascii="Times New Roman" w:hAnsi="Times New Roman"/>
          <w:lang w:val="en-HK"/>
        </w:rPr>
        <w:t xml:space="preserve"> interests, not mere personal claims.</w:t>
      </w:r>
    </w:p>
    <w:p w14:paraId="6BC3F429"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Amos’ Perspective</w:t>
      </w:r>
      <w:r w:rsidRPr="007D491C">
        <w:rPr>
          <w:rFonts w:ascii="Times New Roman" w:hAnsi="Times New Roman"/>
          <w:lang w:val="en-HK"/>
        </w:rPr>
        <w:t>: Maurice Amos (</w:t>
      </w:r>
      <w:r w:rsidRPr="007D491C">
        <w:rPr>
          <w:rFonts w:ascii="Times New Roman" w:hAnsi="Times New Roman"/>
          <w:i/>
          <w:iCs/>
          <w:lang w:val="en-HK"/>
        </w:rPr>
        <w:t>Harvard Law Review</w:t>
      </w:r>
      <w:r w:rsidRPr="007D491C">
        <w:rPr>
          <w:rFonts w:ascii="Times New Roman" w:hAnsi="Times New Roman"/>
          <w:lang w:val="en-HK"/>
        </w:rPr>
        <w:t xml:space="preserve">, 1936-37, </w:t>
      </w:r>
      <w:proofErr w:type="spellStart"/>
      <w:r w:rsidRPr="007D491C">
        <w:rPr>
          <w:rFonts w:ascii="Times New Roman" w:hAnsi="Times New Roman"/>
          <w:lang w:val="en-HK"/>
        </w:rPr>
        <w:t>fn</w:t>
      </w:r>
      <w:proofErr w:type="spellEnd"/>
      <w:r w:rsidRPr="007D491C">
        <w:rPr>
          <w:rFonts w:ascii="Times New Roman" w:hAnsi="Times New Roman"/>
          <w:lang w:val="en-HK"/>
        </w:rPr>
        <w:t xml:space="preserve"> 14) claims trust property has “two contemporaneous owners,” reinforcing the divided title narrative.</w:t>
      </w:r>
    </w:p>
    <w:p w14:paraId="577AC01B" w14:textId="77777777" w:rsidR="007D491C" w:rsidRPr="007D491C" w:rsidRDefault="007D491C" w:rsidP="00457DA0">
      <w:pPr>
        <w:numPr>
          <w:ilvl w:val="0"/>
          <w:numId w:val="1"/>
        </w:numPr>
        <w:spacing w:after="240" w:line="360" w:lineRule="auto"/>
        <w:rPr>
          <w:rFonts w:ascii="Times New Roman" w:hAnsi="Times New Roman"/>
          <w:lang w:val="en-HK"/>
        </w:rPr>
      </w:pPr>
      <w:r w:rsidRPr="007D491C">
        <w:rPr>
          <w:rFonts w:ascii="Times New Roman" w:hAnsi="Times New Roman"/>
          <w:b/>
          <w:bCs/>
          <w:lang w:val="en-HK"/>
        </w:rPr>
        <w:t>Civilian Misunderstanding</w:t>
      </w:r>
      <w:r w:rsidRPr="007D491C">
        <w:rPr>
          <w:rFonts w:ascii="Times New Roman" w:hAnsi="Times New Roman"/>
          <w:lang w:val="en-HK"/>
        </w:rPr>
        <w:t xml:space="preserve"> </w:t>
      </w:r>
    </w:p>
    <w:p w14:paraId="1B28A55A"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Mystery Perception</w:t>
      </w:r>
      <w:r w:rsidRPr="007D491C">
        <w:rPr>
          <w:rFonts w:ascii="Times New Roman" w:hAnsi="Times New Roman"/>
          <w:lang w:val="en-HK"/>
        </w:rPr>
        <w:t>: Trusts are an “Athanasian mystery” to civilians, tied to equity’s arcane nature (</w:t>
      </w:r>
      <w:proofErr w:type="spellStart"/>
      <w:r w:rsidRPr="007D491C">
        <w:rPr>
          <w:rFonts w:ascii="Times New Roman" w:hAnsi="Times New Roman"/>
          <w:lang w:val="en-HK"/>
        </w:rPr>
        <w:t>fn</w:t>
      </w:r>
      <w:proofErr w:type="spellEnd"/>
      <w:r w:rsidRPr="007D491C">
        <w:rPr>
          <w:rFonts w:ascii="Times New Roman" w:hAnsi="Times New Roman"/>
          <w:lang w:val="en-HK"/>
        </w:rPr>
        <w:t xml:space="preserve"> 9 quotes T.B. Smith likening trusts to a divine invention).</w:t>
      </w:r>
    </w:p>
    <w:p w14:paraId="015C237F"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Implication</w:t>
      </w:r>
      <w:r w:rsidRPr="007D491C">
        <w:rPr>
          <w:rFonts w:ascii="Times New Roman" w:hAnsi="Times New Roman"/>
          <w:lang w:val="en-HK"/>
        </w:rPr>
        <w:t>: This view suggests trusts are alien to civilian systems, which lack equity and recognize indivisible ownership, creating a barrier to comprehension and adoption.</w:t>
      </w:r>
    </w:p>
    <w:p w14:paraId="46CA82A6" w14:textId="77777777" w:rsidR="007D491C" w:rsidRPr="007D491C" w:rsidRDefault="007D491C" w:rsidP="00457DA0">
      <w:pPr>
        <w:numPr>
          <w:ilvl w:val="0"/>
          <w:numId w:val="1"/>
        </w:numPr>
        <w:spacing w:after="240" w:line="360" w:lineRule="auto"/>
        <w:rPr>
          <w:rFonts w:ascii="Times New Roman" w:hAnsi="Times New Roman"/>
          <w:lang w:val="en-HK"/>
        </w:rPr>
      </w:pPr>
      <w:r w:rsidRPr="007D491C">
        <w:rPr>
          <w:rFonts w:ascii="Times New Roman" w:hAnsi="Times New Roman"/>
          <w:b/>
          <w:bCs/>
          <w:lang w:val="en-HK"/>
        </w:rPr>
        <w:t>Doubters and Scots Law Counterexample</w:t>
      </w:r>
      <w:r w:rsidRPr="007D491C">
        <w:rPr>
          <w:rFonts w:ascii="Times New Roman" w:hAnsi="Times New Roman"/>
          <w:lang w:val="en-HK"/>
        </w:rPr>
        <w:t xml:space="preserve"> </w:t>
      </w:r>
    </w:p>
    <w:p w14:paraId="6202E708" w14:textId="77777777" w:rsidR="007D491C" w:rsidRPr="007D491C" w:rsidRDefault="007D491C" w:rsidP="00457DA0">
      <w:pPr>
        <w:spacing w:after="240" w:line="360" w:lineRule="auto"/>
        <w:rPr>
          <w:rFonts w:ascii="Times New Roman" w:hAnsi="Times New Roman"/>
          <w:lang w:val="en-HK"/>
        </w:rPr>
      </w:pPr>
      <w:proofErr w:type="spellStart"/>
      <w:r w:rsidRPr="007D491C">
        <w:rPr>
          <w:rFonts w:ascii="Times New Roman" w:hAnsi="Times New Roman"/>
          <w:b/>
          <w:bCs/>
          <w:lang w:val="en-HK"/>
        </w:rPr>
        <w:t>Skeptics</w:t>
      </w:r>
      <w:proofErr w:type="spellEnd"/>
      <w:r w:rsidRPr="007D491C">
        <w:rPr>
          <w:rFonts w:ascii="Times New Roman" w:hAnsi="Times New Roman"/>
          <w:lang w:val="en-HK"/>
        </w:rPr>
        <w:t xml:space="preserve">: Lawson (opening quote), Bernard </w:t>
      </w:r>
      <w:proofErr w:type="spellStart"/>
      <w:r w:rsidRPr="007D491C">
        <w:rPr>
          <w:rFonts w:ascii="Times New Roman" w:hAnsi="Times New Roman"/>
          <w:lang w:val="en-HK"/>
        </w:rPr>
        <w:t>Rudden</w:t>
      </w:r>
      <w:proofErr w:type="spellEnd"/>
      <w:r w:rsidRPr="007D491C">
        <w:rPr>
          <w:rFonts w:ascii="Times New Roman" w:hAnsi="Times New Roman"/>
          <w:lang w:val="en-HK"/>
        </w:rPr>
        <w:t xml:space="preserve"> (</w:t>
      </w:r>
      <w:proofErr w:type="spellStart"/>
      <w:r w:rsidRPr="007D491C">
        <w:rPr>
          <w:rFonts w:ascii="Times New Roman" w:hAnsi="Times New Roman"/>
          <w:lang w:val="en-HK"/>
        </w:rPr>
        <w:t>fn</w:t>
      </w:r>
      <w:proofErr w:type="spellEnd"/>
      <w:r w:rsidRPr="007D491C">
        <w:rPr>
          <w:rFonts w:ascii="Times New Roman" w:hAnsi="Times New Roman"/>
          <w:lang w:val="en-HK"/>
        </w:rPr>
        <w:t xml:space="preserve"> 16, arguing equity is historical, not rational), and others question the necessity of equity for trusts.</w:t>
      </w:r>
    </w:p>
    <w:p w14:paraId="24660336"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Scots Law Evidence</w:t>
      </w:r>
      <w:r w:rsidRPr="007D491C">
        <w:rPr>
          <w:rFonts w:ascii="Times New Roman" w:hAnsi="Times New Roman"/>
          <w:lang w:val="en-HK"/>
        </w:rPr>
        <w:t xml:space="preserve">: </w:t>
      </w:r>
    </w:p>
    <w:p w14:paraId="7895F845" w14:textId="77777777" w:rsidR="007D491C" w:rsidRPr="007D491C" w:rsidRDefault="007D491C" w:rsidP="00457DA0">
      <w:pPr>
        <w:numPr>
          <w:ilvl w:val="2"/>
          <w:numId w:val="1"/>
        </w:numPr>
        <w:spacing w:after="240" w:line="360" w:lineRule="auto"/>
        <w:rPr>
          <w:rFonts w:ascii="Times New Roman" w:hAnsi="Times New Roman"/>
          <w:lang w:val="en-HK"/>
        </w:rPr>
      </w:pPr>
      <w:r w:rsidRPr="007D491C">
        <w:rPr>
          <w:rFonts w:ascii="Times New Roman" w:hAnsi="Times New Roman"/>
          <w:lang w:val="en-HK"/>
        </w:rPr>
        <w:t xml:space="preserve">Trusts exist in Scots law since at least the 17th century, within a civilian </w:t>
      </w:r>
      <w:proofErr w:type="spellStart"/>
      <w:r w:rsidRPr="007D491C">
        <w:rPr>
          <w:rFonts w:ascii="Times New Roman" w:hAnsi="Times New Roman"/>
          <w:i/>
          <w:iCs/>
          <w:lang w:val="en-HK"/>
        </w:rPr>
        <w:t>ius</w:t>
      </w:r>
      <w:proofErr w:type="spellEnd"/>
      <w:r w:rsidRPr="007D491C">
        <w:rPr>
          <w:rFonts w:ascii="Times New Roman" w:hAnsi="Times New Roman"/>
          <w:i/>
          <w:iCs/>
          <w:lang w:val="en-HK"/>
        </w:rPr>
        <w:t xml:space="preserve"> commune</w:t>
      </w:r>
      <w:r w:rsidRPr="007D491C">
        <w:rPr>
          <w:rFonts w:ascii="Times New Roman" w:hAnsi="Times New Roman"/>
          <w:lang w:val="en-HK"/>
        </w:rPr>
        <w:t xml:space="preserve"> property system, without equity or divided ownership.</w:t>
      </w:r>
    </w:p>
    <w:p w14:paraId="2C625E1D" w14:textId="77777777" w:rsidR="007D491C" w:rsidRPr="007D491C" w:rsidRDefault="007D491C" w:rsidP="00457DA0">
      <w:pPr>
        <w:numPr>
          <w:ilvl w:val="2"/>
          <w:numId w:val="1"/>
        </w:numPr>
        <w:spacing w:after="240" w:line="360" w:lineRule="auto"/>
        <w:rPr>
          <w:rFonts w:ascii="Times New Roman" w:hAnsi="Times New Roman"/>
          <w:lang w:val="en-HK"/>
        </w:rPr>
      </w:pPr>
      <w:r w:rsidRPr="007D491C">
        <w:rPr>
          <w:rFonts w:ascii="Times New Roman" w:hAnsi="Times New Roman"/>
          <w:lang w:val="en-HK"/>
        </w:rPr>
        <w:t>Trustee holds full ownership; beneficiary has a contractual/personal right, aligning with Lawson’s observation.</w:t>
      </w:r>
    </w:p>
    <w:p w14:paraId="54C1395A" w14:textId="75B16C88" w:rsidR="007D491C" w:rsidRPr="007D491C" w:rsidRDefault="007D491C" w:rsidP="00457DA0">
      <w:pPr>
        <w:numPr>
          <w:ilvl w:val="2"/>
          <w:numId w:val="1"/>
        </w:numPr>
        <w:spacing w:after="240" w:line="360" w:lineRule="auto"/>
        <w:rPr>
          <w:rFonts w:ascii="Times New Roman" w:hAnsi="Times New Roman"/>
          <w:lang w:val="en-HK"/>
        </w:rPr>
      </w:pPr>
      <w:r w:rsidRPr="00457DA0">
        <w:rPr>
          <w:rFonts w:ascii="Times New Roman" w:hAnsi="Times New Roman"/>
          <w:lang w:val="en-HK"/>
        </w:rPr>
        <w:t>It s</w:t>
      </w:r>
      <w:r w:rsidRPr="007D491C">
        <w:rPr>
          <w:rFonts w:ascii="Times New Roman" w:hAnsi="Times New Roman"/>
          <w:lang w:val="en-HK"/>
        </w:rPr>
        <w:t xml:space="preserve">uggests </w:t>
      </w:r>
      <w:r w:rsidRPr="00457DA0">
        <w:rPr>
          <w:rFonts w:ascii="Times New Roman" w:hAnsi="Times New Roman"/>
          <w:lang w:val="en-HK"/>
        </w:rPr>
        <w:t xml:space="preserve">that </w:t>
      </w:r>
      <w:r w:rsidRPr="007D491C">
        <w:rPr>
          <w:rFonts w:ascii="Times New Roman" w:hAnsi="Times New Roman"/>
          <w:lang w:val="en-HK"/>
        </w:rPr>
        <w:t xml:space="preserve">trusts can thrive without the English framework, </w:t>
      </w:r>
      <w:r w:rsidRPr="00457DA0">
        <w:rPr>
          <w:rFonts w:ascii="Times New Roman" w:hAnsi="Times New Roman"/>
          <w:lang w:val="en-HK"/>
        </w:rPr>
        <w:t>which challenges</w:t>
      </w:r>
      <w:r w:rsidRPr="007D491C">
        <w:rPr>
          <w:rFonts w:ascii="Times New Roman" w:hAnsi="Times New Roman"/>
          <w:lang w:val="en-HK"/>
        </w:rPr>
        <w:t xml:space="preserve"> orthodoxy.</w:t>
      </w:r>
    </w:p>
    <w:p w14:paraId="13C22217" w14:textId="77777777" w:rsidR="007D491C" w:rsidRPr="007D491C" w:rsidRDefault="007D491C" w:rsidP="00457DA0">
      <w:pPr>
        <w:numPr>
          <w:ilvl w:val="0"/>
          <w:numId w:val="1"/>
        </w:numPr>
        <w:spacing w:after="240" w:line="360" w:lineRule="auto"/>
        <w:rPr>
          <w:rFonts w:ascii="Times New Roman" w:hAnsi="Times New Roman"/>
          <w:lang w:val="en-HK"/>
        </w:rPr>
      </w:pPr>
      <w:r w:rsidRPr="007D491C">
        <w:rPr>
          <w:rFonts w:ascii="Times New Roman" w:hAnsi="Times New Roman"/>
          <w:b/>
          <w:bCs/>
          <w:lang w:val="en-HK"/>
        </w:rPr>
        <w:t>Article’s Aim</w:t>
      </w:r>
      <w:r w:rsidRPr="007D491C">
        <w:rPr>
          <w:rFonts w:ascii="Times New Roman" w:hAnsi="Times New Roman"/>
          <w:lang w:val="en-HK"/>
        </w:rPr>
        <w:t xml:space="preserve"> </w:t>
      </w:r>
    </w:p>
    <w:p w14:paraId="19A29184"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Objective</w:t>
      </w:r>
      <w:r w:rsidRPr="007D491C">
        <w:rPr>
          <w:rFonts w:ascii="Times New Roman" w:hAnsi="Times New Roman"/>
          <w:lang w:val="en-HK"/>
        </w:rPr>
        <w:t>: Gretton seeks to “catch the essence of the trust” across private and commercial uses (</w:t>
      </w:r>
      <w:proofErr w:type="spellStart"/>
      <w:r w:rsidRPr="007D491C">
        <w:rPr>
          <w:rFonts w:ascii="Times New Roman" w:hAnsi="Times New Roman"/>
          <w:lang w:val="en-HK"/>
        </w:rPr>
        <w:t>fn</w:t>
      </w:r>
      <w:proofErr w:type="spellEnd"/>
      <w:r w:rsidRPr="007D491C">
        <w:rPr>
          <w:rFonts w:ascii="Times New Roman" w:hAnsi="Times New Roman"/>
          <w:lang w:val="en-HK"/>
        </w:rPr>
        <w:t xml:space="preserve"> 17 acknowledges the challenge of covering all applications).</w:t>
      </w:r>
    </w:p>
    <w:p w14:paraId="0CB54189" w14:textId="77777777"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Approach</w:t>
      </w:r>
      <w:r w:rsidRPr="007D491C">
        <w:rPr>
          <w:rFonts w:ascii="Times New Roman" w:hAnsi="Times New Roman"/>
          <w:lang w:val="en-HK"/>
        </w:rPr>
        <w:t>: Uses Scots law as a lens to argue trusts don’t require equity, proposing a civilian-friendly conceptualization (foreshadowing patrimony in Section V).</w:t>
      </w:r>
    </w:p>
    <w:p w14:paraId="209FCA50" w14:textId="77777777" w:rsidR="007D491C" w:rsidRPr="007D491C" w:rsidRDefault="007D491C" w:rsidP="00457DA0">
      <w:pPr>
        <w:spacing w:after="240" w:line="360" w:lineRule="auto"/>
        <w:outlineLvl w:val="3"/>
        <w:rPr>
          <w:rFonts w:ascii="Times New Roman" w:hAnsi="Times New Roman"/>
          <w:b/>
          <w:bCs/>
          <w:lang w:val="en-HK"/>
        </w:rPr>
      </w:pPr>
      <w:r w:rsidRPr="007D491C">
        <w:rPr>
          <w:rFonts w:ascii="Times New Roman" w:hAnsi="Times New Roman"/>
          <w:b/>
          <w:bCs/>
          <w:lang w:val="en-HK"/>
        </w:rPr>
        <w:lastRenderedPageBreak/>
        <w:t>Key Insight</w:t>
      </w:r>
    </w:p>
    <w:p w14:paraId="68D3E9AC" w14:textId="1F33CDF1" w:rsidR="007D491C" w:rsidRPr="007D491C" w:rsidRDefault="007D491C" w:rsidP="00457DA0">
      <w:pPr>
        <w:spacing w:after="240" w:line="360" w:lineRule="auto"/>
        <w:rPr>
          <w:rFonts w:ascii="Times New Roman" w:hAnsi="Times New Roman"/>
          <w:lang w:val="en-HK"/>
        </w:rPr>
      </w:pPr>
      <w:r w:rsidRPr="007D491C">
        <w:rPr>
          <w:rFonts w:ascii="Times New Roman" w:hAnsi="Times New Roman"/>
          <w:lang w:val="en-HK"/>
        </w:rPr>
        <w:t>Gretton establishes trusts as a comparative law enigma—too versatile to pin down functionally and wrongly tethered to equity by common law dogma. Scots law’s equity-free trust system undermines this, hinting at a universal essence beyond English peculiarities, setting up a civilian reimagining.</w:t>
      </w:r>
    </w:p>
    <w:p w14:paraId="24B8671E" w14:textId="77777777" w:rsidR="007D491C" w:rsidRPr="007D491C" w:rsidRDefault="007D491C" w:rsidP="00457DA0">
      <w:pPr>
        <w:spacing w:after="240" w:line="360" w:lineRule="auto"/>
        <w:outlineLvl w:val="2"/>
        <w:rPr>
          <w:rFonts w:ascii="Times New Roman" w:hAnsi="Times New Roman"/>
          <w:b/>
          <w:bCs/>
          <w:lang w:val="en-HK"/>
        </w:rPr>
      </w:pPr>
      <w:r w:rsidRPr="007D491C">
        <w:rPr>
          <w:rFonts w:ascii="Times New Roman" w:hAnsi="Times New Roman"/>
          <w:b/>
          <w:bCs/>
          <w:lang w:val="en-HK"/>
        </w:rPr>
        <w:t>Additional Notes</w:t>
      </w:r>
    </w:p>
    <w:p w14:paraId="5AC9B9AB" w14:textId="6128D422" w:rsidR="007D491C" w:rsidRPr="007D491C" w:rsidRDefault="007D491C" w:rsidP="00457DA0">
      <w:pPr>
        <w:spacing w:after="240" w:line="360" w:lineRule="auto"/>
        <w:rPr>
          <w:rFonts w:ascii="Times New Roman" w:hAnsi="Times New Roman"/>
          <w:lang w:val="en-HK"/>
        </w:rPr>
      </w:pPr>
      <w:r w:rsidRPr="007D491C">
        <w:rPr>
          <w:rFonts w:ascii="Times New Roman" w:hAnsi="Times New Roman"/>
          <w:b/>
          <w:bCs/>
          <w:lang w:val="en-HK"/>
        </w:rPr>
        <w:t>Connection</w:t>
      </w:r>
      <w:r w:rsidRPr="007D491C">
        <w:rPr>
          <w:rFonts w:ascii="Times New Roman" w:hAnsi="Times New Roman"/>
          <w:lang w:val="en-HK"/>
        </w:rPr>
        <w:t>: Links to later sections by doubting equity (Section IV) and proposing obligations (Section II) and patrimony (Section V) as alternatives.</w:t>
      </w:r>
    </w:p>
    <w:p w14:paraId="00FF3E14" w14:textId="0A53126D" w:rsidR="00CD39F1" w:rsidRPr="00457DA0" w:rsidRDefault="00AA7DDE" w:rsidP="00457DA0">
      <w:pPr>
        <w:spacing w:after="240" w:line="360" w:lineRule="auto"/>
      </w:pPr>
      <w:r w:rsidRPr="00AA7DDE">
        <w:rPr>
          <w:rFonts w:ascii="Times New Roman" w:hAnsi="Times New Roman"/>
          <w:noProof/>
          <w:lang w:val="en-HK"/>
          <w14:ligatures w14:val="standardContextual"/>
        </w:rPr>
        <w:pict w14:anchorId="2FF6A6DB">
          <v:rect id="_x0000_i1032" alt="" style="width:451.3pt;height:.05pt;mso-width-percent:0;mso-height-percent:0;mso-width-percent:0;mso-height-percent:0" o:hralign="center" o:hrstd="t" o:hr="t" fillcolor="#a0a0a0" stroked="f"/>
        </w:pict>
      </w:r>
    </w:p>
    <w:p w14:paraId="403C41BE" w14:textId="77777777" w:rsidR="00457DA0" w:rsidRPr="00457DA0" w:rsidRDefault="00457DA0" w:rsidP="00457DA0">
      <w:pPr>
        <w:spacing w:after="240" w:line="360" w:lineRule="auto"/>
        <w:outlineLvl w:val="2"/>
        <w:rPr>
          <w:rFonts w:ascii="Times New Roman" w:hAnsi="Times New Roman"/>
          <w:b/>
          <w:bCs/>
          <w:lang w:val="en-HK"/>
        </w:rPr>
      </w:pPr>
      <w:r w:rsidRPr="00457DA0">
        <w:rPr>
          <w:rFonts w:ascii="Times New Roman" w:hAnsi="Times New Roman"/>
          <w:b/>
          <w:bCs/>
          <w:lang w:val="en-HK"/>
        </w:rPr>
        <w:t>Section II: Can the Trust Be Explained in Terms of the Law of Obligations? (pp. 601-603)</w:t>
      </w:r>
    </w:p>
    <w:p w14:paraId="62B2FE52"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Overview</w:t>
      </w:r>
    </w:p>
    <w:p w14:paraId="07D38A00"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 xml:space="preserve">Gretton investigates whether trusts can be understood within the law of obligations, potentially as a specialized contract, rather than requiring the equity-based division of ownership. He draws parallels with civil law’s </w:t>
      </w:r>
      <w:r w:rsidRPr="00457DA0">
        <w:rPr>
          <w:rFonts w:ascii="Times New Roman" w:hAnsi="Times New Roman"/>
          <w:i/>
          <w:iCs/>
          <w:lang w:val="en-HK"/>
        </w:rPr>
        <w:t xml:space="preserve">fiducia cum </w:t>
      </w:r>
      <w:proofErr w:type="spellStart"/>
      <w:r w:rsidRPr="00457DA0">
        <w:rPr>
          <w:rFonts w:ascii="Times New Roman" w:hAnsi="Times New Roman"/>
          <w:i/>
          <w:iCs/>
          <w:lang w:val="en-HK"/>
        </w:rPr>
        <w:t>amico</w:t>
      </w:r>
      <w:proofErr w:type="spellEnd"/>
      <w:r w:rsidRPr="00457DA0">
        <w:rPr>
          <w:rFonts w:ascii="Times New Roman" w:hAnsi="Times New Roman"/>
          <w:lang w:val="en-HK"/>
        </w:rPr>
        <w:t>, examines trust features like voluntary acceptance and third-party effects, and identifies the key limitation: the inability of a purely obligational model to account for the trust’s “insolvency effect” (protection of trust assets from trustee creditors). This sets up the need for a broader conceptual framework, introduced in later sections.</w:t>
      </w:r>
    </w:p>
    <w:p w14:paraId="5961DF4A"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Detailed Points</w:t>
      </w:r>
    </w:p>
    <w:p w14:paraId="1AC00A0E" w14:textId="77777777" w:rsidR="00457DA0" w:rsidRPr="00457DA0" w:rsidRDefault="00457DA0" w:rsidP="00457DA0">
      <w:pPr>
        <w:numPr>
          <w:ilvl w:val="0"/>
          <w:numId w:val="3"/>
        </w:numPr>
        <w:spacing w:after="240" w:line="360" w:lineRule="auto"/>
        <w:rPr>
          <w:rFonts w:ascii="Times New Roman" w:hAnsi="Times New Roman"/>
          <w:lang w:val="en-HK"/>
        </w:rPr>
      </w:pPr>
      <w:r w:rsidRPr="00457DA0">
        <w:rPr>
          <w:rFonts w:ascii="Times New Roman" w:hAnsi="Times New Roman"/>
          <w:b/>
          <w:bCs/>
          <w:lang w:val="en-HK"/>
        </w:rPr>
        <w:t>Initial Proposition and Civil Law Parallel</w:t>
      </w:r>
      <w:r w:rsidRPr="00457DA0">
        <w:rPr>
          <w:rFonts w:ascii="Times New Roman" w:hAnsi="Times New Roman"/>
          <w:lang w:val="en-HK"/>
        </w:rPr>
        <w:t xml:space="preserve"> </w:t>
      </w:r>
    </w:p>
    <w:p w14:paraId="544E6B57"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Question Posed</w:t>
      </w:r>
      <w:r w:rsidRPr="00457DA0">
        <w:rPr>
          <w:rFonts w:ascii="Times New Roman" w:hAnsi="Times New Roman"/>
          <w:lang w:val="en-HK"/>
        </w:rPr>
        <w:t>: Can trusts be explained as obligations, perhaps a contractual arrangement? Gretton suggests they partially can, challenging the equity-centric view.</w:t>
      </w:r>
    </w:p>
    <w:p w14:paraId="5F78C18B"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Voluntary Nature</w:t>
      </w:r>
      <w:r w:rsidRPr="00457DA0">
        <w:rPr>
          <w:rFonts w:ascii="Times New Roman" w:hAnsi="Times New Roman"/>
          <w:lang w:val="en-HK"/>
        </w:rPr>
        <w:t>: He emphasizes a rarely highlighted aspect: trustees must consent to their role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19 notes exceptions like statutory trusteeship, but the norm is voluntary). This aligns trusts with contractual logic—obligations arise from agreement.</w:t>
      </w:r>
    </w:p>
    <w:p w14:paraId="36A5E2A4"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Fiducia Cum Amico</w:t>
      </w:r>
      <w:r w:rsidRPr="00457DA0">
        <w:rPr>
          <w:rFonts w:ascii="Times New Roman" w:hAnsi="Times New Roman"/>
          <w:lang w:val="en-HK"/>
        </w:rPr>
        <w:t xml:space="preserve">: </w:t>
      </w:r>
    </w:p>
    <w:p w14:paraId="14F46BB2" w14:textId="77777777" w:rsidR="00457DA0" w:rsidRPr="00457DA0" w:rsidRDefault="00457DA0" w:rsidP="00457DA0">
      <w:pPr>
        <w:numPr>
          <w:ilvl w:val="2"/>
          <w:numId w:val="3"/>
        </w:numPr>
        <w:spacing w:after="240" w:line="360" w:lineRule="auto"/>
        <w:rPr>
          <w:rFonts w:ascii="Times New Roman" w:hAnsi="Times New Roman"/>
          <w:lang w:val="en-HK"/>
        </w:rPr>
      </w:pPr>
      <w:r w:rsidRPr="00457DA0">
        <w:rPr>
          <w:rFonts w:ascii="Times New Roman" w:hAnsi="Times New Roman"/>
          <w:lang w:val="en-HK"/>
        </w:rPr>
        <w:lastRenderedPageBreak/>
        <w:t>A Roman law concept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20 cites </w:t>
      </w:r>
      <w:r w:rsidRPr="00457DA0">
        <w:rPr>
          <w:rFonts w:ascii="Times New Roman" w:hAnsi="Times New Roman"/>
          <w:i/>
          <w:iCs/>
          <w:lang w:val="en-HK"/>
        </w:rPr>
        <w:t xml:space="preserve">Inst. </w:t>
      </w:r>
      <w:proofErr w:type="spellStart"/>
      <w:r w:rsidRPr="00457DA0">
        <w:rPr>
          <w:rFonts w:ascii="Times New Roman" w:hAnsi="Times New Roman"/>
          <w:i/>
          <w:iCs/>
          <w:lang w:val="en-HK"/>
        </w:rPr>
        <w:t>Gaii</w:t>
      </w:r>
      <w:proofErr w:type="spellEnd"/>
      <w:r w:rsidRPr="00457DA0">
        <w:rPr>
          <w:rFonts w:ascii="Times New Roman" w:hAnsi="Times New Roman"/>
          <w:i/>
          <w:iCs/>
          <w:lang w:val="en-HK"/>
        </w:rPr>
        <w:t xml:space="preserve"> 2,60</w:t>
      </w:r>
      <w:r w:rsidRPr="00457DA0">
        <w:rPr>
          <w:rFonts w:ascii="Times New Roman" w:hAnsi="Times New Roman"/>
          <w:lang w:val="en-HK"/>
        </w:rPr>
        <w:t>), where ownership is transferred to a friend (</w:t>
      </w:r>
      <w:r w:rsidRPr="00457DA0">
        <w:rPr>
          <w:rFonts w:ascii="Times New Roman" w:hAnsi="Times New Roman"/>
          <w:i/>
          <w:iCs/>
          <w:lang w:val="en-HK"/>
        </w:rPr>
        <w:t>amicus</w:t>
      </w:r>
      <w:r w:rsidRPr="00457DA0">
        <w:rPr>
          <w:rFonts w:ascii="Times New Roman" w:hAnsi="Times New Roman"/>
          <w:lang w:val="en-HK"/>
        </w:rPr>
        <w:t>) for administration under binding terms, enforced via obligations.</w:t>
      </w:r>
    </w:p>
    <w:p w14:paraId="7FD45564" w14:textId="77777777" w:rsidR="00457DA0" w:rsidRPr="00457DA0" w:rsidRDefault="00457DA0" w:rsidP="00457DA0">
      <w:pPr>
        <w:numPr>
          <w:ilvl w:val="2"/>
          <w:numId w:val="3"/>
        </w:numPr>
        <w:spacing w:after="240" w:line="360" w:lineRule="auto"/>
        <w:rPr>
          <w:rFonts w:ascii="Times New Roman" w:hAnsi="Times New Roman"/>
          <w:lang w:val="en-HK"/>
        </w:rPr>
      </w:pPr>
      <w:r w:rsidRPr="00457DA0">
        <w:rPr>
          <w:rFonts w:ascii="Times New Roman" w:hAnsi="Times New Roman"/>
          <w:lang w:val="en-HK"/>
        </w:rPr>
        <w:t xml:space="preserve">Modern German </w:t>
      </w:r>
      <w:proofErr w:type="spellStart"/>
      <w:r w:rsidRPr="00457DA0">
        <w:rPr>
          <w:rFonts w:ascii="Times New Roman" w:hAnsi="Times New Roman"/>
          <w:i/>
          <w:iCs/>
          <w:lang w:val="en-HK"/>
        </w:rPr>
        <w:t>Verwaltungsstreuhand</w:t>
      </w:r>
      <w:proofErr w:type="spellEnd"/>
      <w:r w:rsidRPr="00457DA0">
        <w:rPr>
          <w:rFonts w:ascii="Times New Roman" w:hAnsi="Times New Roman"/>
          <w:lang w:val="en-HK"/>
        </w:rPr>
        <w:t xml:space="preserve"> mirrors this, suggesting a civilian trust-like mechanism based on contract.</w:t>
      </w:r>
    </w:p>
    <w:p w14:paraId="0FDCD358" w14:textId="77777777" w:rsidR="00457DA0" w:rsidRPr="00457DA0" w:rsidRDefault="00457DA0" w:rsidP="00457DA0">
      <w:pPr>
        <w:numPr>
          <w:ilvl w:val="2"/>
          <w:numId w:val="3"/>
        </w:numPr>
        <w:spacing w:after="240" w:line="360" w:lineRule="auto"/>
        <w:rPr>
          <w:rFonts w:ascii="Times New Roman" w:hAnsi="Times New Roman"/>
          <w:lang w:val="en-HK"/>
        </w:rPr>
      </w:pPr>
      <w:r w:rsidRPr="00457DA0">
        <w:rPr>
          <w:rFonts w:ascii="Times New Roman" w:hAnsi="Times New Roman"/>
          <w:lang w:val="en-HK"/>
        </w:rPr>
        <w:t>Similarity to Trusts: The settlor transfers assets, and the recipient (trustee) is obligated to manage them for a purpose or beneficiary, resembling a trust’s structure.</w:t>
      </w:r>
    </w:p>
    <w:p w14:paraId="25A48DBE" w14:textId="77777777" w:rsidR="00457DA0" w:rsidRPr="00457DA0" w:rsidRDefault="00457DA0" w:rsidP="00457DA0">
      <w:pPr>
        <w:numPr>
          <w:ilvl w:val="0"/>
          <w:numId w:val="3"/>
        </w:numPr>
        <w:spacing w:after="240" w:line="360" w:lineRule="auto"/>
        <w:rPr>
          <w:rFonts w:ascii="Times New Roman" w:hAnsi="Times New Roman"/>
          <w:lang w:val="en-HK"/>
        </w:rPr>
      </w:pPr>
      <w:r w:rsidRPr="00457DA0">
        <w:rPr>
          <w:rFonts w:ascii="Times New Roman" w:hAnsi="Times New Roman"/>
          <w:b/>
          <w:bCs/>
          <w:lang w:val="en-HK"/>
        </w:rPr>
        <w:t>Contractual Features and Challenges</w:t>
      </w:r>
      <w:r w:rsidRPr="00457DA0">
        <w:rPr>
          <w:rFonts w:ascii="Times New Roman" w:hAnsi="Times New Roman"/>
          <w:lang w:val="en-HK"/>
        </w:rPr>
        <w:t xml:space="preserve"> </w:t>
      </w:r>
    </w:p>
    <w:p w14:paraId="34DE8366"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Privity Objection</w:t>
      </w:r>
      <w:r w:rsidRPr="00457DA0">
        <w:rPr>
          <w:rFonts w:ascii="Times New Roman" w:hAnsi="Times New Roman"/>
          <w:lang w:val="en-HK"/>
        </w:rPr>
        <w:t xml:space="preserve">: </w:t>
      </w:r>
    </w:p>
    <w:p w14:paraId="57639D92" w14:textId="77777777" w:rsidR="00457DA0" w:rsidRPr="00457DA0" w:rsidRDefault="00457DA0" w:rsidP="00457DA0">
      <w:pPr>
        <w:numPr>
          <w:ilvl w:val="2"/>
          <w:numId w:val="3"/>
        </w:numPr>
        <w:spacing w:after="240" w:line="360" w:lineRule="auto"/>
        <w:rPr>
          <w:rFonts w:ascii="Times New Roman" w:hAnsi="Times New Roman"/>
          <w:lang w:val="en-HK"/>
        </w:rPr>
      </w:pPr>
      <w:r w:rsidRPr="00457DA0">
        <w:rPr>
          <w:rFonts w:ascii="Times New Roman" w:hAnsi="Times New Roman"/>
          <w:lang w:val="en-HK"/>
        </w:rPr>
        <w:t>Trusts bypass privity (only parties to a contract have rights/obligations), as beneficiaries enforce rights despite not contracting.</w:t>
      </w:r>
    </w:p>
    <w:p w14:paraId="23A0C8C0" w14:textId="77777777" w:rsidR="00457DA0" w:rsidRPr="00457DA0" w:rsidRDefault="00457DA0" w:rsidP="00457DA0">
      <w:pPr>
        <w:numPr>
          <w:ilvl w:val="2"/>
          <w:numId w:val="3"/>
        </w:numPr>
        <w:spacing w:after="240" w:line="360" w:lineRule="auto"/>
        <w:rPr>
          <w:rFonts w:ascii="Times New Roman" w:hAnsi="Times New Roman"/>
          <w:lang w:val="en-HK"/>
        </w:rPr>
      </w:pPr>
      <w:r w:rsidRPr="00457DA0">
        <w:rPr>
          <w:rFonts w:ascii="Times New Roman" w:hAnsi="Times New Roman"/>
          <w:lang w:val="en-HK"/>
        </w:rPr>
        <w:t xml:space="preserve">Response: Privity isn’t universal; civil law’s </w:t>
      </w:r>
      <w:proofErr w:type="spellStart"/>
      <w:r w:rsidRPr="00457DA0">
        <w:rPr>
          <w:rFonts w:ascii="Times New Roman" w:hAnsi="Times New Roman"/>
          <w:i/>
          <w:iCs/>
          <w:lang w:val="en-HK"/>
        </w:rPr>
        <w:t>stipulatio</w:t>
      </w:r>
      <w:proofErr w:type="spellEnd"/>
      <w:r w:rsidRPr="00457DA0">
        <w:rPr>
          <w:rFonts w:ascii="Times New Roman" w:hAnsi="Times New Roman"/>
          <w:i/>
          <w:iCs/>
          <w:lang w:val="en-HK"/>
        </w:rPr>
        <w:t xml:space="preserve"> </w:t>
      </w:r>
      <w:proofErr w:type="spellStart"/>
      <w:r w:rsidRPr="00457DA0">
        <w:rPr>
          <w:rFonts w:ascii="Times New Roman" w:hAnsi="Times New Roman"/>
          <w:i/>
          <w:iCs/>
          <w:lang w:val="en-HK"/>
        </w:rPr>
        <w:t>alteri</w:t>
      </w:r>
      <w:proofErr w:type="spellEnd"/>
      <w:r w:rsidRPr="00457DA0">
        <w:rPr>
          <w:rFonts w:ascii="Times New Roman" w:hAnsi="Times New Roman"/>
          <w:lang w:val="en-HK"/>
        </w:rPr>
        <w:t xml:space="preserve"> (third-party benefit contract) achieves similar outcomes, and English law’s privity is often breached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21 cites the </w:t>
      </w:r>
      <w:r w:rsidRPr="00457DA0">
        <w:rPr>
          <w:rFonts w:ascii="Times New Roman" w:hAnsi="Times New Roman"/>
          <w:i/>
          <w:iCs/>
          <w:lang w:val="en-HK"/>
        </w:rPr>
        <w:t>Contracts (Rights of Third Parties) Act 1999</w:t>
      </w:r>
      <w:r w:rsidRPr="00457DA0">
        <w:rPr>
          <w:rFonts w:ascii="Times New Roman" w:hAnsi="Times New Roman"/>
          <w:lang w:val="en-HK"/>
        </w:rPr>
        <w:t xml:space="preserve"> and Jones on trusts evading privity).</w:t>
      </w:r>
    </w:p>
    <w:p w14:paraId="6A423800" w14:textId="77777777" w:rsidR="00457DA0" w:rsidRPr="00457DA0" w:rsidRDefault="00457DA0" w:rsidP="00457DA0">
      <w:pPr>
        <w:numPr>
          <w:ilvl w:val="2"/>
          <w:numId w:val="3"/>
        </w:numPr>
        <w:spacing w:after="240" w:line="360" w:lineRule="auto"/>
        <w:rPr>
          <w:rFonts w:ascii="Times New Roman" w:hAnsi="Times New Roman"/>
          <w:lang w:val="en-HK"/>
        </w:rPr>
      </w:pPr>
      <w:r w:rsidRPr="00457DA0">
        <w:rPr>
          <w:rFonts w:ascii="Times New Roman" w:hAnsi="Times New Roman"/>
          <w:lang w:val="en-HK"/>
        </w:rPr>
        <w:t xml:space="preserve">Historical Note: English law’s lack of </w:t>
      </w:r>
      <w:proofErr w:type="spellStart"/>
      <w:r w:rsidRPr="00457DA0">
        <w:rPr>
          <w:rFonts w:ascii="Times New Roman" w:hAnsi="Times New Roman"/>
          <w:i/>
          <w:iCs/>
          <w:lang w:val="en-HK"/>
        </w:rPr>
        <w:t>stipulatio</w:t>
      </w:r>
      <w:proofErr w:type="spellEnd"/>
      <w:r w:rsidRPr="00457DA0">
        <w:rPr>
          <w:rFonts w:ascii="Times New Roman" w:hAnsi="Times New Roman"/>
          <w:i/>
          <w:iCs/>
          <w:lang w:val="en-HK"/>
        </w:rPr>
        <w:t xml:space="preserve"> </w:t>
      </w:r>
      <w:proofErr w:type="spellStart"/>
      <w:r w:rsidRPr="00457DA0">
        <w:rPr>
          <w:rFonts w:ascii="Times New Roman" w:hAnsi="Times New Roman"/>
          <w:i/>
          <w:iCs/>
          <w:lang w:val="en-HK"/>
        </w:rPr>
        <w:t>alteri</w:t>
      </w:r>
      <w:proofErr w:type="spellEnd"/>
      <w:r w:rsidRPr="00457DA0">
        <w:rPr>
          <w:rFonts w:ascii="Times New Roman" w:hAnsi="Times New Roman"/>
          <w:lang w:val="en-HK"/>
        </w:rPr>
        <w:t xml:space="preserve"> may have spurred trust development to circumvent privity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21).</w:t>
      </w:r>
    </w:p>
    <w:p w14:paraId="096B586E"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Formation Norms</w:t>
      </w:r>
      <w:r w:rsidRPr="00457DA0">
        <w:rPr>
          <w:rFonts w:ascii="Times New Roman" w:hAnsi="Times New Roman"/>
          <w:lang w:val="en-HK"/>
        </w:rPr>
        <w:t xml:space="preserve">: </w:t>
      </w:r>
    </w:p>
    <w:p w14:paraId="762C342C"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Trusts don’t follow classical contract formation (offer, acceptance, consideration), but Gretton dismisses this as minor—19th-century contract theories have softened with practical experience.</w:t>
      </w:r>
    </w:p>
    <w:p w14:paraId="18DA6F60" w14:textId="77777777" w:rsidR="00457DA0" w:rsidRPr="00457DA0" w:rsidRDefault="00457DA0" w:rsidP="00457DA0">
      <w:pPr>
        <w:numPr>
          <w:ilvl w:val="0"/>
          <w:numId w:val="3"/>
        </w:numPr>
        <w:spacing w:after="240" w:line="360" w:lineRule="auto"/>
        <w:rPr>
          <w:rFonts w:ascii="Times New Roman" w:hAnsi="Times New Roman"/>
          <w:lang w:val="en-HK"/>
        </w:rPr>
      </w:pPr>
      <w:r w:rsidRPr="00457DA0">
        <w:rPr>
          <w:rFonts w:ascii="Times New Roman" w:hAnsi="Times New Roman"/>
          <w:b/>
          <w:bCs/>
          <w:lang w:val="en-HK"/>
        </w:rPr>
        <w:t>Third-Party Effects</w:t>
      </w:r>
      <w:r w:rsidRPr="00457DA0">
        <w:rPr>
          <w:rFonts w:ascii="Times New Roman" w:hAnsi="Times New Roman"/>
          <w:lang w:val="en-HK"/>
        </w:rPr>
        <w:t xml:space="preserve"> </w:t>
      </w:r>
    </w:p>
    <w:p w14:paraId="0EEF853A"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Liability of Third Parties</w:t>
      </w:r>
      <w:r w:rsidRPr="00457DA0">
        <w:rPr>
          <w:rFonts w:ascii="Times New Roman" w:hAnsi="Times New Roman"/>
          <w:lang w:val="en-HK"/>
        </w:rPr>
        <w:t xml:space="preserve">: </w:t>
      </w:r>
    </w:p>
    <w:p w14:paraId="15D6C343" w14:textId="77777777" w:rsidR="00457DA0" w:rsidRPr="00457DA0" w:rsidRDefault="00457DA0" w:rsidP="00457DA0">
      <w:pPr>
        <w:numPr>
          <w:ilvl w:val="2"/>
          <w:numId w:val="3"/>
        </w:numPr>
        <w:spacing w:after="240" w:line="360" w:lineRule="auto"/>
        <w:rPr>
          <w:rFonts w:ascii="Times New Roman" w:hAnsi="Times New Roman"/>
          <w:lang w:val="en-HK"/>
        </w:rPr>
      </w:pPr>
      <w:r w:rsidRPr="00457DA0">
        <w:rPr>
          <w:rFonts w:ascii="Times New Roman" w:hAnsi="Times New Roman"/>
          <w:lang w:val="en-HK"/>
        </w:rPr>
        <w:t>Beneficiaries can hold liable a third party acquiring trust property in bad faith (e.g., knowing it’s trust-held), often cited as evidence of a semi-real right.</w:t>
      </w:r>
    </w:p>
    <w:p w14:paraId="6B0D95DD" w14:textId="77777777" w:rsidR="00457DA0" w:rsidRPr="00457DA0" w:rsidRDefault="00457DA0" w:rsidP="00457DA0">
      <w:pPr>
        <w:numPr>
          <w:ilvl w:val="2"/>
          <w:numId w:val="3"/>
        </w:numPr>
        <w:spacing w:after="240" w:line="360" w:lineRule="auto"/>
        <w:rPr>
          <w:rFonts w:ascii="Times New Roman" w:hAnsi="Times New Roman"/>
          <w:lang w:val="en-HK"/>
        </w:rPr>
      </w:pPr>
      <w:r w:rsidRPr="00457DA0">
        <w:rPr>
          <w:rFonts w:ascii="Times New Roman" w:hAnsi="Times New Roman"/>
          <w:lang w:val="en-HK"/>
        </w:rPr>
        <w:t>Counterargument: Civil law systems commonly impose liability on third parties colluding in contract breaches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22 quotes Honoré: civil law protects beneficiaries via notice, akin </w:t>
      </w:r>
      <w:r w:rsidRPr="00457DA0">
        <w:rPr>
          <w:rFonts w:ascii="Times New Roman" w:hAnsi="Times New Roman"/>
          <w:lang w:val="en-HK"/>
        </w:rPr>
        <w:lastRenderedPageBreak/>
        <w:t>to equity). This isn’t unique to trusts—e.g., if C induces A to break a contract with B, C may be liable to B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22 cites </w:t>
      </w:r>
      <w:proofErr w:type="spellStart"/>
      <w:r w:rsidRPr="00457DA0">
        <w:rPr>
          <w:rFonts w:ascii="Times New Roman" w:hAnsi="Times New Roman"/>
          <w:lang w:val="en-HK"/>
        </w:rPr>
        <w:t>Rabello’s</w:t>
      </w:r>
      <w:proofErr w:type="spellEnd"/>
      <w:r w:rsidRPr="00457DA0">
        <w:rPr>
          <w:rFonts w:ascii="Times New Roman" w:hAnsi="Times New Roman"/>
          <w:lang w:val="en-HK"/>
        </w:rPr>
        <w:t xml:space="preserve"> </w:t>
      </w:r>
      <w:r w:rsidRPr="00457DA0">
        <w:rPr>
          <w:rFonts w:ascii="Times New Roman" w:hAnsi="Times New Roman"/>
          <w:i/>
          <w:iCs/>
          <w:lang w:val="en-HK"/>
        </w:rPr>
        <w:t>Aequitas and Equity</w:t>
      </w:r>
      <w:r w:rsidRPr="00457DA0">
        <w:rPr>
          <w:rFonts w:ascii="Times New Roman" w:hAnsi="Times New Roman"/>
          <w:lang w:val="en-HK"/>
        </w:rPr>
        <w:t>).</w:t>
      </w:r>
    </w:p>
    <w:p w14:paraId="033B25CB" w14:textId="77777777" w:rsidR="00457DA0" w:rsidRPr="00457DA0" w:rsidRDefault="00457DA0" w:rsidP="00457DA0">
      <w:pPr>
        <w:numPr>
          <w:ilvl w:val="2"/>
          <w:numId w:val="3"/>
        </w:numPr>
        <w:spacing w:after="240" w:line="360" w:lineRule="auto"/>
        <w:rPr>
          <w:rFonts w:ascii="Times New Roman" w:hAnsi="Times New Roman"/>
          <w:lang w:val="en-HK"/>
        </w:rPr>
      </w:pPr>
      <w:proofErr w:type="spellStart"/>
      <w:r w:rsidRPr="00457DA0">
        <w:rPr>
          <w:rFonts w:ascii="Times New Roman" w:hAnsi="Times New Roman"/>
          <w:lang w:val="en-HK"/>
        </w:rPr>
        <w:t>Fn</w:t>
      </w:r>
      <w:proofErr w:type="spellEnd"/>
      <w:r w:rsidRPr="00457DA0">
        <w:rPr>
          <w:rFonts w:ascii="Times New Roman" w:hAnsi="Times New Roman"/>
          <w:lang w:val="en-HK"/>
        </w:rPr>
        <w:t xml:space="preserve"> 23 (Stone’s </w:t>
      </w:r>
      <w:r w:rsidRPr="00457DA0">
        <w:rPr>
          <w:rFonts w:ascii="Times New Roman" w:hAnsi="Times New Roman"/>
          <w:i/>
          <w:iCs/>
          <w:lang w:val="en-HK"/>
        </w:rPr>
        <w:t>Columbia Law Review</w:t>
      </w:r>
      <w:r w:rsidRPr="00457DA0">
        <w:rPr>
          <w:rFonts w:ascii="Times New Roman" w:hAnsi="Times New Roman"/>
          <w:lang w:val="en-HK"/>
        </w:rPr>
        <w:t xml:space="preserve"> article) reinforces: rights against third-party interference don’t necessitate </w:t>
      </w:r>
      <w:r w:rsidRPr="00457DA0">
        <w:rPr>
          <w:rFonts w:ascii="Times New Roman" w:hAnsi="Times New Roman"/>
          <w:i/>
          <w:iCs/>
          <w:lang w:val="en-HK"/>
        </w:rPr>
        <w:t>in rem</w:t>
      </w:r>
      <w:r w:rsidRPr="00457DA0">
        <w:rPr>
          <w:rFonts w:ascii="Times New Roman" w:hAnsi="Times New Roman"/>
          <w:lang w:val="en-HK"/>
        </w:rPr>
        <w:t xml:space="preserve"> status.</w:t>
      </w:r>
    </w:p>
    <w:p w14:paraId="0F257C72"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Gratuitous Transfers</w:t>
      </w:r>
      <w:r w:rsidRPr="00457DA0">
        <w:rPr>
          <w:rFonts w:ascii="Times New Roman" w:hAnsi="Times New Roman"/>
          <w:lang w:val="en-HK"/>
        </w:rPr>
        <w:t xml:space="preserve">: </w:t>
      </w:r>
    </w:p>
    <w:p w14:paraId="2C23CE86" w14:textId="77777777" w:rsidR="00457DA0" w:rsidRPr="00457DA0" w:rsidRDefault="00457DA0" w:rsidP="00457DA0">
      <w:pPr>
        <w:numPr>
          <w:ilvl w:val="2"/>
          <w:numId w:val="3"/>
        </w:numPr>
        <w:spacing w:after="240" w:line="360" w:lineRule="auto"/>
        <w:rPr>
          <w:rFonts w:ascii="Times New Roman" w:hAnsi="Times New Roman"/>
          <w:lang w:val="en-HK"/>
        </w:rPr>
      </w:pPr>
      <w:r w:rsidRPr="00457DA0">
        <w:rPr>
          <w:rFonts w:ascii="Times New Roman" w:hAnsi="Times New Roman"/>
          <w:lang w:val="en-HK"/>
        </w:rPr>
        <w:t>If a third party (C) takes trust property gratuitously (e.g., a gift from trustee A), beneficiary B may reclaim it, especially if A is insolvent.</w:t>
      </w:r>
    </w:p>
    <w:p w14:paraId="74B6C27E" w14:textId="77777777" w:rsidR="00457DA0" w:rsidRPr="00457DA0" w:rsidRDefault="00457DA0" w:rsidP="00457DA0">
      <w:pPr>
        <w:numPr>
          <w:ilvl w:val="2"/>
          <w:numId w:val="3"/>
        </w:numPr>
        <w:spacing w:after="240" w:line="360" w:lineRule="auto"/>
        <w:rPr>
          <w:rFonts w:ascii="Times New Roman" w:hAnsi="Times New Roman"/>
          <w:lang w:val="en-HK"/>
        </w:rPr>
      </w:pPr>
      <w:r w:rsidRPr="00457DA0">
        <w:rPr>
          <w:rFonts w:ascii="Times New Roman" w:hAnsi="Times New Roman"/>
          <w:lang w:val="en-HK"/>
        </w:rPr>
        <w:t xml:space="preserve">Response: This aligns with civil law’s </w:t>
      </w:r>
      <w:proofErr w:type="spellStart"/>
      <w:r w:rsidRPr="00457DA0">
        <w:rPr>
          <w:rFonts w:ascii="Times New Roman" w:hAnsi="Times New Roman"/>
          <w:i/>
          <w:iCs/>
          <w:lang w:val="en-HK"/>
        </w:rPr>
        <w:t>actio</w:t>
      </w:r>
      <w:proofErr w:type="spellEnd"/>
      <w:r w:rsidRPr="00457DA0">
        <w:rPr>
          <w:rFonts w:ascii="Times New Roman" w:hAnsi="Times New Roman"/>
          <w:i/>
          <w:iCs/>
          <w:lang w:val="en-HK"/>
        </w:rPr>
        <w:t xml:space="preserve"> </w:t>
      </w:r>
      <w:proofErr w:type="spellStart"/>
      <w:r w:rsidRPr="00457DA0">
        <w:rPr>
          <w:rFonts w:ascii="Times New Roman" w:hAnsi="Times New Roman"/>
          <w:i/>
          <w:iCs/>
          <w:lang w:val="en-HK"/>
        </w:rPr>
        <w:t>pauliana</w:t>
      </w:r>
      <w:proofErr w:type="spellEnd"/>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24), where insolvent debtors’ gratuitous transfers are reversible by creditors—not a trust-specific trait. If A is solvent, B suffers no loss, negating the issue.</w:t>
      </w:r>
    </w:p>
    <w:p w14:paraId="2250577B" w14:textId="77777777" w:rsidR="00457DA0" w:rsidRPr="00457DA0" w:rsidRDefault="00457DA0" w:rsidP="00457DA0">
      <w:pPr>
        <w:numPr>
          <w:ilvl w:val="0"/>
          <w:numId w:val="3"/>
        </w:numPr>
        <w:spacing w:after="240" w:line="360" w:lineRule="auto"/>
        <w:rPr>
          <w:rFonts w:ascii="Times New Roman" w:hAnsi="Times New Roman"/>
          <w:lang w:val="en-HK"/>
        </w:rPr>
      </w:pPr>
      <w:r w:rsidRPr="00457DA0">
        <w:rPr>
          <w:rFonts w:ascii="Times New Roman" w:hAnsi="Times New Roman"/>
          <w:b/>
          <w:bCs/>
          <w:lang w:val="en-HK"/>
        </w:rPr>
        <w:t>Criminal Sanctions</w:t>
      </w:r>
      <w:r w:rsidRPr="00457DA0">
        <w:rPr>
          <w:rFonts w:ascii="Times New Roman" w:hAnsi="Times New Roman"/>
          <w:lang w:val="en-HK"/>
        </w:rPr>
        <w:t xml:space="preserve"> </w:t>
      </w:r>
    </w:p>
    <w:p w14:paraId="7F38DF53"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Objection</w:t>
      </w:r>
      <w:r w:rsidRPr="00457DA0">
        <w:rPr>
          <w:rFonts w:ascii="Times New Roman" w:hAnsi="Times New Roman"/>
          <w:lang w:val="en-HK"/>
        </w:rPr>
        <w:t>: Breach of trust can attract criminal penalties (e.g., fraud), suggesting a proprietary rather than obligational nature.</w:t>
      </w:r>
    </w:p>
    <w:p w14:paraId="43DC6498"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Rebuttal</w:t>
      </w:r>
      <w:r w:rsidRPr="00457DA0">
        <w:rPr>
          <w:rFonts w:ascii="Times New Roman" w:hAnsi="Times New Roman"/>
          <w:lang w:val="en-HK"/>
        </w:rPr>
        <w:t>: This isn’t trust-exclusive; fiduciaries broadly (e.g., agents, executors) face similar sanctions in civil and common law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25 cites Roman law: </w:t>
      </w:r>
      <w:r w:rsidRPr="00457DA0">
        <w:rPr>
          <w:rFonts w:ascii="Times New Roman" w:hAnsi="Times New Roman"/>
          <w:i/>
          <w:iCs/>
          <w:lang w:val="en-HK"/>
        </w:rPr>
        <w:t>Dig. 18,1,34,7</w:t>
      </w:r>
      <w:r w:rsidRPr="00457DA0">
        <w:rPr>
          <w:rFonts w:ascii="Times New Roman" w:hAnsi="Times New Roman"/>
          <w:lang w:val="en-HK"/>
        </w:rPr>
        <w:t>—tutors/procurators liable for misconduct). Civil law recognizes fiduciaries, diluting this objection.</w:t>
      </w:r>
    </w:p>
    <w:p w14:paraId="790BF534" w14:textId="77777777" w:rsidR="00457DA0" w:rsidRPr="00457DA0" w:rsidRDefault="00457DA0" w:rsidP="00457DA0">
      <w:pPr>
        <w:numPr>
          <w:ilvl w:val="0"/>
          <w:numId w:val="3"/>
        </w:numPr>
        <w:spacing w:after="240" w:line="360" w:lineRule="auto"/>
        <w:rPr>
          <w:rFonts w:ascii="Times New Roman" w:hAnsi="Times New Roman"/>
          <w:lang w:val="en-HK"/>
        </w:rPr>
      </w:pPr>
      <w:r w:rsidRPr="00457DA0">
        <w:rPr>
          <w:rFonts w:ascii="Times New Roman" w:hAnsi="Times New Roman"/>
          <w:b/>
          <w:bCs/>
          <w:lang w:val="en-HK"/>
        </w:rPr>
        <w:t>Third-Party Rights and Liabilities</w:t>
      </w:r>
      <w:r w:rsidRPr="00457DA0">
        <w:rPr>
          <w:rFonts w:ascii="Times New Roman" w:hAnsi="Times New Roman"/>
          <w:lang w:val="en-HK"/>
        </w:rPr>
        <w:t xml:space="preserve"> </w:t>
      </w:r>
    </w:p>
    <w:p w14:paraId="5ACAD1DC"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Summary</w:t>
      </w:r>
      <w:r w:rsidRPr="00457DA0">
        <w:rPr>
          <w:rFonts w:ascii="Times New Roman" w:hAnsi="Times New Roman"/>
          <w:lang w:val="en-HK"/>
        </w:rPr>
        <w:t>: Trusts generate third-party rights (beneficiaries enforce against trustees) and liabilities (third parties liable for interference), akin to contract law.</w:t>
      </w:r>
    </w:p>
    <w:p w14:paraId="31E1DC6F"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Differences</w:t>
      </w:r>
      <w:r w:rsidRPr="00457DA0">
        <w:rPr>
          <w:rFonts w:ascii="Times New Roman" w:hAnsi="Times New Roman"/>
          <w:lang w:val="en-HK"/>
        </w:rPr>
        <w:t>: Variations exist (e.g., trusts lack formal consideration), but these are “matters of detail,” not fundamental barriers to an obligational view.</w:t>
      </w:r>
    </w:p>
    <w:p w14:paraId="40D25D4D" w14:textId="77777777" w:rsidR="00457DA0" w:rsidRPr="00457DA0" w:rsidRDefault="00457DA0" w:rsidP="00457DA0">
      <w:pPr>
        <w:numPr>
          <w:ilvl w:val="0"/>
          <w:numId w:val="3"/>
        </w:numPr>
        <w:spacing w:after="240" w:line="360" w:lineRule="auto"/>
        <w:rPr>
          <w:rFonts w:ascii="Times New Roman" w:hAnsi="Times New Roman"/>
          <w:lang w:val="en-HK"/>
        </w:rPr>
      </w:pPr>
      <w:r w:rsidRPr="00457DA0">
        <w:rPr>
          <w:rFonts w:ascii="Times New Roman" w:hAnsi="Times New Roman"/>
          <w:b/>
          <w:bCs/>
          <w:lang w:val="en-HK"/>
        </w:rPr>
        <w:t>Critical Limitation: Insolvency Effect</w:t>
      </w:r>
      <w:r w:rsidRPr="00457DA0">
        <w:rPr>
          <w:rFonts w:ascii="Times New Roman" w:hAnsi="Times New Roman"/>
          <w:lang w:val="en-HK"/>
        </w:rPr>
        <w:t xml:space="preserve"> </w:t>
      </w:r>
    </w:p>
    <w:p w14:paraId="615217AE"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Core Issue</w:t>
      </w:r>
      <w:r w:rsidRPr="00457DA0">
        <w:rPr>
          <w:rFonts w:ascii="Times New Roman" w:hAnsi="Times New Roman"/>
          <w:lang w:val="en-HK"/>
        </w:rPr>
        <w:t xml:space="preserve">: The “insolvency effect”—trust assets’ immunity from trustee’s personal creditors—is the trust’s defining feature (foreshadowed as central in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26, comparing it to company law’s separate personality).</w:t>
      </w:r>
    </w:p>
    <w:p w14:paraId="25635DB5"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lastRenderedPageBreak/>
        <w:t>Obligational Failure</w:t>
      </w:r>
      <w:r w:rsidRPr="00457DA0">
        <w:rPr>
          <w:rFonts w:ascii="Times New Roman" w:hAnsi="Times New Roman"/>
          <w:lang w:val="en-HK"/>
        </w:rPr>
        <w:t xml:space="preserve">: A pure contract model doesn’t explain this: </w:t>
      </w:r>
    </w:p>
    <w:p w14:paraId="700EA704" w14:textId="77777777" w:rsidR="00457DA0" w:rsidRPr="00457DA0" w:rsidRDefault="00457DA0" w:rsidP="00457DA0">
      <w:pPr>
        <w:numPr>
          <w:ilvl w:val="2"/>
          <w:numId w:val="3"/>
        </w:numPr>
        <w:spacing w:after="240" w:line="360" w:lineRule="auto"/>
        <w:rPr>
          <w:rFonts w:ascii="Times New Roman" w:hAnsi="Times New Roman"/>
          <w:lang w:val="en-HK"/>
        </w:rPr>
      </w:pPr>
      <w:r w:rsidRPr="00457DA0">
        <w:rPr>
          <w:rFonts w:ascii="Times New Roman" w:hAnsi="Times New Roman"/>
          <w:lang w:val="en-HK"/>
        </w:rPr>
        <w:t>If A contracts with B to hold assets for C, A’s creditors can still claim those assets, as they remain A’s property.</w:t>
      </w:r>
    </w:p>
    <w:p w14:paraId="7D2A427B" w14:textId="77777777" w:rsidR="00457DA0" w:rsidRPr="00457DA0" w:rsidRDefault="00457DA0" w:rsidP="00457DA0">
      <w:pPr>
        <w:numPr>
          <w:ilvl w:val="2"/>
          <w:numId w:val="3"/>
        </w:numPr>
        <w:spacing w:after="240" w:line="360" w:lineRule="auto"/>
        <w:rPr>
          <w:rFonts w:ascii="Times New Roman" w:hAnsi="Times New Roman"/>
          <w:lang w:val="en-HK"/>
        </w:rPr>
      </w:pPr>
      <w:r w:rsidRPr="00457DA0">
        <w:rPr>
          <w:rFonts w:ascii="Times New Roman" w:hAnsi="Times New Roman"/>
          <w:lang w:val="en-HK"/>
        </w:rPr>
        <w:t>Trusts, however, segregate assets, giving beneficiaries priority over A’s creditors, defying contractual logic.</w:t>
      </w:r>
    </w:p>
    <w:p w14:paraId="59455674"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Conclusion</w:t>
      </w:r>
      <w:r w:rsidRPr="00457DA0">
        <w:rPr>
          <w:rFonts w:ascii="Times New Roman" w:hAnsi="Times New Roman"/>
          <w:lang w:val="en-HK"/>
        </w:rPr>
        <w:t>: Obligations alone can’t account for this protection, necessitating a different framework (patrimony, introduced in Section V).</w:t>
      </w:r>
    </w:p>
    <w:p w14:paraId="54127E06"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Key Insight</w:t>
      </w:r>
    </w:p>
    <w:p w14:paraId="2883F80C" w14:textId="54462A19"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 xml:space="preserve">Gretton shows trusts share traits with obligations—voluntary acceptance, third-party effects, fiduciary parallels—but the insolvency effect exposes the limits of this view. While civil law’s </w:t>
      </w:r>
      <w:r w:rsidRPr="00457DA0">
        <w:rPr>
          <w:rFonts w:ascii="Times New Roman" w:hAnsi="Times New Roman"/>
          <w:i/>
          <w:iCs/>
          <w:lang w:val="en-HK"/>
        </w:rPr>
        <w:t>fiducia</w:t>
      </w:r>
      <w:r w:rsidRPr="00457DA0">
        <w:rPr>
          <w:rFonts w:ascii="Times New Roman" w:hAnsi="Times New Roman"/>
          <w:lang w:val="en-HK"/>
        </w:rPr>
        <w:t xml:space="preserve"> and contract doctrines offer partial </w:t>
      </w:r>
      <w:proofErr w:type="spellStart"/>
      <w:r w:rsidRPr="00457DA0">
        <w:rPr>
          <w:rFonts w:ascii="Times New Roman" w:hAnsi="Times New Roman"/>
          <w:lang w:val="en-HK"/>
        </w:rPr>
        <w:t>analogs</w:t>
      </w:r>
      <w:proofErr w:type="spellEnd"/>
      <w:r w:rsidRPr="00457DA0">
        <w:rPr>
          <w:rFonts w:ascii="Times New Roman" w:hAnsi="Times New Roman"/>
          <w:lang w:val="en-HK"/>
        </w:rPr>
        <w:t>, they fail to replicate the trust’s asset segregation, pushing beyond obligations into a distinct legal construct. Scots law’s trust, lacking equity, supports this exploration by functioning without divided ownership.</w:t>
      </w:r>
    </w:p>
    <w:p w14:paraId="69CFA073" w14:textId="77777777" w:rsidR="00457DA0" w:rsidRPr="00457DA0" w:rsidRDefault="00457DA0" w:rsidP="00457DA0">
      <w:pPr>
        <w:spacing w:after="240" w:line="360" w:lineRule="auto"/>
        <w:outlineLvl w:val="2"/>
        <w:rPr>
          <w:rFonts w:ascii="Times New Roman" w:hAnsi="Times New Roman"/>
          <w:b/>
          <w:bCs/>
          <w:lang w:val="en-HK"/>
        </w:rPr>
      </w:pPr>
      <w:r w:rsidRPr="00457DA0">
        <w:rPr>
          <w:rFonts w:ascii="Times New Roman" w:hAnsi="Times New Roman"/>
          <w:b/>
          <w:bCs/>
          <w:lang w:val="en-HK"/>
        </w:rPr>
        <w:t>Additional Notes</w:t>
      </w:r>
    </w:p>
    <w:p w14:paraId="3E846A19"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Connection</w:t>
      </w:r>
      <w:r w:rsidRPr="00457DA0">
        <w:rPr>
          <w:rFonts w:ascii="Times New Roman" w:hAnsi="Times New Roman"/>
          <w:lang w:val="en-HK"/>
        </w:rPr>
        <w:t xml:space="preserve">: Links to Section I’s equity critique and foreshadows Section IV’s rejection of </w:t>
      </w:r>
      <w:r w:rsidRPr="00457DA0">
        <w:rPr>
          <w:rFonts w:ascii="Times New Roman" w:hAnsi="Times New Roman"/>
          <w:i/>
          <w:iCs/>
          <w:lang w:val="en-HK"/>
        </w:rPr>
        <w:t>in rem</w:t>
      </w:r>
      <w:r w:rsidRPr="00457DA0">
        <w:rPr>
          <w:rFonts w:ascii="Times New Roman" w:hAnsi="Times New Roman"/>
          <w:lang w:val="en-HK"/>
        </w:rPr>
        <w:t xml:space="preserve"> rights, building toward Section V’s patrimony solution.</w:t>
      </w:r>
    </w:p>
    <w:p w14:paraId="34BE3FF9" w14:textId="134EE1A4" w:rsidR="007D491C" w:rsidRPr="00457DA0" w:rsidRDefault="00AA7DDE" w:rsidP="00457DA0">
      <w:pPr>
        <w:spacing w:after="240" w:line="360" w:lineRule="auto"/>
      </w:pPr>
      <w:r w:rsidRPr="00AA7DDE">
        <w:rPr>
          <w:rFonts w:ascii="Times New Roman" w:hAnsi="Times New Roman"/>
          <w:noProof/>
          <w:lang w:val="en-HK"/>
          <w14:ligatures w14:val="standardContextual"/>
        </w:rPr>
        <w:pict w14:anchorId="54331510">
          <v:rect id="_x0000_i1031" alt="" style="width:451.3pt;height:.05pt;mso-width-percent:0;mso-height-percent:0;mso-width-percent:0;mso-height-percent:0" o:hralign="center" o:hrstd="t" o:hr="t" fillcolor="#a0a0a0" stroked="f"/>
        </w:pict>
      </w:r>
    </w:p>
    <w:p w14:paraId="7416AF63" w14:textId="77777777" w:rsidR="00457DA0" w:rsidRPr="00457DA0" w:rsidRDefault="00457DA0" w:rsidP="00457DA0">
      <w:pPr>
        <w:spacing w:after="240" w:line="360" w:lineRule="auto"/>
        <w:outlineLvl w:val="2"/>
        <w:rPr>
          <w:rFonts w:ascii="Times New Roman" w:hAnsi="Times New Roman"/>
          <w:b/>
          <w:bCs/>
          <w:lang w:val="en-HK"/>
        </w:rPr>
      </w:pPr>
      <w:r w:rsidRPr="00457DA0">
        <w:rPr>
          <w:rFonts w:ascii="Times New Roman" w:hAnsi="Times New Roman"/>
          <w:b/>
          <w:bCs/>
          <w:lang w:val="en-HK"/>
        </w:rPr>
        <w:t>Section III: Trust as Agency? (p. 603)</w:t>
      </w:r>
    </w:p>
    <w:p w14:paraId="25536340"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Overview</w:t>
      </w:r>
    </w:p>
    <w:p w14:paraId="0B135283"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 xml:space="preserve">Gretton briefly considers whether trusts can be understood as an agency relationship, where the beneficiary owns the assets and the trustee acts as a contractual manager with extensive powers. He compares this to the Dutch </w:t>
      </w:r>
      <w:proofErr w:type="spellStart"/>
      <w:r w:rsidRPr="00457DA0">
        <w:rPr>
          <w:rFonts w:ascii="Times New Roman" w:hAnsi="Times New Roman"/>
          <w:i/>
          <w:iCs/>
          <w:lang w:val="en-HK"/>
        </w:rPr>
        <w:t>bewind</w:t>
      </w:r>
      <w:proofErr w:type="spellEnd"/>
      <w:r w:rsidRPr="00457DA0">
        <w:rPr>
          <w:rFonts w:ascii="Times New Roman" w:hAnsi="Times New Roman"/>
          <w:lang w:val="en-HK"/>
        </w:rPr>
        <w:t xml:space="preserve"> and historical Scots law perspectives, but concludes it fails as a trust model because ownership resides with the beneficiary, reversing the trust’s structure.</w:t>
      </w:r>
    </w:p>
    <w:p w14:paraId="7F513145"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Detailed Points</w:t>
      </w:r>
    </w:p>
    <w:p w14:paraId="68DC216B" w14:textId="77777777" w:rsidR="00457DA0" w:rsidRPr="00457DA0" w:rsidRDefault="00457DA0" w:rsidP="00457DA0">
      <w:pPr>
        <w:numPr>
          <w:ilvl w:val="0"/>
          <w:numId w:val="5"/>
        </w:numPr>
        <w:spacing w:after="240" w:line="360" w:lineRule="auto"/>
        <w:rPr>
          <w:rFonts w:ascii="Times New Roman" w:hAnsi="Times New Roman"/>
          <w:lang w:val="en-HK"/>
        </w:rPr>
      </w:pPr>
      <w:r w:rsidRPr="00457DA0">
        <w:rPr>
          <w:rFonts w:ascii="Times New Roman" w:hAnsi="Times New Roman"/>
          <w:b/>
          <w:bCs/>
          <w:lang w:val="en-HK"/>
        </w:rPr>
        <w:t>Agency Conceptualization</w:t>
      </w:r>
      <w:r w:rsidRPr="00457DA0">
        <w:rPr>
          <w:rFonts w:ascii="Times New Roman" w:hAnsi="Times New Roman"/>
          <w:lang w:val="en-HK"/>
        </w:rPr>
        <w:t xml:space="preserve"> </w:t>
      </w:r>
    </w:p>
    <w:p w14:paraId="5FFB01BA"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lastRenderedPageBreak/>
        <w:t>Proposed Model</w:t>
      </w:r>
      <w:r w:rsidRPr="00457DA0">
        <w:rPr>
          <w:rFonts w:ascii="Times New Roman" w:hAnsi="Times New Roman"/>
          <w:lang w:val="en-HK"/>
        </w:rPr>
        <w:t>: Imagine a trust where the "beneficiary" holds legal title (ownership), and the "trustee" is granted broad contractual powers, including alienation (selling/transferring assets), akin to an agent or mandatary.</w:t>
      </w:r>
    </w:p>
    <w:p w14:paraId="3B7E2013"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Mandate Without Representation</w:t>
      </w:r>
      <w:r w:rsidRPr="00457DA0">
        <w:rPr>
          <w:rFonts w:ascii="Times New Roman" w:hAnsi="Times New Roman"/>
          <w:lang w:val="en-HK"/>
        </w:rPr>
        <w:t>: This resembles a mandate (agency) where the mandatary acts in their own name, not the principal’s, managing assets for the owner’s benefit.</w:t>
      </w:r>
    </w:p>
    <w:p w14:paraId="70A15B21"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Insolvency Effect</w:t>
      </w:r>
      <w:r w:rsidRPr="00457DA0">
        <w:rPr>
          <w:rFonts w:ascii="Times New Roman" w:hAnsi="Times New Roman"/>
          <w:lang w:val="en-HK"/>
        </w:rPr>
        <w:t>: This setup explains why trustee creditors can’t access the assets—they belong to the beneficiary, not the trustee, mirroring the trust’s protection against insolvency.</w:t>
      </w:r>
    </w:p>
    <w:p w14:paraId="79320635" w14:textId="77777777" w:rsidR="00457DA0" w:rsidRPr="00457DA0" w:rsidRDefault="00457DA0" w:rsidP="00457DA0">
      <w:pPr>
        <w:numPr>
          <w:ilvl w:val="0"/>
          <w:numId w:val="5"/>
        </w:numPr>
        <w:spacing w:after="240" w:line="360" w:lineRule="auto"/>
        <w:rPr>
          <w:rFonts w:ascii="Times New Roman" w:hAnsi="Times New Roman"/>
          <w:lang w:val="en-HK"/>
        </w:rPr>
      </w:pPr>
      <w:r w:rsidRPr="00457DA0">
        <w:rPr>
          <w:rFonts w:ascii="Times New Roman" w:hAnsi="Times New Roman"/>
          <w:b/>
          <w:bCs/>
          <w:lang w:val="en-HK"/>
        </w:rPr>
        <w:t xml:space="preserve">Civil Law Parallel: </w:t>
      </w:r>
      <w:proofErr w:type="spellStart"/>
      <w:r w:rsidRPr="00457DA0">
        <w:rPr>
          <w:rFonts w:ascii="Times New Roman" w:hAnsi="Times New Roman"/>
          <w:b/>
          <w:bCs/>
          <w:lang w:val="en-HK"/>
        </w:rPr>
        <w:t>Bewind</w:t>
      </w:r>
      <w:proofErr w:type="spellEnd"/>
      <w:r w:rsidRPr="00457DA0">
        <w:rPr>
          <w:rFonts w:ascii="Times New Roman" w:hAnsi="Times New Roman"/>
          <w:lang w:val="en-HK"/>
        </w:rPr>
        <w:t xml:space="preserve"> </w:t>
      </w:r>
    </w:p>
    <w:p w14:paraId="0F251DD0"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 xml:space="preserve">Dutch </w:t>
      </w:r>
      <w:proofErr w:type="spellStart"/>
      <w:r w:rsidRPr="00457DA0">
        <w:rPr>
          <w:rFonts w:ascii="Times New Roman" w:hAnsi="Times New Roman"/>
          <w:b/>
          <w:bCs/>
          <w:lang w:val="en-HK"/>
        </w:rPr>
        <w:t>Bewind</w:t>
      </w:r>
      <w:proofErr w:type="spellEnd"/>
      <w:r w:rsidRPr="00457DA0">
        <w:rPr>
          <w:rFonts w:ascii="Times New Roman" w:hAnsi="Times New Roman"/>
          <w:lang w:val="en-HK"/>
        </w:rPr>
        <w:t xml:space="preserve">: In Dutch and Roman-Dutch law (e.g., South Africa), </w:t>
      </w:r>
      <w:proofErr w:type="spellStart"/>
      <w:r w:rsidRPr="00457DA0">
        <w:rPr>
          <w:rFonts w:ascii="Times New Roman" w:hAnsi="Times New Roman"/>
          <w:i/>
          <w:iCs/>
          <w:lang w:val="en-HK"/>
        </w:rPr>
        <w:t>bewind</w:t>
      </w:r>
      <w:proofErr w:type="spellEnd"/>
      <w:r w:rsidRPr="00457DA0">
        <w:rPr>
          <w:rFonts w:ascii="Times New Roman" w:hAnsi="Times New Roman"/>
          <w:lang w:val="en-HK"/>
        </w:rPr>
        <w:t xml:space="preserve"> formalizes this idea: </w:t>
      </w:r>
    </w:p>
    <w:p w14:paraId="1DF56019" w14:textId="77777777" w:rsidR="00457DA0" w:rsidRPr="00457DA0" w:rsidRDefault="00457DA0" w:rsidP="00457DA0">
      <w:pPr>
        <w:numPr>
          <w:ilvl w:val="2"/>
          <w:numId w:val="5"/>
        </w:numPr>
        <w:spacing w:after="240" w:line="360" w:lineRule="auto"/>
        <w:rPr>
          <w:rFonts w:ascii="Times New Roman" w:hAnsi="Times New Roman"/>
          <w:lang w:val="en-HK"/>
        </w:rPr>
      </w:pPr>
      <w:r w:rsidRPr="00457DA0">
        <w:rPr>
          <w:rFonts w:ascii="Times New Roman" w:hAnsi="Times New Roman"/>
          <w:lang w:val="en-HK"/>
        </w:rPr>
        <w:t xml:space="preserve">Ownership vests in the beneficiary; the </w:t>
      </w:r>
      <w:proofErr w:type="spellStart"/>
      <w:r w:rsidRPr="00457DA0">
        <w:rPr>
          <w:rFonts w:ascii="Times New Roman" w:hAnsi="Times New Roman"/>
          <w:i/>
          <w:iCs/>
          <w:lang w:val="en-HK"/>
        </w:rPr>
        <w:t>bewindvoerder</w:t>
      </w:r>
      <w:proofErr w:type="spellEnd"/>
      <w:r w:rsidRPr="00457DA0">
        <w:rPr>
          <w:rFonts w:ascii="Times New Roman" w:hAnsi="Times New Roman"/>
          <w:lang w:val="en-HK"/>
        </w:rPr>
        <w:t xml:space="preserve"> (administrator) manages under a contractual mandate.</w:t>
      </w:r>
    </w:p>
    <w:p w14:paraId="69746703" w14:textId="77777777" w:rsidR="00457DA0" w:rsidRPr="00457DA0" w:rsidRDefault="00457DA0" w:rsidP="00457DA0">
      <w:pPr>
        <w:numPr>
          <w:ilvl w:val="2"/>
          <w:numId w:val="5"/>
        </w:numPr>
        <w:spacing w:after="240" w:line="360" w:lineRule="auto"/>
        <w:rPr>
          <w:rFonts w:ascii="Times New Roman" w:hAnsi="Times New Roman"/>
          <w:lang w:val="en-HK"/>
        </w:rPr>
      </w:pPr>
      <w:r w:rsidRPr="00457DA0">
        <w:rPr>
          <w:rFonts w:ascii="Times New Roman" w:hAnsi="Times New Roman"/>
          <w:lang w:val="en-HK"/>
        </w:rPr>
        <w:t>Assets are insulated from the administrator’s creditors because they’re not the administrator’s property.</w:t>
      </w:r>
    </w:p>
    <w:p w14:paraId="31A0C651"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Footnote 28</w:t>
      </w:r>
      <w:r w:rsidRPr="00457DA0">
        <w:rPr>
          <w:rFonts w:ascii="Times New Roman" w:hAnsi="Times New Roman"/>
          <w:lang w:val="en-HK"/>
        </w:rPr>
        <w:t xml:space="preserve">: Notes </w:t>
      </w:r>
      <w:proofErr w:type="spellStart"/>
      <w:r w:rsidRPr="00457DA0">
        <w:rPr>
          <w:rFonts w:ascii="Times New Roman" w:hAnsi="Times New Roman"/>
          <w:i/>
          <w:iCs/>
          <w:lang w:val="en-HK"/>
        </w:rPr>
        <w:t>bewind</w:t>
      </w:r>
      <w:r w:rsidRPr="00457DA0">
        <w:rPr>
          <w:rFonts w:ascii="Times New Roman" w:hAnsi="Times New Roman"/>
          <w:lang w:val="en-HK"/>
        </w:rPr>
        <w:t>’s</w:t>
      </w:r>
      <w:proofErr w:type="spellEnd"/>
      <w:r w:rsidRPr="00457DA0">
        <w:rPr>
          <w:rFonts w:ascii="Times New Roman" w:hAnsi="Times New Roman"/>
          <w:lang w:val="en-HK"/>
        </w:rPr>
        <w:t xml:space="preserve"> limited practical use in the Netherlands and South Africa, and cites Lord Watson’s maverick view in </w:t>
      </w:r>
      <w:r w:rsidRPr="00457DA0">
        <w:rPr>
          <w:rFonts w:ascii="Times New Roman" w:hAnsi="Times New Roman"/>
          <w:i/>
          <w:iCs/>
          <w:lang w:val="en-HK"/>
        </w:rPr>
        <w:t>Heritable Reversionary Co. v. Millar</w:t>
      </w:r>
      <w:r w:rsidRPr="00457DA0">
        <w:rPr>
          <w:rFonts w:ascii="Times New Roman" w:hAnsi="Times New Roman"/>
          <w:lang w:val="en-HK"/>
        </w:rPr>
        <w:t xml:space="preserve"> (1892) that Scots trusts resemble </w:t>
      </w:r>
      <w:proofErr w:type="spellStart"/>
      <w:r w:rsidRPr="00457DA0">
        <w:rPr>
          <w:rFonts w:ascii="Times New Roman" w:hAnsi="Times New Roman"/>
          <w:i/>
          <w:iCs/>
          <w:lang w:val="en-HK"/>
        </w:rPr>
        <w:t>bewind</w:t>
      </w:r>
      <w:proofErr w:type="spellEnd"/>
      <w:r w:rsidRPr="00457DA0">
        <w:rPr>
          <w:rFonts w:ascii="Times New Roman" w:hAnsi="Times New Roman"/>
          <w:lang w:val="en-HK"/>
        </w:rPr>
        <w:t xml:space="preserve"> (beneficiaries as owners), a view Gretton dismisses as unorthodox. Austrian </w:t>
      </w:r>
      <w:proofErr w:type="spellStart"/>
      <w:r w:rsidRPr="00457DA0">
        <w:rPr>
          <w:rFonts w:ascii="Times New Roman" w:hAnsi="Times New Roman"/>
          <w:i/>
          <w:iCs/>
          <w:lang w:val="en-HK"/>
        </w:rPr>
        <w:t>Ermächtigungsstreuhand</w:t>
      </w:r>
      <w:proofErr w:type="spellEnd"/>
      <w:r w:rsidRPr="00457DA0">
        <w:rPr>
          <w:rFonts w:ascii="Times New Roman" w:hAnsi="Times New Roman"/>
          <w:lang w:val="en-HK"/>
        </w:rPr>
        <w:t xml:space="preserve"> is a similar concept (see Apathy’s </w:t>
      </w:r>
      <w:r w:rsidRPr="00457DA0">
        <w:rPr>
          <w:rFonts w:ascii="Times New Roman" w:hAnsi="Times New Roman"/>
          <w:i/>
          <w:iCs/>
          <w:lang w:val="en-HK"/>
        </w:rPr>
        <w:t xml:space="preserve">Die </w:t>
      </w:r>
      <w:proofErr w:type="spellStart"/>
      <w:r w:rsidRPr="00457DA0">
        <w:rPr>
          <w:rFonts w:ascii="Times New Roman" w:hAnsi="Times New Roman"/>
          <w:i/>
          <w:iCs/>
          <w:lang w:val="en-HK"/>
        </w:rPr>
        <w:t>Treuhandschaft</w:t>
      </w:r>
      <w:proofErr w:type="spellEnd"/>
      <w:r w:rsidRPr="00457DA0">
        <w:rPr>
          <w:rFonts w:ascii="Times New Roman" w:hAnsi="Times New Roman"/>
          <w:lang w:val="en-HK"/>
        </w:rPr>
        <w:t>).</w:t>
      </w:r>
    </w:p>
    <w:p w14:paraId="7FE4DE4C" w14:textId="77777777" w:rsidR="00457DA0" w:rsidRPr="00457DA0" w:rsidRDefault="00457DA0" w:rsidP="00457DA0">
      <w:pPr>
        <w:numPr>
          <w:ilvl w:val="0"/>
          <w:numId w:val="5"/>
        </w:numPr>
        <w:spacing w:after="240" w:line="360" w:lineRule="auto"/>
        <w:rPr>
          <w:rFonts w:ascii="Times New Roman" w:hAnsi="Times New Roman"/>
          <w:lang w:val="en-HK"/>
        </w:rPr>
      </w:pPr>
      <w:r w:rsidRPr="00457DA0">
        <w:rPr>
          <w:rFonts w:ascii="Times New Roman" w:hAnsi="Times New Roman"/>
          <w:b/>
          <w:bCs/>
          <w:lang w:val="en-HK"/>
        </w:rPr>
        <w:t>Historical Scots Law Context</w:t>
      </w:r>
      <w:r w:rsidRPr="00457DA0">
        <w:rPr>
          <w:rFonts w:ascii="Times New Roman" w:hAnsi="Times New Roman"/>
          <w:lang w:val="en-HK"/>
        </w:rPr>
        <w:t xml:space="preserve"> </w:t>
      </w:r>
    </w:p>
    <w:p w14:paraId="0A3117C1"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17th-18th Century View</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27 references Scots jurists (Stair, </w:t>
      </w:r>
      <w:proofErr w:type="spellStart"/>
      <w:r w:rsidRPr="00457DA0">
        <w:rPr>
          <w:rFonts w:ascii="Times New Roman" w:hAnsi="Times New Roman"/>
          <w:lang w:val="en-HK"/>
        </w:rPr>
        <w:t>Bankton</w:t>
      </w:r>
      <w:proofErr w:type="spellEnd"/>
      <w:r w:rsidRPr="00457DA0">
        <w:rPr>
          <w:rFonts w:ascii="Times New Roman" w:hAnsi="Times New Roman"/>
          <w:lang w:val="en-HK"/>
        </w:rPr>
        <w:t xml:space="preserve">, Erskine) describing trusts as a blend of </w:t>
      </w:r>
      <w:r w:rsidRPr="00457DA0">
        <w:rPr>
          <w:rFonts w:ascii="Times New Roman" w:hAnsi="Times New Roman"/>
          <w:i/>
          <w:iCs/>
          <w:lang w:val="en-HK"/>
        </w:rPr>
        <w:t>depositum</w:t>
      </w:r>
      <w:r w:rsidRPr="00457DA0">
        <w:rPr>
          <w:rFonts w:ascii="Times New Roman" w:hAnsi="Times New Roman"/>
          <w:lang w:val="en-HK"/>
        </w:rPr>
        <w:t xml:space="preserve"> (deposit of ownership, not possession) and </w:t>
      </w:r>
      <w:proofErr w:type="spellStart"/>
      <w:r w:rsidRPr="00457DA0">
        <w:rPr>
          <w:rFonts w:ascii="Times New Roman" w:hAnsi="Times New Roman"/>
          <w:i/>
          <w:iCs/>
          <w:lang w:val="en-HK"/>
        </w:rPr>
        <w:t>mandatum</w:t>
      </w:r>
      <w:proofErr w:type="spellEnd"/>
      <w:r w:rsidRPr="00457DA0">
        <w:rPr>
          <w:rFonts w:ascii="Times New Roman" w:hAnsi="Times New Roman"/>
          <w:lang w:val="en-HK"/>
        </w:rPr>
        <w:t xml:space="preserve"> (mandate), suggesting early Scots law saw beneficiaries as owners and trustees as agents.</w:t>
      </w:r>
    </w:p>
    <w:p w14:paraId="1868EA42"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Shift</w:t>
      </w:r>
      <w:r w:rsidRPr="00457DA0">
        <w:rPr>
          <w:rFonts w:ascii="Times New Roman" w:hAnsi="Times New Roman"/>
          <w:lang w:val="en-HK"/>
        </w:rPr>
        <w:t>: Modern Scots law moved away from this, vesting ownership in trustees, aligning with trust orthodoxy.</w:t>
      </w:r>
    </w:p>
    <w:p w14:paraId="0BEFA0B9" w14:textId="77777777" w:rsidR="00457DA0" w:rsidRPr="00457DA0" w:rsidRDefault="00457DA0" w:rsidP="00457DA0">
      <w:pPr>
        <w:numPr>
          <w:ilvl w:val="0"/>
          <w:numId w:val="5"/>
        </w:numPr>
        <w:spacing w:after="240" w:line="360" w:lineRule="auto"/>
        <w:rPr>
          <w:rFonts w:ascii="Times New Roman" w:hAnsi="Times New Roman"/>
          <w:lang w:val="en-HK"/>
        </w:rPr>
      </w:pPr>
      <w:r w:rsidRPr="00457DA0">
        <w:rPr>
          <w:rFonts w:ascii="Times New Roman" w:hAnsi="Times New Roman"/>
          <w:b/>
          <w:bCs/>
          <w:lang w:val="en-HK"/>
        </w:rPr>
        <w:t>Rejection as a Trust</w:t>
      </w:r>
      <w:r w:rsidRPr="00457DA0">
        <w:rPr>
          <w:rFonts w:ascii="Times New Roman" w:hAnsi="Times New Roman"/>
          <w:lang w:val="en-HK"/>
        </w:rPr>
        <w:t xml:space="preserve"> </w:t>
      </w:r>
    </w:p>
    <w:p w14:paraId="02F59C46"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lastRenderedPageBreak/>
        <w:t>Key Difference</w:t>
      </w:r>
      <w:r w:rsidRPr="00457DA0">
        <w:rPr>
          <w:rFonts w:ascii="Times New Roman" w:hAnsi="Times New Roman"/>
          <w:lang w:val="en-HK"/>
        </w:rPr>
        <w:t xml:space="preserve">: In a trust, the trustee holds legal title, and the beneficiary has rights against the trustee, not ownership. In </w:t>
      </w:r>
      <w:proofErr w:type="spellStart"/>
      <w:r w:rsidRPr="00457DA0">
        <w:rPr>
          <w:rFonts w:ascii="Times New Roman" w:hAnsi="Times New Roman"/>
          <w:i/>
          <w:iCs/>
          <w:lang w:val="en-HK"/>
        </w:rPr>
        <w:t>bewind</w:t>
      </w:r>
      <w:proofErr w:type="spellEnd"/>
      <w:r w:rsidRPr="00457DA0">
        <w:rPr>
          <w:rFonts w:ascii="Times New Roman" w:hAnsi="Times New Roman"/>
          <w:lang w:val="en-HK"/>
        </w:rPr>
        <w:t>, this is inverted—beneficiary ownership contradicts the trust’s essence.</w:t>
      </w:r>
    </w:p>
    <w:p w14:paraId="2378CC59"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South African Nuance</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29 notes South Africa’s </w:t>
      </w:r>
      <w:r w:rsidRPr="00457DA0">
        <w:rPr>
          <w:rFonts w:ascii="Times New Roman" w:hAnsi="Times New Roman"/>
          <w:i/>
          <w:iCs/>
          <w:lang w:val="en-HK"/>
        </w:rPr>
        <w:t>Trust Property Control Act 1988</w:t>
      </w:r>
      <w:r w:rsidRPr="00457DA0">
        <w:rPr>
          <w:rFonts w:ascii="Times New Roman" w:hAnsi="Times New Roman"/>
          <w:lang w:val="en-HK"/>
        </w:rPr>
        <w:t xml:space="preserve"> classifies </w:t>
      </w:r>
      <w:proofErr w:type="spellStart"/>
      <w:r w:rsidRPr="00457DA0">
        <w:rPr>
          <w:rFonts w:ascii="Times New Roman" w:hAnsi="Times New Roman"/>
          <w:i/>
          <w:iCs/>
          <w:lang w:val="en-HK"/>
        </w:rPr>
        <w:t>bewind</w:t>
      </w:r>
      <w:proofErr w:type="spellEnd"/>
      <w:r w:rsidRPr="00457DA0">
        <w:rPr>
          <w:rFonts w:ascii="Times New Roman" w:hAnsi="Times New Roman"/>
          <w:lang w:val="en-HK"/>
        </w:rPr>
        <w:t xml:space="preserve"> as a trust variant, prioritizing control over ownership (see </w:t>
      </w:r>
      <w:proofErr w:type="spellStart"/>
      <w:r w:rsidRPr="00457DA0">
        <w:rPr>
          <w:rFonts w:ascii="Times New Roman" w:hAnsi="Times New Roman"/>
          <w:lang w:val="en-HK"/>
        </w:rPr>
        <w:t>Hahlo</w:t>
      </w:r>
      <w:proofErr w:type="spellEnd"/>
      <w:r w:rsidRPr="00457DA0">
        <w:rPr>
          <w:rFonts w:ascii="Times New Roman" w:hAnsi="Times New Roman"/>
          <w:lang w:val="en-HK"/>
        </w:rPr>
        <w:t>), but Gretton argues control alone (e.g., company directors) doesn’t make a trust—ownership matters.</w:t>
      </w:r>
    </w:p>
    <w:p w14:paraId="6C443E89"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Key Insight</w:t>
      </w:r>
    </w:p>
    <w:p w14:paraId="111FF433"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The agency model (</w:t>
      </w:r>
      <w:proofErr w:type="spellStart"/>
      <w:r w:rsidRPr="00457DA0">
        <w:rPr>
          <w:rFonts w:ascii="Times New Roman" w:hAnsi="Times New Roman"/>
          <w:i/>
          <w:iCs/>
          <w:lang w:val="en-HK"/>
        </w:rPr>
        <w:t>bewind</w:t>
      </w:r>
      <w:proofErr w:type="spellEnd"/>
      <w:r w:rsidRPr="00457DA0">
        <w:rPr>
          <w:rFonts w:ascii="Times New Roman" w:hAnsi="Times New Roman"/>
          <w:lang w:val="en-HK"/>
        </w:rPr>
        <w:t>) mimics the trust’s insolvency effect by placing ownership with the beneficiary, but it’s not a trust because it reverses the title structure. Scots law’s evolution away from this view reinforces that trusts require trustee ownership, pushing Gretton toward a different explanation (patrimony).</w:t>
      </w:r>
    </w:p>
    <w:p w14:paraId="11E807B2" w14:textId="77777777" w:rsidR="00457DA0" w:rsidRPr="00457DA0" w:rsidRDefault="00AA7DDE" w:rsidP="00457DA0">
      <w:pPr>
        <w:spacing w:after="240" w:line="360" w:lineRule="auto"/>
        <w:rPr>
          <w:rFonts w:ascii="Times New Roman" w:hAnsi="Times New Roman"/>
          <w:lang w:val="en-HK"/>
        </w:rPr>
      </w:pPr>
      <w:r w:rsidRPr="00AA7DDE">
        <w:rPr>
          <w:rFonts w:ascii="Times New Roman" w:hAnsi="Times New Roman"/>
          <w:noProof/>
          <w:lang w:val="en-HK"/>
          <w14:ligatures w14:val="standardContextual"/>
        </w:rPr>
        <w:pict w14:anchorId="2009FF7E">
          <v:rect id="_x0000_i1030" alt="" style="width:451.3pt;height:.05pt;mso-width-percent:0;mso-height-percent:0;mso-width-percent:0;mso-height-percent:0" o:hralign="center" o:hrstd="t" o:hr="t" fillcolor="#a0a0a0" stroked="f"/>
        </w:pict>
      </w:r>
    </w:p>
    <w:p w14:paraId="0D7BEFDD" w14:textId="77777777" w:rsidR="00457DA0" w:rsidRPr="00457DA0" w:rsidRDefault="00457DA0" w:rsidP="00457DA0">
      <w:pPr>
        <w:spacing w:after="240" w:line="360" w:lineRule="auto"/>
        <w:outlineLvl w:val="2"/>
        <w:rPr>
          <w:rFonts w:ascii="Times New Roman" w:hAnsi="Times New Roman"/>
          <w:b/>
          <w:bCs/>
          <w:lang w:val="en-HK"/>
        </w:rPr>
      </w:pPr>
      <w:r w:rsidRPr="00457DA0">
        <w:rPr>
          <w:rFonts w:ascii="Times New Roman" w:hAnsi="Times New Roman"/>
          <w:b/>
          <w:bCs/>
          <w:lang w:val="en-HK"/>
        </w:rPr>
        <w:t>Section IV: Do the Beneficiaries Have Rights in Rem? (pp. 603-609)</w:t>
      </w:r>
    </w:p>
    <w:p w14:paraId="66ADAD9A"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Overview</w:t>
      </w:r>
    </w:p>
    <w:p w14:paraId="2FE9CF41"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 xml:space="preserve">Gretton critically examines the common law claim that trust beneficiaries hold </w:t>
      </w:r>
      <w:r w:rsidRPr="00457DA0">
        <w:rPr>
          <w:rFonts w:ascii="Times New Roman" w:hAnsi="Times New Roman"/>
          <w:i/>
          <w:iCs/>
          <w:lang w:val="en-HK"/>
        </w:rPr>
        <w:t>in rem</w:t>
      </w:r>
      <w:r w:rsidRPr="00457DA0">
        <w:rPr>
          <w:rFonts w:ascii="Times New Roman" w:hAnsi="Times New Roman"/>
          <w:lang w:val="en-HK"/>
        </w:rPr>
        <w:t xml:space="preserve"> (real/property) rights, splitting ownership with the trustee’s legal title. Using Scots law and a civilian perspective, he lists nine objections to argue these rights are personal, not real, undermining the equity-based “divided ownership” narrative. The section bridges to his patrimony thesis by questioning the necessity of proprietary status.</w:t>
      </w:r>
    </w:p>
    <w:p w14:paraId="37C0B014"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Detailed Points</w:t>
      </w:r>
    </w:p>
    <w:p w14:paraId="762FC355" w14:textId="77777777" w:rsidR="00457DA0" w:rsidRPr="00457DA0" w:rsidRDefault="00457DA0" w:rsidP="00457DA0">
      <w:pPr>
        <w:numPr>
          <w:ilvl w:val="0"/>
          <w:numId w:val="6"/>
        </w:numPr>
        <w:spacing w:after="240" w:line="360" w:lineRule="auto"/>
        <w:rPr>
          <w:rFonts w:ascii="Times New Roman" w:hAnsi="Times New Roman"/>
          <w:lang w:val="en-HK"/>
        </w:rPr>
      </w:pPr>
      <w:r w:rsidRPr="00457DA0">
        <w:rPr>
          <w:rFonts w:ascii="Times New Roman" w:hAnsi="Times New Roman"/>
          <w:b/>
          <w:bCs/>
          <w:lang w:val="en-HK"/>
        </w:rPr>
        <w:t>Common Law Assertions</w:t>
      </w:r>
      <w:r w:rsidRPr="00457DA0">
        <w:rPr>
          <w:rFonts w:ascii="Times New Roman" w:hAnsi="Times New Roman"/>
          <w:lang w:val="en-HK"/>
        </w:rPr>
        <w:t xml:space="preserve"> </w:t>
      </w:r>
    </w:p>
    <w:p w14:paraId="21658C71" w14:textId="77777777" w:rsidR="00457DA0" w:rsidRPr="00457DA0" w:rsidRDefault="00457DA0" w:rsidP="00457DA0">
      <w:pPr>
        <w:spacing w:after="240" w:line="360" w:lineRule="auto"/>
        <w:rPr>
          <w:rFonts w:ascii="Times New Roman" w:hAnsi="Times New Roman"/>
          <w:lang w:val="en-HK"/>
        </w:rPr>
      </w:pPr>
      <w:proofErr w:type="spellStart"/>
      <w:r w:rsidRPr="00457DA0">
        <w:rPr>
          <w:rFonts w:ascii="Times New Roman" w:hAnsi="Times New Roman"/>
          <w:b/>
          <w:bCs/>
          <w:lang w:val="en-HK"/>
        </w:rPr>
        <w:t>Fratcher</w:t>
      </w:r>
      <w:proofErr w:type="spellEnd"/>
      <w:r w:rsidRPr="00457DA0">
        <w:rPr>
          <w:rFonts w:ascii="Times New Roman" w:hAnsi="Times New Roman"/>
          <w:lang w:val="en-HK"/>
        </w:rPr>
        <w:t xml:space="preserve">: </w:t>
      </w:r>
      <w:r w:rsidRPr="00457DA0">
        <w:rPr>
          <w:rFonts w:ascii="Times New Roman" w:hAnsi="Times New Roman"/>
          <w:i/>
          <w:iCs/>
          <w:lang w:val="en-HK"/>
        </w:rPr>
        <w:t>International Encyclopaedia</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30) claims trusts split ownership into trustee (legal) and beneficiary (equitable) </w:t>
      </w:r>
      <w:r w:rsidRPr="00457DA0">
        <w:rPr>
          <w:rFonts w:ascii="Times New Roman" w:hAnsi="Times New Roman"/>
          <w:i/>
          <w:iCs/>
          <w:lang w:val="en-HK"/>
        </w:rPr>
        <w:t>in rem</w:t>
      </w:r>
      <w:r w:rsidRPr="00457DA0">
        <w:rPr>
          <w:rFonts w:ascii="Times New Roman" w:hAnsi="Times New Roman"/>
          <w:lang w:val="en-HK"/>
        </w:rPr>
        <w:t xml:space="preserve"> interests.</w:t>
      </w:r>
    </w:p>
    <w:p w14:paraId="4FC98891"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Privy Council</w:t>
      </w:r>
      <w:r w:rsidRPr="00457DA0">
        <w:rPr>
          <w:rFonts w:ascii="Times New Roman" w:hAnsi="Times New Roman"/>
          <w:lang w:val="en-HK"/>
        </w:rPr>
        <w:t xml:space="preserve">: </w:t>
      </w:r>
      <w:r w:rsidRPr="00457DA0">
        <w:rPr>
          <w:rFonts w:ascii="Times New Roman" w:hAnsi="Times New Roman"/>
          <w:i/>
          <w:iCs/>
          <w:lang w:val="en-HK"/>
        </w:rPr>
        <w:t xml:space="preserve">Abdul Hameed </w:t>
      </w:r>
      <w:proofErr w:type="spellStart"/>
      <w:r w:rsidRPr="00457DA0">
        <w:rPr>
          <w:rFonts w:ascii="Times New Roman" w:hAnsi="Times New Roman"/>
          <w:i/>
          <w:iCs/>
          <w:lang w:val="en-HK"/>
        </w:rPr>
        <w:t>Sitti</w:t>
      </w:r>
      <w:proofErr w:type="spellEnd"/>
      <w:r w:rsidRPr="00457DA0">
        <w:rPr>
          <w:rFonts w:ascii="Times New Roman" w:hAnsi="Times New Roman"/>
          <w:i/>
          <w:iCs/>
          <w:lang w:val="en-HK"/>
        </w:rPr>
        <w:t xml:space="preserve"> </w:t>
      </w:r>
      <w:proofErr w:type="spellStart"/>
      <w:r w:rsidRPr="00457DA0">
        <w:rPr>
          <w:rFonts w:ascii="Times New Roman" w:hAnsi="Times New Roman"/>
          <w:i/>
          <w:iCs/>
          <w:lang w:val="en-HK"/>
        </w:rPr>
        <w:t>Kadija</w:t>
      </w:r>
      <w:proofErr w:type="spellEnd"/>
      <w:r w:rsidRPr="00457DA0">
        <w:rPr>
          <w:rFonts w:ascii="Times New Roman" w:hAnsi="Times New Roman"/>
          <w:i/>
          <w:iCs/>
          <w:lang w:val="en-HK"/>
        </w:rPr>
        <w:t xml:space="preserve"> v. De </w:t>
      </w:r>
      <w:proofErr w:type="spellStart"/>
      <w:r w:rsidRPr="00457DA0">
        <w:rPr>
          <w:rFonts w:ascii="Times New Roman" w:hAnsi="Times New Roman"/>
          <w:i/>
          <w:iCs/>
          <w:lang w:val="en-HK"/>
        </w:rPr>
        <w:t>Saram</w:t>
      </w:r>
      <w:proofErr w:type="spellEnd"/>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31) asserts the legal/equitable split is trust’s essence.</w:t>
      </w:r>
    </w:p>
    <w:p w14:paraId="01890164"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lastRenderedPageBreak/>
        <w:t>Amos and Garrigues</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32 and 33 echo dual ownership as essential, with Garrigues calling it “formal vs. </w:t>
      </w:r>
      <w:proofErr w:type="spellStart"/>
      <w:r w:rsidRPr="00457DA0">
        <w:rPr>
          <w:rFonts w:ascii="Times New Roman" w:hAnsi="Times New Roman"/>
          <w:lang w:val="en-HK"/>
        </w:rPr>
        <w:t>bonitary</w:t>
      </w:r>
      <w:proofErr w:type="spellEnd"/>
      <w:r w:rsidRPr="00457DA0">
        <w:rPr>
          <w:rFonts w:ascii="Times New Roman" w:hAnsi="Times New Roman"/>
          <w:lang w:val="en-HK"/>
        </w:rPr>
        <w:t>” ownership.</w:t>
      </w:r>
    </w:p>
    <w:p w14:paraId="0006FD39"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Civilian Barrier</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34 (</w:t>
      </w:r>
      <w:proofErr w:type="spellStart"/>
      <w:r w:rsidRPr="00457DA0">
        <w:rPr>
          <w:rFonts w:ascii="Times New Roman" w:hAnsi="Times New Roman"/>
          <w:lang w:val="en-HK"/>
        </w:rPr>
        <w:t>Bolgar</w:t>
      </w:r>
      <w:proofErr w:type="spellEnd"/>
      <w:r w:rsidRPr="00457DA0">
        <w:rPr>
          <w:rFonts w:ascii="Times New Roman" w:hAnsi="Times New Roman"/>
          <w:lang w:val="en-HK"/>
        </w:rPr>
        <w:t>) suggests indivisible ownership in civil law blocks trust acceptance.</w:t>
      </w:r>
    </w:p>
    <w:p w14:paraId="272D2769" w14:textId="77777777" w:rsidR="00457DA0" w:rsidRPr="00457DA0" w:rsidRDefault="00457DA0" w:rsidP="00457DA0">
      <w:pPr>
        <w:numPr>
          <w:ilvl w:val="0"/>
          <w:numId w:val="6"/>
        </w:numPr>
        <w:spacing w:after="240" w:line="360" w:lineRule="auto"/>
        <w:rPr>
          <w:rFonts w:ascii="Times New Roman" w:hAnsi="Times New Roman"/>
          <w:lang w:val="en-HK"/>
        </w:rPr>
      </w:pPr>
      <w:r w:rsidRPr="00457DA0">
        <w:rPr>
          <w:rFonts w:ascii="Times New Roman" w:hAnsi="Times New Roman"/>
          <w:b/>
          <w:bCs/>
          <w:lang w:val="en-HK"/>
        </w:rPr>
        <w:t>Levels of Inquiry</w:t>
      </w:r>
      <w:r w:rsidRPr="00457DA0">
        <w:rPr>
          <w:rFonts w:ascii="Times New Roman" w:hAnsi="Times New Roman"/>
          <w:lang w:val="en-HK"/>
        </w:rPr>
        <w:t xml:space="preserve"> </w:t>
      </w:r>
    </w:p>
    <w:p w14:paraId="0A4DB2DC"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Common Law View</w:t>
      </w:r>
      <w:r w:rsidRPr="00457DA0">
        <w:rPr>
          <w:rFonts w:ascii="Times New Roman" w:hAnsi="Times New Roman"/>
          <w:lang w:val="en-HK"/>
        </w:rPr>
        <w:t>: Within common law, beneficiaries’ rights are proprietary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35 cites Maitland’s ambivalence—real yet obligational roots), though doubters exist.</w:t>
      </w:r>
    </w:p>
    <w:p w14:paraId="61D368C4"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System-Neutral Need</w:t>
      </w:r>
      <w:r w:rsidRPr="00457DA0">
        <w:rPr>
          <w:rFonts w:ascii="Times New Roman" w:hAnsi="Times New Roman"/>
          <w:lang w:val="en-HK"/>
        </w:rPr>
        <w:t>: Gretton seeks a broader understanding for cross-jurisdictional dialogue, especially in the EU, rejecting a “heaven of concepts” (</w:t>
      </w:r>
      <w:proofErr w:type="spellStart"/>
      <w:r w:rsidRPr="00457DA0">
        <w:rPr>
          <w:rFonts w:ascii="Times New Roman" w:hAnsi="Times New Roman"/>
          <w:lang w:val="en-HK"/>
        </w:rPr>
        <w:t>Begriffshimmel</w:t>
      </w:r>
      <w:proofErr w:type="spellEnd"/>
      <w:r w:rsidRPr="00457DA0">
        <w:rPr>
          <w:rFonts w:ascii="Times New Roman" w:hAnsi="Times New Roman"/>
          <w:lang w:val="en-HK"/>
        </w:rPr>
        <w:t>) but advocating shared legal ideas.</w:t>
      </w:r>
    </w:p>
    <w:p w14:paraId="06670A4D" w14:textId="77777777" w:rsidR="00457DA0" w:rsidRPr="00457DA0" w:rsidRDefault="00457DA0" w:rsidP="00457DA0">
      <w:pPr>
        <w:numPr>
          <w:ilvl w:val="0"/>
          <w:numId w:val="6"/>
        </w:numPr>
        <w:spacing w:after="240" w:line="360" w:lineRule="auto"/>
        <w:rPr>
          <w:rFonts w:ascii="Times New Roman" w:hAnsi="Times New Roman"/>
          <w:lang w:val="en-HK"/>
        </w:rPr>
      </w:pPr>
      <w:r w:rsidRPr="00457DA0">
        <w:rPr>
          <w:rFonts w:ascii="Times New Roman" w:hAnsi="Times New Roman"/>
          <w:b/>
          <w:bCs/>
          <w:lang w:val="en-HK"/>
        </w:rPr>
        <w:t>Scots Law Lens</w:t>
      </w:r>
      <w:r w:rsidRPr="00457DA0">
        <w:rPr>
          <w:rFonts w:ascii="Times New Roman" w:hAnsi="Times New Roman"/>
          <w:lang w:val="en-HK"/>
        </w:rPr>
        <w:t xml:space="preserve"> </w:t>
      </w:r>
    </w:p>
    <w:p w14:paraId="3A02D4BC"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Mixed System</w:t>
      </w:r>
      <w:r w:rsidRPr="00457DA0">
        <w:rPr>
          <w:rFonts w:ascii="Times New Roman" w:hAnsi="Times New Roman"/>
          <w:lang w:val="en-HK"/>
        </w:rPr>
        <w:t>: Scots law’s civilian property law integrates trusts since the 17th century without equity or statute, making it ideal for a civilian analysis.</w:t>
      </w:r>
    </w:p>
    <w:p w14:paraId="19A802F2"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Ownership Model</w:t>
      </w:r>
      <w:r w:rsidRPr="00457DA0">
        <w:rPr>
          <w:rFonts w:ascii="Times New Roman" w:hAnsi="Times New Roman"/>
          <w:lang w:val="en-HK"/>
        </w:rPr>
        <w:t>: Trustee owns; beneficiary has a personal right, not real.</w:t>
      </w:r>
    </w:p>
    <w:p w14:paraId="5D85BECD" w14:textId="77777777" w:rsidR="00457DA0" w:rsidRPr="00457DA0" w:rsidRDefault="00457DA0" w:rsidP="00457DA0">
      <w:pPr>
        <w:numPr>
          <w:ilvl w:val="0"/>
          <w:numId w:val="6"/>
        </w:numPr>
        <w:spacing w:after="240" w:line="360" w:lineRule="auto"/>
        <w:rPr>
          <w:rFonts w:ascii="Times New Roman" w:hAnsi="Times New Roman"/>
          <w:lang w:val="en-HK"/>
        </w:rPr>
      </w:pPr>
      <w:r w:rsidRPr="00457DA0">
        <w:rPr>
          <w:rFonts w:ascii="Times New Roman" w:hAnsi="Times New Roman"/>
          <w:b/>
          <w:bCs/>
          <w:lang w:val="en-HK"/>
        </w:rPr>
        <w:t>Nine Objections to Real Rights</w:t>
      </w:r>
      <w:r w:rsidRPr="00457DA0">
        <w:rPr>
          <w:rFonts w:ascii="Times New Roman" w:hAnsi="Times New Roman"/>
          <w:lang w:val="en-HK"/>
        </w:rPr>
        <w:t xml:space="preserve"> </w:t>
      </w:r>
    </w:p>
    <w:p w14:paraId="6EF5A3D9"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 xml:space="preserve">(1) </w:t>
      </w:r>
      <w:proofErr w:type="spellStart"/>
      <w:r w:rsidRPr="00457DA0">
        <w:rPr>
          <w:rFonts w:ascii="Times New Roman" w:hAnsi="Times New Roman"/>
          <w:b/>
          <w:bCs/>
          <w:lang w:val="en-HK"/>
        </w:rPr>
        <w:t>Erga</w:t>
      </w:r>
      <w:proofErr w:type="spellEnd"/>
      <w:r w:rsidRPr="00457DA0">
        <w:rPr>
          <w:rFonts w:ascii="Times New Roman" w:hAnsi="Times New Roman"/>
          <w:b/>
          <w:bCs/>
          <w:lang w:val="en-HK"/>
        </w:rPr>
        <w:t xml:space="preserve"> Omnes</w:t>
      </w:r>
      <w:r w:rsidRPr="00457DA0">
        <w:rPr>
          <w:rFonts w:ascii="Times New Roman" w:hAnsi="Times New Roman"/>
          <w:lang w:val="en-HK"/>
        </w:rPr>
        <w:t xml:space="preserve">: </w:t>
      </w:r>
    </w:p>
    <w:p w14:paraId="609BB2D1"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Real rights bind all (</w:t>
      </w:r>
      <w:proofErr w:type="spellStart"/>
      <w:r w:rsidRPr="00457DA0">
        <w:rPr>
          <w:rFonts w:ascii="Times New Roman" w:hAnsi="Times New Roman"/>
          <w:i/>
          <w:iCs/>
          <w:lang w:val="en-HK"/>
        </w:rPr>
        <w:t>erga</w:t>
      </w:r>
      <w:proofErr w:type="spellEnd"/>
      <w:r w:rsidRPr="00457DA0">
        <w:rPr>
          <w:rFonts w:ascii="Times New Roman" w:hAnsi="Times New Roman"/>
          <w:i/>
          <w:iCs/>
          <w:lang w:val="en-HK"/>
        </w:rPr>
        <w:t xml:space="preserve"> omnes</w:t>
      </w:r>
      <w:r w:rsidRPr="00457DA0">
        <w:rPr>
          <w:rFonts w:ascii="Times New Roman" w:hAnsi="Times New Roman"/>
          <w:lang w:val="en-HK"/>
        </w:rPr>
        <w:t>); beneficial rights don’t—third parties can take free if in good faith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38 notes bad faith liability isn’t unique).</w:t>
      </w:r>
    </w:p>
    <w:p w14:paraId="5027E6D9"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(2) Third-Party Acquisition</w:t>
      </w:r>
      <w:r w:rsidRPr="00457DA0">
        <w:rPr>
          <w:rFonts w:ascii="Times New Roman" w:hAnsi="Times New Roman"/>
          <w:lang w:val="en-HK"/>
        </w:rPr>
        <w:t xml:space="preserve">: </w:t>
      </w:r>
    </w:p>
    <w:p w14:paraId="25CFF464"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A trustee’s good-faith transferee takes free of beneficiary rights, inconsistent with real rights (personal rights explain this—trustee is owner).</w:t>
      </w:r>
    </w:p>
    <w:p w14:paraId="35DF66D6"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(3) Private International Law</w:t>
      </w:r>
      <w:r w:rsidRPr="00457DA0">
        <w:rPr>
          <w:rFonts w:ascii="Times New Roman" w:hAnsi="Times New Roman"/>
          <w:lang w:val="en-HK"/>
        </w:rPr>
        <w:t xml:space="preserve">: </w:t>
      </w:r>
    </w:p>
    <w:p w14:paraId="5678F6A8"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Beneficial interests act like personal rights in conflicts law, not real rights tied to asset situs.</w:t>
      </w:r>
    </w:p>
    <w:p w14:paraId="799B7FD7"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(4) Registration</w:t>
      </w:r>
      <w:r w:rsidRPr="00457DA0">
        <w:rPr>
          <w:rFonts w:ascii="Times New Roman" w:hAnsi="Times New Roman"/>
          <w:lang w:val="en-HK"/>
        </w:rPr>
        <w:t xml:space="preserve">: </w:t>
      </w:r>
    </w:p>
    <w:p w14:paraId="5D846220"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lastRenderedPageBreak/>
        <w:t>Real rights (e.g., over immovables) require registration; beneficial rights don’t and can’t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39 notes variation but general truth).</w:t>
      </w:r>
    </w:p>
    <w:p w14:paraId="3AB54B9A"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(5) Transferability</w:t>
      </w:r>
      <w:r w:rsidRPr="00457DA0">
        <w:rPr>
          <w:rFonts w:ascii="Times New Roman" w:hAnsi="Times New Roman"/>
          <w:lang w:val="en-HK"/>
        </w:rPr>
        <w:t xml:space="preserve">: </w:t>
      </w:r>
    </w:p>
    <w:p w14:paraId="582234F3"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Beneficiaries transfer rights via assignment (personal), not real right mechanisms (e.g., conveyance).</w:t>
      </w:r>
    </w:p>
    <w:p w14:paraId="33563E99"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(6) Specificity</w:t>
      </w:r>
      <w:r w:rsidRPr="00457DA0">
        <w:rPr>
          <w:rFonts w:ascii="Times New Roman" w:hAnsi="Times New Roman"/>
          <w:lang w:val="en-HK"/>
        </w:rPr>
        <w:t xml:space="preserve">: </w:t>
      </w:r>
    </w:p>
    <w:p w14:paraId="0EAC31C7"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Real rights attach to specific assets (e.g., servitude); beneficial rights target fluid “funds,” losing specificity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40 cites </w:t>
      </w:r>
      <w:proofErr w:type="spellStart"/>
      <w:r w:rsidRPr="00457DA0">
        <w:rPr>
          <w:rFonts w:ascii="Times New Roman" w:hAnsi="Times New Roman"/>
          <w:lang w:val="en-HK"/>
        </w:rPr>
        <w:t>Lupoi</w:t>
      </w:r>
      <w:proofErr w:type="spellEnd"/>
      <w:r w:rsidRPr="00457DA0">
        <w:rPr>
          <w:rFonts w:ascii="Times New Roman" w:hAnsi="Times New Roman"/>
          <w:lang w:val="en-HK"/>
        </w:rPr>
        <w:t xml:space="preserve"> on non-</w:t>
      </w:r>
      <w:r w:rsidRPr="00457DA0">
        <w:rPr>
          <w:rFonts w:ascii="Times New Roman" w:hAnsi="Times New Roman"/>
          <w:i/>
          <w:iCs/>
          <w:lang w:val="en-HK"/>
        </w:rPr>
        <w:t>in rem</w:t>
      </w:r>
      <w:r w:rsidRPr="00457DA0">
        <w:rPr>
          <w:rFonts w:ascii="Times New Roman" w:hAnsi="Times New Roman"/>
          <w:lang w:val="en-HK"/>
        </w:rPr>
        <w:t xml:space="preserve"> rights).</w:t>
      </w:r>
    </w:p>
    <w:p w14:paraId="7EFE49A0"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(7) Indeterminacy</w:t>
      </w:r>
      <w:r w:rsidRPr="00457DA0">
        <w:rPr>
          <w:rFonts w:ascii="Times New Roman" w:hAnsi="Times New Roman"/>
          <w:lang w:val="en-HK"/>
        </w:rPr>
        <w:t xml:space="preserve">: </w:t>
      </w:r>
    </w:p>
    <w:p w14:paraId="7C5B7103"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Discretionary trusts leave rights uncertain (amount, entitlement); real rights demand clarity, unlike personal rights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41 cites Austrian ABGB’s rejected split ownership).</w:t>
      </w:r>
    </w:p>
    <w:p w14:paraId="5B0B83E3"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(8) Insolvency Effect</w:t>
      </w:r>
      <w:r w:rsidRPr="00457DA0">
        <w:rPr>
          <w:rFonts w:ascii="Times New Roman" w:hAnsi="Times New Roman"/>
          <w:lang w:val="en-HK"/>
        </w:rPr>
        <w:t xml:space="preserve">: </w:t>
      </w:r>
    </w:p>
    <w:p w14:paraId="63CF88C9"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Purpose/charitable trusts lack “equitable ownership” yet protect assets from trustee insolvency, showing real rights aren’t needed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42 cites Pearce &amp; Stevens).</w:t>
      </w:r>
    </w:p>
    <w:p w14:paraId="2BBF6162"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(9) Third-Party Effect</w:t>
      </w:r>
      <w:r w:rsidRPr="00457DA0">
        <w:rPr>
          <w:rFonts w:ascii="Times New Roman" w:hAnsi="Times New Roman"/>
          <w:lang w:val="en-HK"/>
        </w:rPr>
        <w:t xml:space="preserve">: </w:t>
      </w:r>
    </w:p>
    <w:p w14:paraId="6807C8B0"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Trustees, not beneficiaries, sue intruders or register titles, showing ownership isn’t split—beneficiaries’ rights are obligational, not real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44 uses Robinson Crusoe to define real rights).</w:t>
      </w:r>
    </w:p>
    <w:p w14:paraId="0DAAEAD9"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 xml:space="preserve">Numerus </w:t>
      </w:r>
      <w:proofErr w:type="spellStart"/>
      <w:r w:rsidRPr="00457DA0">
        <w:rPr>
          <w:rFonts w:ascii="Times New Roman" w:hAnsi="Times New Roman"/>
          <w:b/>
          <w:bCs/>
          <w:lang w:val="en-HK"/>
        </w:rPr>
        <w:t>Clausus</w:t>
      </w:r>
      <w:proofErr w:type="spellEnd"/>
      <w:r w:rsidRPr="00457DA0">
        <w:rPr>
          <w:rFonts w:ascii="Times New Roman" w:hAnsi="Times New Roman"/>
          <w:b/>
          <w:bCs/>
          <w:lang w:val="en-HK"/>
        </w:rPr>
        <w:t xml:space="preserve"> Caveat</w:t>
      </w:r>
      <w:r w:rsidRPr="00457DA0">
        <w:rPr>
          <w:rFonts w:ascii="Times New Roman" w:hAnsi="Times New Roman"/>
          <w:lang w:val="en-HK"/>
        </w:rPr>
        <w:t xml:space="preserve"> </w:t>
      </w:r>
    </w:p>
    <w:p w14:paraId="71003150" w14:textId="77777777" w:rsidR="00457DA0" w:rsidRPr="00457DA0" w:rsidRDefault="00457DA0" w:rsidP="00457DA0">
      <w:pPr>
        <w:spacing w:after="240" w:line="360" w:lineRule="auto"/>
        <w:rPr>
          <w:rFonts w:ascii="Times New Roman" w:hAnsi="Times New Roman"/>
          <w:lang w:val="en-HK"/>
        </w:rPr>
      </w:pPr>
      <w:proofErr w:type="spellStart"/>
      <w:r w:rsidRPr="00457DA0">
        <w:rPr>
          <w:rFonts w:ascii="Times New Roman" w:hAnsi="Times New Roman"/>
          <w:b/>
          <w:bCs/>
          <w:lang w:val="en-HK"/>
        </w:rPr>
        <w:t>Fn</w:t>
      </w:r>
      <w:proofErr w:type="spellEnd"/>
      <w:r w:rsidRPr="00457DA0">
        <w:rPr>
          <w:rFonts w:ascii="Times New Roman" w:hAnsi="Times New Roman"/>
          <w:b/>
          <w:bCs/>
          <w:lang w:val="en-HK"/>
        </w:rPr>
        <w:t xml:space="preserve"> 37</w:t>
      </w:r>
      <w:r w:rsidRPr="00457DA0">
        <w:rPr>
          <w:rFonts w:ascii="Times New Roman" w:hAnsi="Times New Roman"/>
          <w:lang w:val="en-HK"/>
        </w:rPr>
        <w:t xml:space="preserve">: The civil law </w:t>
      </w:r>
      <w:r w:rsidRPr="00457DA0">
        <w:rPr>
          <w:rFonts w:ascii="Times New Roman" w:hAnsi="Times New Roman"/>
          <w:i/>
          <w:iCs/>
          <w:lang w:val="en-HK"/>
        </w:rPr>
        <w:t xml:space="preserve">numerus </w:t>
      </w:r>
      <w:proofErr w:type="spellStart"/>
      <w:r w:rsidRPr="00457DA0">
        <w:rPr>
          <w:rFonts w:ascii="Times New Roman" w:hAnsi="Times New Roman"/>
          <w:i/>
          <w:iCs/>
          <w:lang w:val="en-HK"/>
        </w:rPr>
        <w:t>clausus</w:t>
      </w:r>
      <w:proofErr w:type="spellEnd"/>
      <w:r w:rsidRPr="00457DA0">
        <w:rPr>
          <w:rFonts w:ascii="Times New Roman" w:hAnsi="Times New Roman"/>
          <w:lang w:val="en-HK"/>
        </w:rPr>
        <w:t xml:space="preserve"> (fixed real rights) might bar beneficial rights as real in non-trust systems, but Gretton argues this doesn’t negate their personal nature where trusts exist—real rights evolve.</w:t>
      </w:r>
    </w:p>
    <w:p w14:paraId="2F70C9E4"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Webb v. Webb Case</w:t>
      </w:r>
      <w:r w:rsidRPr="00457DA0">
        <w:rPr>
          <w:rFonts w:ascii="Times New Roman" w:hAnsi="Times New Roman"/>
          <w:lang w:val="en-HK"/>
        </w:rPr>
        <w:t xml:space="preserve"> </w:t>
      </w:r>
    </w:p>
    <w:p w14:paraId="14FE0506"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lastRenderedPageBreak/>
        <w:t>Context</w:t>
      </w:r>
      <w:r w:rsidRPr="00457DA0">
        <w:rPr>
          <w:rFonts w:ascii="Times New Roman" w:hAnsi="Times New Roman"/>
          <w:lang w:val="en-HK"/>
        </w:rPr>
        <w:t xml:space="preserve">: </w:t>
      </w:r>
      <w:r w:rsidRPr="00457DA0">
        <w:rPr>
          <w:rFonts w:ascii="Times New Roman" w:hAnsi="Times New Roman"/>
          <w:i/>
          <w:iCs/>
          <w:lang w:val="en-HK"/>
        </w:rPr>
        <w:t>Webb v. Webb</w:t>
      </w:r>
      <w:r w:rsidRPr="00457DA0">
        <w:rPr>
          <w:rFonts w:ascii="Times New Roman" w:hAnsi="Times New Roman"/>
          <w:lang w:val="en-HK"/>
        </w:rPr>
        <w:t xml:space="preserve"> (1994,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48) involved a trust dispute over French property; the EU Court ruled it wasn’t an </w:t>
      </w:r>
      <w:r w:rsidRPr="00457DA0">
        <w:rPr>
          <w:rFonts w:ascii="Times New Roman" w:hAnsi="Times New Roman"/>
          <w:i/>
          <w:iCs/>
          <w:lang w:val="en-HK"/>
        </w:rPr>
        <w:t>in rem</w:t>
      </w:r>
      <w:r w:rsidRPr="00457DA0">
        <w:rPr>
          <w:rFonts w:ascii="Times New Roman" w:hAnsi="Times New Roman"/>
          <w:lang w:val="en-HK"/>
        </w:rPr>
        <w:t xml:space="preserve"> action under the Brussels Convention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46), </w:t>
      </w:r>
      <w:proofErr w:type="spellStart"/>
      <w:r w:rsidRPr="00457DA0">
        <w:rPr>
          <w:rFonts w:ascii="Times New Roman" w:hAnsi="Times New Roman"/>
          <w:lang w:val="en-HK"/>
        </w:rPr>
        <w:t>favoring</w:t>
      </w:r>
      <w:proofErr w:type="spellEnd"/>
      <w:r w:rsidRPr="00457DA0">
        <w:rPr>
          <w:rFonts w:ascii="Times New Roman" w:hAnsi="Times New Roman"/>
          <w:lang w:val="en-HK"/>
        </w:rPr>
        <w:t xml:space="preserve"> English jurisdiction.</w:t>
      </w:r>
    </w:p>
    <w:p w14:paraId="70137ECF"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Scots View</w:t>
      </w:r>
      <w:r w:rsidRPr="00457DA0">
        <w:rPr>
          <w:rFonts w:ascii="Times New Roman" w:hAnsi="Times New Roman"/>
          <w:lang w:val="en-HK"/>
        </w:rPr>
        <w:t>: Correct—beneficiary rights are personal, not real, aligning with Scots law.</w:t>
      </w:r>
    </w:p>
    <w:p w14:paraId="36F4BDEA"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Terminology Issue</w:t>
      </w:r>
      <w:r w:rsidRPr="00457DA0">
        <w:rPr>
          <w:rFonts w:ascii="Times New Roman" w:hAnsi="Times New Roman"/>
          <w:lang w:val="en-HK"/>
        </w:rPr>
        <w:t>: “Rights in rem” in English law includes more than civilian “real rights”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47 notes linguistic quirks), causing translation disputes.</w:t>
      </w:r>
    </w:p>
    <w:p w14:paraId="66269771" w14:textId="77777777" w:rsidR="00457DA0" w:rsidRPr="00457DA0" w:rsidRDefault="00457DA0" w:rsidP="00457DA0">
      <w:pPr>
        <w:numPr>
          <w:ilvl w:val="0"/>
          <w:numId w:val="6"/>
        </w:numPr>
        <w:spacing w:after="240" w:line="360" w:lineRule="auto"/>
        <w:rPr>
          <w:rFonts w:ascii="Times New Roman" w:hAnsi="Times New Roman"/>
          <w:lang w:val="en-HK"/>
        </w:rPr>
      </w:pPr>
      <w:r w:rsidRPr="00457DA0">
        <w:rPr>
          <w:rFonts w:ascii="Times New Roman" w:hAnsi="Times New Roman"/>
          <w:b/>
          <w:bCs/>
          <w:lang w:val="en-HK"/>
        </w:rPr>
        <w:t>Proprietary vs. Real Distinction</w:t>
      </w:r>
      <w:r w:rsidRPr="00457DA0">
        <w:rPr>
          <w:rFonts w:ascii="Times New Roman" w:hAnsi="Times New Roman"/>
          <w:lang w:val="en-HK"/>
        </w:rPr>
        <w:t xml:space="preserve"> </w:t>
      </w:r>
    </w:p>
    <w:p w14:paraId="718CB74B"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Common Law</w:t>
      </w:r>
      <w:r w:rsidRPr="00457DA0">
        <w:rPr>
          <w:rFonts w:ascii="Times New Roman" w:hAnsi="Times New Roman"/>
          <w:lang w:val="en-HK"/>
        </w:rPr>
        <w:t>: “Proprietary” rights/remedies include personal equitable rights, unlike civilian “real” rights (e.g., Scots tracing isn’t proprietary).</w:t>
      </w:r>
    </w:p>
    <w:p w14:paraId="3E60B201"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Realist Critique</w:t>
      </w:r>
      <w:r w:rsidRPr="00457DA0">
        <w:rPr>
          <w:rFonts w:ascii="Times New Roman" w:hAnsi="Times New Roman"/>
          <w:lang w:val="en-HK"/>
        </w:rPr>
        <w:t>: Legal realists might dismiss this as semantic, but Gretton insists formalism matters for taxonomy.</w:t>
      </w:r>
    </w:p>
    <w:p w14:paraId="1E99B0A6"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Key Insight</w:t>
      </w:r>
    </w:p>
    <w:p w14:paraId="5B97264C" w14:textId="2A47D348"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 xml:space="preserve">Section III rejects agency as inverting trust ownership, while Section IV dismantles the </w:t>
      </w:r>
      <w:r w:rsidRPr="00457DA0">
        <w:rPr>
          <w:rFonts w:ascii="Times New Roman" w:hAnsi="Times New Roman"/>
          <w:i/>
          <w:iCs/>
          <w:lang w:val="en-HK"/>
        </w:rPr>
        <w:t>in rem</w:t>
      </w:r>
      <w:r w:rsidRPr="00457DA0">
        <w:rPr>
          <w:rFonts w:ascii="Times New Roman" w:hAnsi="Times New Roman"/>
          <w:lang w:val="en-HK"/>
        </w:rPr>
        <w:t xml:space="preserve"> claim with Scots law evidence and logical objections. Beneficiaries’ rights are personal, not proprietary, and the insolvency effect doesn’t require equity—paving the way for Gretton’s patrimony model.</w:t>
      </w:r>
    </w:p>
    <w:p w14:paraId="50A5200E" w14:textId="77777777" w:rsidR="00457DA0" w:rsidRPr="00457DA0" w:rsidRDefault="00457DA0" w:rsidP="00457DA0">
      <w:pPr>
        <w:spacing w:after="240" w:line="360" w:lineRule="auto"/>
        <w:outlineLvl w:val="2"/>
        <w:rPr>
          <w:rFonts w:ascii="Times New Roman" w:hAnsi="Times New Roman"/>
          <w:b/>
          <w:bCs/>
          <w:lang w:val="en-HK"/>
        </w:rPr>
      </w:pPr>
      <w:r w:rsidRPr="00457DA0">
        <w:rPr>
          <w:rFonts w:ascii="Times New Roman" w:hAnsi="Times New Roman"/>
          <w:b/>
          <w:bCs/>
          <w:lang w:val="en-HK"/>
        </w:rPr>
        <w:t>Additional Notes</w:t>
      </w:r>
    </w:p>
    <w:p w14:paraId="391B749C"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Connection</w:t>
      </w:r>
      <w:r w:rsidRPr="00457DA0">
        <w:rPr>
          <w:rFonts w:ascii="Times New Roman" w:hAnsi="Times New Roman"/>
          <w:lang w:val="en-HK"/>
        </w:rPr>
        <w:t>: III previews ownership focus; IV links to V’s patrimony by negating real rights.</w:t>
      </w:r>
    </w:p>
    <w:p w14:paraId="619AB431" w14:textId="71D9EAF3" w:rsidR="00457DA0" w:rsidRPr="00457DA0" w:rsidRDefault="00AA7DDE" w:rsidP="00457DA0">
      <w:pPr>
        <w:spacing w:after="240" w:line="360" w:lineRule="auto"/>
      </w:pPr>
      <w:r w:rsidRPr="00AA7DDE">
        <w:rPr>
          <w:rFonts w:ascii="Times New Roman" w:hAnsi="Times New Roman"/>
          <w:noProof/>
          <w:lang w:val="en-HK"/>
          <w14:ligatures w14:val="standardContextual"/>
        </w:rPr>
        <w:pict w14:anchorId="50176C2E">
          <v:rect id="_x0000_i1029" alt="" style="width:451.3pt;height:.05pt;mso-width-percent:0;mso-height-percent:0;mso-width-percent:0;mso-height-percent:0" o:hralign="center" o:hrstd="t" o:hr="t" fillcolor="#a0a0a0" stroked="f"/>
        </w:pict>
      </w:r>
    </w:p>
    <w:p w14:paraId="23FD487D" w14:textId="77777777" w:rsidR="00457DA0" w:rsidRPr="00457DA0" w:rsidRDefault="00457DA0" w:rsidP="00457DA0">
      <w:pPr>
        <w:spacing w:after="240" w:line="360" w:lineRule="auto"/>
        <w:outlineLvl w:val="2"/>
        <w:rPr>
          <w:rFonts w:ascii="Times New Roman" w:hAnsi="Times New Roman"/>
          <w:b/>
          <w:bCs/>
          <w:lang w:val="en-HK"/>
        </w:rPr>
      </w:pPr>
      <w:r w:rsidRPr="00457DA0">
        <w:rPr>
          <w:rFonts w:ascii="Times New Roman" w:hAnsi="Times New Roman"/>
          <w:b/>
          <w:bCs/>
          <w:lang w:val="en-HK"/>
        </w:rPr>
        <w:t>Section V: Trust as Patrimony (pp. 609-615)</w:t>
      </w:r>
    </w:p>
    <w:p w14:paraId="46D2A832"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Overview</w:t>
      </w:r>
    </w:p>
    <w:p w14:paraId="1A8B5644"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Gretton proposes that trusts are best conceptualized as special patrimonies—separate asset pools distinct from the trustee’s personal estate—explaining the insolvency effect without invoking equity or divided ownership. Rooted in civil law tradition, this model aligns with Scots law and challenges the Hague Convention’s equity-centric view, offering a system-neutral understanding of trusts.</w:t>
      </w:r>
    </w:p>
    <w:p w14:paraId="6E7928D8"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lastRenderedPageBreak/>
        <w:t>Detailed Points</w:t>
      </w:r>
    </w:p>
    <w:p w14:paraId="3920E4E0" w14:textId="77777777" w:rsidR="00457DA0" w:rsidRPr="00457DA0" w:rsidRDefault="00457DA0" w:rsidP="00457DA0">
      <w:pPr>
        <w:numPr>
          <w:ilvl w:val="0"/>
          <w:numId w:val="8"/>
        </w:numPr>
        <w:spacing w:after="240" w:line="360" w:lineRule="auto"/>
        <w:rPr>
          <w:rFonts w:ascii="Times New Roman" w:hAnsi="Times New Roman"/>
          <w:lang w:val="en-HK"/>
        </w:rPr>
      </w:pPr>
      <w:r w:rsidRPr="00457DA0">
        <w:rPr>
          <w:rFonts w:ascii="Times New Roman" w:hAnsi="Times New Roman"/>
          <w:b/>
          <w:bCs/>
          <w:lang w:val="en-HK"/>
        </w:rPr>
        <w:t>Patrimony Defined</w:t>
      </w:r>
      <w:r w:rsidRPr="00457DA0">
        <w:rPr>
          <w:rFonts w:ascii="Times New Roman" w:hAnsi="Times New Roman"/>
          <w:lang w:val="en-HK"/>
        </w:rPr>
        <w:t xml:space="preserve"> </w:t>
      </w:r>
    </w:p>
    <w:p w14:paraId="3DF92956"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Concept</w:t>
      </w:r>
      <w:r w:rsidRPr="00457DA0">
        <w:rPr>
          <w:rFonts w:ascii="Times New Roman" w:hAnsi="Times New Roman"/>
          <w:lang w:val="en-HK"/>
        </w:rPr>
        <w:t>: Patrimony is the totality of a person’s assets (and, broadly, liabilities), a civilian notion often misattributed to 19th-century scholars but traceable to Roman law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50-55 cite </w:t>
      </w:r>
      <w:proofErr w:type="spellStart"/>
      <w:r w:rsidRPr="00457DA0">
        <w:rPr>
          <w:rFonts w:ascii="Times New Roman" w:hAnsi="Times New Roman"/>
          <w:lang w:val="en-HK"/>
        </w:rPr>
        <w:t>Papinian</w:t>
      </w:r>
      <w:proofErr w:type="spellEnd"/>
      <w:r w:rsidRPr="00457DA0">
        <w:rPr>
          <w:rFonts w:ascii="Times New Roman" w:hAnsi="Times New Roman"/>
          <w:lang w:val="en-HK"/>
        </w:rPr>
        <w:t xml:space="preserve">, Paul, Pomponius, Scaevola, Ulpian using </w:t>
      </w:r>
      <w:proofErr w:type="spellStart"/>
      <w:r w:rsidRPr="00457DA0">
        <w:rPr>
          <w:rFonts w:ascii="Times New Roman" w:hAnsi="Times New Roman"/>
          <w:i/>
          <w:iCs/>
          <w:lang w:val="en-HK"/>
        </w:rPr>
        <w:t>patrimonium</w:t>
      </w:r>
      <w:proofErr w:type="spellEnd"/>
      <w:r w:rsidRPr="00457DA0">
        <w:rPr>
          <w:rFonts w:ascii="Times New Roman" w:hAnsi="Times New Roman"/>
          <w:lang w:val="en-HK"/>
        </w:rPr>
        <w:t xml:space="preserve"> this way).</w:t>
      </w:r>
    </w:p>
    <w:p w14:paraId="1AB3986B"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Distinction</w:t>
      </w:r>
      <w:r w:rsidRPr="00457DA0">
        <w:rPr>
          <w:rFonts w:ascii="Times New Roman" w:hAnsi="Times New Roman"/>
          <w:lang w:val="en-HK"/>
        </w:rPr>
        <w:t>: Not all rights in one’s patrimony are ownership (e.g., personal rights like contract claims), avoiding conflation of “mine” with “owned.”</w:t>
      </w:r>
    </w:p>
    <w:p w14:paraId="76EB01FB"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19th-Century Shift</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56 notes a French push for a single patrimony per person, but special patrimonies persisted (e.g., matrimonial regimes).</w:t>
      </w:r>
    </w:p>
    <w:p w14:paraId="30B7F478" w14:textId="77777777" w:rsidR="00457DA0" w:rsidRPr="00457DA0" w:rsidRDefault="00457DA0" w:rsidP="00457DA0">
      <w:pPr>
        <w:numPr>
          <w:ilvl w:val="0"/>
          <w:numId w:val="8"/>
        </w:numPr>
        <w:spacing w:after="240" w:line="360" w:lineRule="auto"/>
        <w:rPr>
          <w:rFonts w:ascii="Times New Roman" w:hAnsi="Times New Roman"/>
          <w:lang w:val="en-HK"/>
        </w:rPr>
      </w:pPr>
      <w:r w:rsidRPr="00457DA0">
        <w:rPr>
          <w:rFonts w:ascii="Times New Roman" w:hAnsi="Times New Roman"/>
          <w:b/>
          <w:bCs/>
          <w:lang w:val="en-HK"/>
        </w:rPr>
        <w:t>Trust as Special Patrimony</w:t>
      </w:r>
      <w:r w:rsidRPr="00457DA0">
        <w:rPr>
          <w:rFonts w:ascii="Times New Roman" w:hAnsi="Times New Roman"/>
          <w:lang w:val="en-HK"/>
        </w:rPr>
        <w:t xml:space="preserve"> </w:t>
      </w:r>
    </w:p>
    <w:p w14:paraId="1C2A63DB"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Core Idea</w:t>
      </w:r>
      <w:r w:rsidRPr="00457DA0">
        <w:rPr>
          <w:rFonts w:ascii="Times New Roman" w:hAnsi="Times New Roman"/>
          <w:lang w:val="en-HK"/>
        </w:rPr>
        <w:t>: A trust creates a second patrimony for the trustee alongside their personal one, segregating trust assets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60 cites Wette on real subrogation). </w:t>
      </w:r>
    </w:p>
    <w:p w14:paraId="21458E3E"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Real Subrogation</w:t>
      </w:r>
      <w:r w:rsidRPr="00457DA0">
        <w:rPr>
          <w:rFonts w:ascii="Times New Roman" w:hAnsi="Times New Roman"/>
          <w:lang w:val="en-HK"/>
        </w:rPr>
        <w:t xml:space="preserve">: Assets bought with trust funds enter the trust patrimony, and vice versa, ensuring continuity (unlike German </w:t>
      </w:r>
      <w:proofErr w:type="spellStart"/>
      <w:r w:rsidRPr="00457DA0">
        <w:rPr>
          <w:rFonts w:ascii="Times New Roman" w:hAnsi="Times New Roman"/>
          <w:i/>
          <w:iCs/>
          <w:lang w:val="en-HK"/>
        </w:rPr>
        <w:t>Treuhand</w:t>
      </w:r>
      <w:proofErr w:type="spellEnd"/>
      <w:r w:rsidRPr="00457DA0">
        <w:rPr>
          <w:rFonts w:ascii="Times New Roman" w:hAnsi="Times New Roman"/>
          <w:lang w:val="en-HK"/>
        </w:rPr>
        <w:t>).</w:t>
      </w:r>
    </w:p>
    <w:p w14:paraId="046EB785"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Visuals</w:t>
      </w:r>
      <w:r w:rsidRPr="00457DA0">
        <w:rPr>
          <w:rFonts w:ascii="Times New Roman" w:hAnsi="Times New Roman"/>
          <w:lang w:val="en-HK"/>
        </w:rPr>
        <w:t xml:space="preserve"> (p. 613): </w:t>
      </w:r>
    </w:p>
    <w:p w14:paraId="26831860" w14:textId="77777777" w:rsidR="00457DA0" w:rsidRPr="00457DA0" w:rsidRDefault="00457DA0" w:rsidP="00457DA0">
      <w:pPr>
        <w:numPr>
          <w:ilvl w:val="2"/>
          <w:numId w:val="8"/>
        </w:numPr>
        <w:spacing w:after="240" w:line="360" w:lineRule="auto"/>
        <w:rPr>
          <w:rFonts w:ascii="Times New Roman" w:hAnsi="Times New Roman"/>
          <w:lang w:val="en-HK"/>
        </w:rPr>
      </w:pPr>
      <w:r w:rsidRPr="00457DA0">
        <w:rPr>
          <w:rFonts w:ascii="Times New Roman" w:hAnsi="Times New Roman"/>
          <w:lang w:val="en-HK"/>
        </w:rPr>
        <w:t>Ordinary case: One person, one patrimony (assets + liabilities).</w:t>
      </w:r>
    </w:p>
    <w:p w14:paraId="0E4AD10D" w14:textId="77777777" w:rsidR="00457DA0" w:rsidRPr="00457DA0" w:rsidRDefault="00457DA0" w:rsidP="00457DA0">
      <w:pPr>
        <w:numPr>
          <w:ilvl w:val="2"/>
          <w:numId w:val="8"/>
        </w:numPr>
        <w:spacing w:after="240" w:line="360" w:lineRule="auto"/>
        <w:rPr>
          <w:rFonts w:ascii="Times New Roman" w:hAnsi="Times New Roman"/>
          <w:lang w:val="en-HK"/>
        </w:rPr>
      </w:pPr>
      <w:r w:rsidRPr="00457DA0">
        <w:rPr>
          <w:rFonts w:ascii="Times New Roman" w:hAnsi="Times New Roman"/>
          <w:lang w:val="en-HK"/>
        </w:rPr>
        <w:t>Trustee: One person, two patrimonies (general + trust).</w:t>
      </w:r>
    </w:p>
    <w:p w14:paraId="67429FB6" w14:textId="77777777" w:rsidR="00457DA0" w:rsidRPr="00457DA0" w:rsidRDefault="00457DA0" w:rsidP="00457DA0">
      <w:pPr>
        <w:numPr>
          <w:ilvl w:val="2"/>
          <w:numId w:val="8"/>
        </w:numPr>
        <w:spacing w:after="240" w:line="360" w:lineRule="auto"/>
        <w:rPr>
          <w:rFonts w:ascii="Times New Roman" w:hAnsi="Times New Roman"/>
          <w:lang w:val="en-HK"/>
        </w:rPr>
      </w:pPr>
      <w:r w:rsidRPr="00457DA0">
        <w:rPr>
          <w:rFonts w:ascii="Times New Roman" w:hAnsi="Times New Roman"/>
          <w:lang w:val="en-HK"/>
        </w:rPr>
        <w:t>Two trustees: Joint title to one trust patrimony.</w:t>
      </w:r>
    </w:p>
    <w:p w14:paraId="01F5E79B"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Irony</w:t>
      </w:r>
      <w:r w:rsidRPr="00457DA0">
        <w:rPr>
          <w:rFonts w:ascii="Times New Roman" w:hAnsi="Times New Roman"/>
          <w:lang w:val="en-HK"/>
        </w:rPr>
        <w:t>: Civil law has always had this concept, yet many see trusts as equity-dependent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61 credits </w:t>
      </w:r>
      <w:proofErr w:type="spellStart"/>
      <w:r w:rsidRPr="00457DA0">
        <w:rPr>
          <w:rFonts w:ascii="Times New Roman" w:hAnsi="Times New Roman"/>
          <w:lang w:val="en-HK"/>
        </w:rPr>
        <w:t>Lepaulle’s</w:t>
      </w:r>
      <w:proofErr w:type="spellEnd"/>
      <w:r w:rsidRPr="00457DA0">
        <w:rPr>
          <w:rFonts w:ascii="Times New Roman" w:hAnsi="Times New Roman"/>
          <w:lang w:val="en-HK"/>
        </w:rPr>
        <w:t xml:space="preserve"> </w:t>
      </w:r>
      <w:proofErr w:type="spellStart"/>
      <w:r w:rsidRPr="00457DA0">
        <w:rPr>
          <w:rFonts w:ascii="Times New Roman" w:hAnsi="Times New Roman"/>
          <w:i/>
          <w:iCs/>
          <w:lang w:val="en-HK"/>
        </w:rPr>
        <w:t>Traité</w:t>
      </w:r>
      <w:proofErr w:type="spellEnd"/>
      <w:r w:rsidRPr="00457DA0">
        <w:rPr>
          <w:rFonts w:ascii="Times New Roman" w:hAnsi="Times New Roman"/>
          <w:lang w:val="en-HK"/>
        </w:rPr>
        <w:t xml:space="preserve"> for this insight, influential in Latin America).</w:t>
      </w:r>
    </w:p>
    <w:p w14:paraId="51C2DAA8" w14:textId="77777777" w:rsidR="00457DA0" w:rsidRPr="00457DA0" w:rsidRDefault="00457DA0" w:rsidP="00457DA0">
      <w:pPr>
        <w:numPr>
          <w:ilvl w:val="0"/>
          <w:numId w:val="8"/>
        </w:numPr>
        <w:spacing w:after="240" w:line="360" w:lineRule="auto"/>
        <w:rPr>
          <w:rFonts w:ascii="Times New Roman" w:hAnsi="Times New Roman"/>
          <w:lang w:val="en-HK"/>
        </w:rPr>
      </w:pPr>
      <w:r w:rsidRPr="00457DA0">
        <w:rPr>
          <w:rFonts w:ascii="Times New Roman" w:hAnsi="Times New Roman"/>
          <w:b/>
          <w:bCs/>
          <w:lang w:val="en-HK"/>
        </w:rPr>
        <w:t>Beneficiary Rights and Insolvency Effect</w:t>
      </w:r>
      <w:r w:rsidRPr="00457DA0">
        <w:rPr>
          <w:rFonts w:ascii="Times New Roman" w:hAnsi="Times New Roman"/>
          <w:lang w:val="en-HK"/>
        </w:rPr>
        <w:t xml:space="preserve"> </w:t>
      </w:r>
    </w:p>
    <w:p w14:paraId="3B4B4576"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Personal Rights</w:t>
      </w:r>
      <w:r w:rsidRPr="00457DA0">
        <w:rPr>
          <w:rFonts w:ascii="Times New Roman" w:hAnsi="Times New Roman"/>
          <w:lang w:val="en-HK"/>
        </w:rPr>
        <w:t>: Beneficiaries hold personal rights against the trustee, enforceable against the trust patrimony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64 debates promise vs. contract basis;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65 notes </w:t>
      </w:r>
      <w:proofErr w:type="spellStart"/>
      <w:r w:rsidRPr="00457DA0">
        <w:rPr>
          <w:rFonts w:ascii="Times New Roman" w:hAnsi="Times New Roman"/>
          <w:lang w:val="en-HK"/>
        </w:rPr>
        <w:t>Lepaulle’s</w:t>
      </w:r>
      <w:proofErr w:type="spellEnd"/>
      <w:r w:rsidRPr="00457DA0">
        <w:rPr>
          <w:rFonts w:ascii="Times New Roman" w:hAnsi="Times New Roman"/>
          <w:lang w:val="en-HK"/>
        </w:rPr>
        <w:t xml:space="preserve"> view of rights against the trust itself).</w:t>
      </w:r>
    </w:p>
    <w:p w14:paraId="51B495F6"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lastRenderedPageBreak/>
        <w:t>Insolvency</w:t>
      </w:r>
      <w:r w:rsidRPr="00457DA0">
        <w:rPr>
          <w:rFonts w:ascii="Times New Roman" w:hAnsi="Times New Roman"/>
          <w:lang w:val="en-HK"/>
        </w:rPr>
        <w:t>: Trust assets are immune from trustee creditors because they’re a separate fund, not because beneficiaries have real rights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66: these rights are in the beneficiary’s patrimony).</w:t>
      </w:r>
    </w:p>
    <w:p w14:paraId="17E9CCE5"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Postponement</w:t>
      </w:r>
      <w:r w:rsidRPr="00457DA0">
        <w:rPr>
          <w:rFonts w:ascii="Times New Roman" w:hAnsi="Times New Roman"/>
          <w:lang w:val="en-HK"/>
        </w:rPr>
        <w:t>: In trust insolvency, beneficiaries rank below trust creditors, a natural outcome of personal rights, unlike the priority real rights would imply.</w:t>
      </w:r>
    </w:p>
    <w:p w14:paraId="7F662E73" w14:textId="77777777" w:rsidR="00457DA0" w:rsidRPr="00457DA0" w:rsidRDefault="00457DA0" w:rsidP="00457DA0">
      <w:pPr>
        <w:numPr>
          <w:ilvl w:val="0"/>
          <w:numId w:val="8"/>
        </w:numPr>
        <w:spacing w:after="240" w:line="360" w:lineRule="auto"/>
        <w:rPr>
          <w:rFonts w:ascii="Times New Roman" w:hAnsi="Times New Roman"/>
          <w:lang w:val="en-HK"/>
        </w:rPr>
      </w:pPr>
      <w:r w:rsidRPr="00457DA0">
        <w:rPr>
          <w:rFonts w:ascii="Times New Roman" w:hAnsi="Times New Roman"/>
          <w:b/>
          <w:bCs/>
          <w:lang w:val="en-HK"/>
        </w:rPr>
        <w:t xml:space="preserve">Contrast with German </w:t>
      </w:r>
      <w:proofErr w:type="spellStart"/>
      <w:r w:rsidRPr="00457DA0">
        <w:rPr>
          <w:rFonts w:ascii="Times New Roman" w:hAnsi="Times New Roman"/>
          <w:b/>
          <w:bCs/>
          <w:lang w:val="en-HK"/>
        </w:rPr>
        <w:t>Treuhand</w:t>
      </w:r>
      <w:proofErr w:type="spellEnd"/>
      <w:r w:rsidRPr="00457DA0">
        <w:rPr>
          <w:rFonts w:ascii="Times New Roman" w:hAnsi="Times New Roman"/>
          <w:lang w:val="en-HK"/>
        </w:rPr>
        <w:t xml:space="preserve"> </w:t>
      </w:r>
    </w:p>
    <w:p w14:paraId="0E10FA00"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Limitation</w:t>
      </w:r>
      <w:r w:rsidRPr="00457DA0">
        <w:rPr>
          <w:rFonts w:ascii="Times New Roman" w:hAnsi="Times New Roman"/>
          <w:lang w:val="en-HK"/>
        </w:rPr>
        <w:t xml:space="preserve">: German </w:t>
      </w:r>
      <w:proofErr w:type="spellStart"/>
      <w:r w:rsidRPr="00457DA0">
        <w:rPr>
          <w:rFonts w:ascii="Times New Roman" w:hAnsi="Times New Roman"/>
          <w:i/>
          <w:iCs/>
          <w:lang w:val="en-HK"/>
        </w:rPr>
        <w:t>Treuhand</w:t>
      </w:r>
      <w:proofErr w:type="spellEnd"/>
      <w:r w:rsidRPr="00457DA0">
        <w:rPr>
          <w:rFonts w:ascii="Times New Roman" w:hAnsi="Times New Roman"/>
          <w:lang w:val="en-HK"/>
        </w:rPr>
        <w:t xml:space="preserve"> lacks full real subrogation externally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67 critiques </w:t>
      </w:r>
      <w:proofErr w:type="spellStart"/>
      <w:r w:rsidRPr="00457DA0">
        <w:rPr>
          <w:rFonts w:ascii="Times New Roman" w:hAnsi="Times New Roman"/>
          <w:i/>
          <w:iCs/>
          <w:lang w:val="en-HK"/>
        </w:rPr>
        <w:t>Unmittelbarkeitsprinzip</w:t>
      </w:r>
      <w:proofErr w:type="spellEnd"/>
      <w:r w:rsidRPr="00457DA0">
        <w:rPr>
          <w:rFonts w:ascii="Times New Roman" w:hAnsi="Times New Roman"/>
          <w:lang w:val="en-HK"/>
        </w:rPr>
        <w:t>—creditor immunity only for original assets), making it conceptually incoherent (</w:t>
      </w:r>
      <w:proofErr w:type="spellStart"/>
      <w:r w:rsidRPr="00457DA0">
        <w:rPr>
          <w:rFonts w:ascii="Times New Roman" w:hAnsi="Times New Roman"/>
          <w:lang w:val="en-HK"/>
        </w:rPr>
        <w:t>Kötz</w:t>
      </w:r>
      <w:proofErr w:type="spellEnd"/>
      <w:r w:rsidRPr="00457DA0">
        <w:rPr>
          <w:rFonts w:ascii="Times New Roman" w:hAnsi="Times New Roman"/>
          <w:lang w:val="en-HK"/>
        </w:rPr>
        <w:t xml:space="preserve"> agrees it’s not a legal principle).</w:t>
      </w:r>
    </w:p>
    <w:p w14:paraId="3C538E05"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Trust Advantage</w:t>
      </w:r>
      <w:r w:rsidRPr="00457DA0">
        <w:rPr>
          <w:rFonts w:ascii="Times New Roman" w:hAnsi="Times New Roman"/>
          <w:lang w:val="en-HK"/>
        </w:rPr>
        <w:t>: Full subrogation ensures trust assets’ fluidity and protection, a hallmark of patrimony.</w:t>
      </w:r>
    </w:p>
    <w:p w14:paraId="6C7C1C3F" w14:textId="77777777" w:rsidR="00457DA0" w:rsidRPr="00457DA0" w:rsidRDefault="00457DA0" w:rsidP="00457DA0">
      <w:pPr>
        <w:numPr>
          <w:ilvl w:val="0"/>
          <w:numId w:val="8"/>
        </w:numPr>
        <w:spacing w:after="240" w:line="360" w:lineRule="auto"/>
        <w:rPr>
          <w:rFonts w:ascii="Times New Roman" w:hAnsi="Times New Roman"/>
          <w:lang w:val="en-HK"/>
        </w:rPr>
      </w:pPr>
      <w:r w:rsidRPr="00457DA0">
        <w:rPr>
          <w:rFonts w:ascii="Times New Roman" w:hAnsi="Times New Roman"/>
          <w:b/>
          <w:bCs/>
          <w:lang w:val="en-HK"/>
        </w:rPr>
        <w:t>Explanatory Power</w:t>
      </w:r>
      <w:r w:rsidRPr="00457DA0">
        <w:rPr>
          <w:rFonts w:ascii="Times New Roman" w:hAnsi="Times New Roman"/>
          <w:lang w:val="en-HK"/>
        </w:rPr>
        <w:t xml:space="preserve"> </w:t>
      </w:r>
    </w:p>
    <w:p w14:paraId="70549332"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Trust Continuity</w:t>
      </w:r>
      <w:r w:rsidRPr="00457DA0">
        <w:rPr>
          <w:rFonts w:ascii="Times New Roman" w:hAnsi="Times New Roman"/>
          <w:lang w:val="en-HK"/>
        </w:rPr>
        <w:t>: Trusts persist without trustees (e.g., after death, new ones appointed) because the patrimony endures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68, </w:t>
      </w:r>
      <w:proofErr w:type="spellStart"/>
      <w:r w:rsidRPr="00457DA0">
        <w:rPr>
          <w:rFonts w:ascii="Times New Roman" w:hAnsi="Times New Roman"/>
          <w:lang w:val="en-HK"/>
        </w:rPr>
        <w:t>Lepaulle’s</w:t>
      </w:r>
      <w:proofErr w:type="spellEnd"/>
      <w:r w:rsidRPr="00457DA0">
        <w:rPr>
          <w:rFonts w:ascii="Times New Roman" w:hAnsi="Times New Roman"/>
          <w:lang w:val="en-HK"/>
        </w:rPr>
        <w:t xml:space="preserve"> emphasis).</w:t>
      </w:r>
    </w:p>
    <w:p w14:paraId="779FDE2C"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Court Intervention</w:t>
      </w:r>
      <w:r w:rsidRPr="00457DA0">
        <w:rPr>
          <w:rFonts w:ascii="Times New Roman" w:hAnsi="Times New Roman"/>
          <w:lang w:val="en-HK"/>
        </w:rPr>
        <w:t xml:space="preserve">: Courts can replace trustees, managing the patrimony directly (Scots/South African law,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69-70).</w:t>
      </w:r>
    </w:p>
    <w:p w14:paraId="4B1B254F"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Taxonomy</w:t>
      </w:r>
      <w:r w:rsidRPr="00457DA0">
        <w:rPr>
          <w:rFonts w:ascii="Times New Roman" w:hAnsi="Times New Roman"/>
          <w:lang w:val="en-HK"/>
        </w:rPr>
        <w:t>: Trusts fit the law of persons via patrimony, not obligations or property alone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71), though crossovers exist.</w:t>
      </w:r>
    </w:p>
    <w:p w14:paraId="6B73341E" w14:textId="77777777" w:rsidR="00457DA0" w:rsidRPr="00457DA0" w:rsidRDefault="00457DA0" w:rsidP="00457DA0">
      <w:pPr>
        <w:numPr>
          <w:ilvl w:val="0"/>
          <w:numId w:val="8"/>
        </w:numPr>
        <w:spacing w:after="240" w:line="360" w:lineRule="auto"/>
        <w:rPr>
          <w:rFonts w:ascii="Times New Roman" w:hAnsi="Times New Roman"/>
          <w:lang w:val="en-HK"/>
        </w:rPr>
      </w:pPr>
      <w:r w:rsidRPr="00457DA0">
        <w:rPr>
          <w:rFonts w:ascii="Times New Roman" w:hAnsi="Times New Roman"/>
          <w:b/>
          <w:bCs/>
          <w:lang w:val="en-HK"/>
        </w:rPr>
        <w:t>Supporting Authorities</w:t>
      </w:r>
      <w:r w:rsidRPr="00457DA0">
        <w:rPr>
          <w:rFonts w:ascii="Times New Roman" w:hAnsi="Times New Roman"/>
          <w:lang w:val="en-HK"/>
        </w:rPr>
        <w:t xml:space="preserve"> </w:t>
      </w:r>
    </w:p>
    <w:p w14:paraId="3DA35CBB"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Principles of European Trust Law</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72 defines trusts as segregated assets managed by a trustee.</w:t>
      </w:r>
    </w:p>
    <w:p w14:paraId="3F29591C"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Liechtenstein</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73 (</w:t>
      </w:r>
      <w:proofErr w:type="spellStart"/>
      <w:r w:rsidRPr="00457DA0">
        <w:rPr>
          <w:rFonts w:ascii="Times New Roman" w:hAnsi="Times New Roman"/>
          <w:i/>
          <w:iCs/>
          <w:lang w:val="en-HK"/>
        </w:rPr>
        <w:t>Personen</w:t>
      </w:r>
      <w:proofErr w:type="spellEnd"/>
      <w:r w:rsidRPr="00457DA0">
        <w:rPr>
          <w:rFonts w:ascii="Times New Roman" w:hAnsi="Times New Roman"/>
          <w:i/>
          <w:iCs/>
          <w:lang w:val="en-HK"/>
        </w:rPr>
        <w:t xml:space="preserve">- und </w:t>
      </w:r>
      <w:proofErr w:type="spellStart"/>
      <w:r w:rsidRPr="00457DA0">
        <w:rPr>
          <w:rFonts w:ascii="Times New Roman" w:hAnsi="Times New Roman"/>
          <w:i/>
          <w:iCs/>
          <w:lang w:val="en-HK"/>
        </w:rPr>
        <w:t>Gesellschaftrecht</w:t>
      </w:r>
      <w:proofErr w:type="spellEnd"/>
      <w:r w:rsidRPr="00457DA0">
        <w:rPr>
          <w:rFonts w:ascii="Times New Roman" w:hAnsi="Times New Roman"/>
          <w:i/>
          <w:iCs/>
          <w:lang w:val="en-HK"/>
        </w:rPr>
        <w:t xml:space="preserve"> Art. 915</w:t>
      </w:r>
      <w:r w:rsidRPr="00457DA0">
        <w:rPr>
          <w:rFonts w:ascii="Times New Roman" w:hAnsi="Times New Roman"/>
          <w:lang w:val="en-HK"/>
        </w:rPr>
        <w:t>) treats trust estates as separate, creditor-immune patrimonies.</w:t>
      </w:r>
    </w:p>
    <w:p w14:paraId="304C6595"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 xml:space="preserve">Honoré, Lawson, </w:t>
      </w:r>
      <w:proofErr w:type="spellStart"/>
      <w:r w:rsidRPr="00457DA0">
        <w:rPr>
          <w:rFonts w:ascii="Times New Roman" w:hAnsi="Times New Roman"/>
          <w:b/>
          <w:bCs/>
          <w:lang w:val="en-HK"/>
        </w:rPr>
        <w:t>Sonneveldt</w:t>
      </w:r>
      <w:proofErr w:type="spellEnd"/>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74-76 affirm trusts as dual patrimonies or </w:t>
      </w:r>
      <w:proofErr w:type="spellStart"/>
      <w:r w:rsidRPr="00457DA0">
        <w:rPr>
          <w:rFonts w:ascii="Times New Roman" w:hAnsi="Times New Roman"/>
          <w:i/>
          <w:iCs/>
          <w:lang w:val="en-HK"/>
        </w:rPr>
        <w:t>Sondervermögen</w:t>
      </w:r>
      <w:proofErr w:type="spellEnd"/>
      <w:r w:rsidRPr="00457DA0">
        <w:rPr>
          <w:rFonts w:ascii="Times New Roman" w:hAnsi="Times New Roman"/>
          <w:lang w:val="en-HK"/>
        </w:rPr>
        <w:t xml:space="preserve"> (special funds), echoing civil law </w:t>
      </w:r>
      <w:proofErr w:type="spellStart"/>
      <w:r w:rsidRPr="00457DA0">
        <w:rPr>
          <w:rFonts w:ascii="Times New Roman" w:hAnsi="Times New Roman"/>
          <w:lang w:val="en-HK"/>
        </w:rPr>
        <w:t>analogs</w:t>
      </w:r>
      <w:proofErr w:type="spellEnd"/>
      <w:r w:rsidRPr="00457DA0">
        <w:rPr>
          <w:rFonts w:ascii="Times New Roman" w:hAnsi="Times New Roman"/>
          <w:lang w:val="en-HK"/>
        </w:rPr>
        <w:t xml:space="preserve"> (e.g., Roman </w:t>
      </w:r>
      <w:r w:rsidRPr="00457DA0">
        <w:rPr>
          <w:rFonts w:ascii="Times New Roman" w:hAnsi="Times New Roman"/>
          <w:i/>
          <w:iCs/>
          <w:lang w:val="en-HK"/>
        </w:rPr>
        <w:t>peculium</w:t>
      </w:r>
      <w:r w:rsidRPr="00457DA0">
        <w:rPr>
          <w:rFonts w:ascii="Times New Roman" w:hAnsi="Times New Roman"/>
          <w:lang w:val="en-HK"/>
        </w:rPr>
        <w:t>).</w:t>
      </w:r>
    </w:p>
    <w:p w14:paraId="7DE1D9DF"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lastRenderedPageBreak/>
        <w:t>Hague Convention</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77-79 cites its system-neutral definition (separate fund, trustee title), avoiding equity, aligning with patrimony (despite preamble flaws).</w:t>
      </w:r>
    </w:p>
    <w:p w14:paraId="5C702A8F"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Key Insight</w:t>
      </w:r>
    </w:p>
    <w:p w14:paraId="561D9507"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Trusts are special patrimonies, a civilian concept explaining asset segregation and beneficiary rights without equity. Scots law’s trustee ownership and civil law parallels debunk the “unique institution” myth, offering a coherent, universal model.</w:t>
      </w:r>
    </w:p>
    <w:p w14:paraId="47EB08A8" w14:textId="77777777" w:rsidR="00457DA0" w:rsidRPr="00457DA0" w:rsidRDefault="00AA7DDE" w:rsidP="00457DA0">
      <w:pPr>
        <w:spacing w:after="240" w:line="360" w:lineRule="auto"/>
        <w:rPr>
          <w:rFonts w:ascii="Times New Roman" w:hAnsi="Times New Roman"/>
          <w:lang w:val="en-HK"/>
        </w:rPr>
      </w:pPr>
      <w:r w:rsidRPr="00AA7DDE">
        <w:rPr>
          <w:rFonts w:ascii="Times New Roman" w:hAnsi="Times New Roman"/>
          <w:noProof/>
          <w:lang w:val="en-HK"/>
          <w14:ligatures w14:val="standardContextual"/>
        </w:rPr>
        <w:pict w14:anchorId="72FDD813">
          <v:rect id="_x0000_i1028" alt="" style="width:451.3pt;height:.05pt;mso-width-percent:0;mso-height-percent:0;mso-width-percent:0;mso-height-percent:0" o:hralign="center" o:hrstd="t" o:hr="t" fillcolor="#a0a0a0" stroked="f"/>
        </w:pict>
      </w:r>
    </w:p>
    <w:p w14:paraId="1EB7EA14" w14:textId="77777777" w:rsidR="00457DA0" w:rsidRPr="00457DA0" w:rsidRDefault="00457DA0" w:rsidP="00457DA0">
      <w:pPr>
        <w:spacing w:after="240" w:line="360" w:lineRule="auto"/>
        <w:outlineLvl w:val="2"/>
        <w:rPr>
          <w:rFonts w:ascii="Times New Roman" w:hAnsi="Times New Roman"/>
          <w:b/>
          <w:bCs/>
          <w:lang w:val="en-HK"/>
        </w:rPr>
      </w:pPr>
      <w:r w:rsidRPr="00457DA0">
        <w:rPr>
          <w:rFonts w:ascii="Times New Roman" w:hAnsi="Times New Roman"/>
          <w:b/>
          <w:bCs/>
          <w:lang w:val="en-HK"/>
        </w:rPr>
        <w:t>Section VI: Patrimony and Personality (pp. 615-617)</w:t>
      </w:r>
    </w:p>
    <w:p w14:paraId="109BBAF7"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Overview</w:t>
      </w:r>
    </w:p>
    <w:p w14:paraId="416043F6"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Gretton explores the relationship between patrimony and juristic personality, noting how trusts as special patrimonies teeter on the edge of personhood without crossing it. He contrasts Québec’s ownerless trust patrimony with Scots law’s trustee ownership, showing how civil law accommodates trusts while debating their quasi-personal status.</w:t>
      </w:r>
    </w:p>
    <w:p w14:paraId="251C10FB"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Detailed Points</w:t>
      </w:r>
    </w:p>
    <w:p w14:paraId="40C43424" w14:textId="77777777" w:rsidR="00457DA0" w:rsidRPr="00457DA0" w:rsidRDefault="00457DA0" w:rsidP="00457DA0">
      <w:pPr>
        <w:numPr>
          <w:ilvl w:val="0"/>
          <w:numId w:val="9"/>
        </w:numPr>
        <w:spacing w:after="240" w:line="360" w:lineRule="auto"/>
        <w:rPr>
          <w:rFonts w:ascii="Times New Roman" w:hAnsi="Times New Roman"/>
          <w:lang w:val="en-HK"/>
        </w:rPr>
      </w:pPr>
      <w:r w:rsidRPr="00457DA0">
        <w:rPr>
          <w:rFonts w:ascii="Times New Roman" w:hAnsi="Times New Roman"/>
          <w:b/>
          <w:bCs/>
          <w:lang w:val="en-HK"/>
        </w:rPr>
        <w:t>Universitas in Roman Law</w:t>
      </w:r>
      <w:r w:rsidRPr="00457DA0">
        <w:rPr>
          <w:rFonts w:ascii="Times New Roman" w:hAnsi="Times New Roman"/>
          <w:lang w:val="en-HK"/>
        </w:rPr>
        <w:t xml:space="preserve"> </w:t>
      </w:r>
    </w:p>
    <w:p w14:paraId="42112371"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Dual Meaning</w:t>
      </w:r>
      <w:r w:rsidRPr="00457DA0">
        <w:rPr>
          <w:rFonts w:ascii="Times New Roman" w:hAnsi="Times New Roman"/>
          <w:lang w:val="en-HK"/>
        </w:rPr>
        <w:t xml:space="preserve">: </w:t>
      </w:r>
      <w:r w:rsidRPr="00457DA0">
        <w:rPr>
          <w:rFonts w:ascii="Times New Roman" w:hAnsi="Times New Roman"/>
          <w:i/>
          <w:iCs/>
          <w:lang w:val="en-HK"/>
        </w:rPr>
        <w:t>Universitas</w:t>
      </w:r>
      <w:r w:rsidRPr="00457DA0">
        <w:rPr>
          <w:rFonts w:ascii="Times New Roman" w:hAnsi="Times New Roman"/>
          <w:lang w:val="en-HK"/>
        </w:rPr>
        <w:t xml:space="preserve"> meant a unity—e.g., a flock (</w:t>
      </w:r>
      <w:r w:rsidRPr="00457DA0">
        <w:rPr>
          <w:rFonts w:ascii="Times New Roman" w:hAnsi="Times New Roman"/>
          <w:i/>
          <w:iCs/>
          <w:lang w:val="en-HK"/>
        </w:rPr>
        <w:t>rerum</w:t>
      </w:r>
      <w:r w:rsidRPr="00457DA0">
        <w:rPr>
          <w:rFonts w:ascii="Times New Roman" w:hAnsi="Times New Roman"/>
          <w:lang w:val="en-HK"/>
        </w:rPr>
        <w:t>) or group of people (</w:t>
      </w:r>
      <w:r w:rsidRPr="00457DA0">
        <w:rPr>
          <w:rFonts w:ascii="Times New Roman" w:hAnsi="Times New Roman"/>
          <w:i/>
          <w:iCs/>
          <w:lang w:val="en-HK"/>
        </w:rPr>
        <w:t>personarum</w:t>
      </w:r>
      <w:r w:rsidRPr="00457DA0">
        <w:rPr>
          <w:rFonts w:ascii="Times New Roman" w:hAnsi="Times New Roman"/>
          <w:lang w:val="en-HK"/>
        </w:rPr>
        <w:t>)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80, </w:t>
      </w:r>
      <w:proofErr w:type="spellStart"/>
      <w:r w:rsidRPr="00457DA0">
        <w:rPr>
          <w:rFonts w:ascii="Times New Roman" w:hAnsi="Times New Roman"/>
          <w:lang w:val="en-HK"/>
        </w:rPr>
        <w:t>Voet</w:t>
      </w:r>
      <w:proofErr w:type="spellEnd"/>
      <w:r w:rsidRPr="00457DA0">
        <w:rPr>
          <w:rFonts w:ascii="Times New Roman" w:hAnsi="Times New Roman"/>
          <w:lang w:val="en-HK"/>
        </w:rPr>
        <w:t>).</w:t>
      </w:r>
    </w:p>
    <w:p w14:paraId="26898224"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Patrimony as Universitas</w:t>
      </w:r>
      <w:r w:rsidRPr="00457DA0">
        <w:rPr>
          <w:rFonts w:ascii="Times New Roman" w:hAnsi="Times New Roman"/>
          <w:lang w:val="en-HK"/>
        </w:rPr>
        <w:t xml:space="preserve">: The </w:t>
      </w:r>
      <w:proofErr w:type="spellStart"/>
      <w:r w:rsidRPr="00457DA0">
        <w:rPr>
          <w:rFonts w:ascii="Times New Roman" w:hAnsi="Times New Roman"/>
          <w:i/>
          <w:iCs/>
          <w:lang w:val="en-HK"/>
        </w:rPr>
        <w:t>haereditas</w:t>
      </w:r>
      <w:proofErr w:type="spellEnd"/>
      <w:r w:rsidRPr="00457DA0">
        <w:rPr>
          <w:rFonts w:ascii="Times New Roman" w:hAnsi="Times New Roman"/>
          <w:i/>
          <w:iCs/>
          <w:lang w:val="en-HK"/>
        </w:rPr>
        <w:t xml:space="preserve"> </w:t>
      </w:r>
      <w:proofErr w:type="spellStart"/>
      <w:r w:rsidRPr="00457DA0">
        <w:rPr>
          <w:rFonts w:ascii="Times New Roman" w:hAnsi="Times New Roman"/>
          <w:i/>
          <w:iCs/>
          <w:lang w:val="en-HK"/>
        </w:rPr>
        <w:t>iacens</w:t>
      </w:r>
      <w:proofErr w:type="spellEnd"/>
      <w:r w:rsidRPr="00457DA0">
        <w:rPr>
          <w:rFonts w:ascii="Times New Roman" w:hAnsi="Times New Roman"/>
          <w:lang w:val="en-HK"/>
        </w:rPr>
        <w:t xml:space="preserve"> (estate pre-heir acceptance) was a </w:t>
      </w:r>
      <w:r w:rsidRPr="00457DA0">
        <w:rPr>
          <w:rFonts w:ascii="Times New Roman" w:hAnsi="Times New Roman"/>
          <w:i/>
          <w:iCs/>
          <w:lang w:val="en-HK"/>
        </w:rPr>
        <w:t>universitas rerum</w:t>
      </w:r>
      <w:r w:rsidRPr="00457DA0">
        <w:rPr>
          <w:rFonts w:ascii="Times New Roman" w:hAnsi="Times New Roman"/>
          <w:lang w:val="en-HK"/>
        </w:rPr>
        <w:t>, hinting at autonomy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81-82 distinguish </w:t>
      </w:r>
      <w:proofErr w:type="spellStart"/>
      <w:r w:rsidRPr="00457DA0">
        <w:rPr>
          <w:rFonts w:ascii="Times New Roman" w:hAnsi="Times New Roman"/>
          <w:i/>
          <w:iCs/>
          <w:lang w:val="en-HK"/>
        </w:rPr>
        <w:t>Sachgesamtheit</w:t>
      </w:r>
      <w:proofErr w:type="spellEnd"/>
      <w:r w:rsidRPr="00457DA0">
        <w:rPr>
          <w:rFonts w:ascii="Times New Roman" w:hAnsi="Times New Roman"/>
          <w:lang w:val="en-HK"/>
        </w:rPr>
        <w:t xml:space="preserve"> from </w:t>
      </w:r>
      <w:proofErr w:type="spellStart"/>
      <w:r w:rsidRPr="00457DA0">
        <w:rPr>
          <w:rFonts w:ascii="Times New Roman" w:hAnsi="Times New Roman"/>
          <w:i/>
          <w:iCs/>
          <w:lang w:val="en-HK"/>
        </w:rPr>
        <w:t>Personengesamtheit</w:t>
      </w:r>
      <w:proofErr w:type="spellEnd"/>
      <w:r w:rsidRPr="00457DA0">
        <w:rPr>
          <w:rFonts w:ascii="Times New Roman" w:hAnsi="Times New Roman"/>
          <w:lang w:val="en-HK"/>
        </w:rPr>
        <w:t>).</w:t>
      </w:r>
    </w:p>
    <w:p w14:paraId="04525BA0" w14:textId="77777777" w:rsidR="00457DA0" w:rsidRPr="00457DA0" w:rsidRDefault="00457DA0" w:rsidP="00457DA0">
      <w:pPr>
        <w:numPr>
          <w:ilvl w:val="0"/>
          <w:numId w:val="9"/>
        </w:numPr>
        <w:spacing w:after="240" w:line="360" w:lineRule="auto"/>
        <w:rPr>
          <w:rFonts w:ascii="Times New Roman" w:hAnsi="Times New Roman"/>
          <w:lang w:val="en-HK"/>
        </w:rPr>
      </w:pPr>
      <w:r w:rsidRPr="00457DA0">
        <w:rPr>
          <w:rFonts w:ascii="Times New Roman" w:hAnsi="Times New Roman"/>
          <w:b/>
          <w:bCs/>
          <w:lang w:val="en-HK"/>
        </w:rPr>
        <w:t>Civil Law Evolution</w:t>
      </w:r>
      <w:r w:rsidRPr="00457DA0">
        <w:rPr>
          <w:rFonts w:ascii="Times New Roman" w:hAnsi="Times New Roman"/>
          <w:lang w:val="en-HK"/>
        </w:rPr>
        <w:t xml:space="preserve"> </w:t>
      </w:r>
    </w:p>
    <w:p w14:paraId="6691B39B"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Two Juristic Persons</w:t>
      </w:r>
      <w:r w:rsidRPr="00457DA0">
        <w:rPr>
          <w:rFonts w:ascii="Times New Roman" w:hAnsi="Times New Roman"/>
          <w:lang w:val="en-HK"/>
        </w:rPr>
        <w:t xml:space="preserve">: Civil law developed: </w:t>
      </w:r>
    </w:p>
    <w:p w14:paraId="7EA44122" w14:textId="77777777" w:rsidR="00457DA0" w:rsidRPr="00457DA0" w:rsidRDefault="00457DA0" w:rsidP="00457DA0">
      <w:pPr>
        <w:numPr>
          <w:ilvl w:val="2"/>
          <w:numId w:val="9"/>
        </w:numPr>
        <w:spacing w:after="240" w:line="360" w:lineRule="auto"/>
        <w:rPr>
          <w:rFonts w:ascii="Times New Roman" w:hAnsi="Times New Roman"/>
          <w:lang w:val="en-HK"/>
        </w:rPr>
      </w:pPr>
      <w:r w:rsidRPr="00457DA0">
        <w:rPr>
          <w:rFonts w:ascii="Times New Roman" w:hAnsi="Times New Roman"/>
          <w:i/>
          <w:iCs/>
          <w:lang w:val="en-HK"/>
        </w:rPr>
        <w:t>Universitas personarum</w:t>
      </w:r>
      <w:r w:rsidRPr="00457DA0">
        <w:rPr>
          <w:rFonts w:ascii="Times New Roman" w:hAnsi="Times New Roman"/>
          <w:lang w:val="en-HK"/>
        </w:rPr>
        <w:t>: Corporations (with members).</w:t>
      </w:r>
    </w:p>
    <w:p w14:paraId="7E63B0E8" w14:textId="77777777" w:rsidR="00457DA0" w:rsidRPr="00457DA0" w:rsidRDefault="00457DA0" w:rsidP="00457DA0">
      <w:pPr>
        <w:numPr>
          <w:ilvl w:val="2"/>
          <w:numId w:val="9"/>
        </w:numPr>
        <w:spacing w:after="240" w:line="360" w:lineRule="auto"/>
        <w:rPr>
          <w:rFonts w:ascii="Times New Roman" w:hAnsi="Times New Roman"/>
          <w:lang w:val="en-HK"/>
        </w:rPr>
      </w:pPr>
      <w:r w:rsidRPr="00457DA0">
        <w:rPr>
          <w:rFonts w:ascii="Times New Roman" w:hAnsi="Times New Roman"/>
          <w:i/>
          <w:iCs/>
          <w:lang w:val="en-HK"/>
        </w:rPr>
        <w:t>Universitas rerum</w:t>
      </w:r>
      <w:r w:rsidRPr="00457DA0">
        <w:rPr>
          <w:rFonts w:ascii="Times New Roman" w:hAnsi="Times New Roman"/>
          <w:lang w:val="en-HK"/>
        </w:rPr>
        <w:t>: Foundations (</w:t>
      </w:r>
      <w:proofErr w:type="spellStart"/>
      <w:r w:rsidRPr="00457DA0">
        <w:rPr>
          <w:rFonts w:ascii="Times New Roman" w:hAnsi="Times New Roman"/>
          <w:i/>
          <w:iCs/>
          <w:lang w:val="en-HK"/>
        </w:rPr>
        <w:t>fundatio</w:t>
      </w:r>
      <w:proofErr w:type="spellEnd"/>
      <w:r w:rsidRPr="00457DA0">
        <w:rPr>
          <w:rFonts w:ascii="Times New Roman" w:hAnsi="Times New Roman"/>
          <w:lang w:val="en-HK"/>
        </w:rPr>
        <w:t xml:space="preserve">, </w:t>
      </w:r>
      <w:r w:rsidRPr="00457DA0">
        <w:rPr>
          <w:rFonts w:ascii="Times New Roman" w:hAnsi="Times New Roman"/>
          <w:i/>
          <w:iCs/>
          <w:lang w:val="en-HK"/>
        </w:rPr>
        <w:t>Stiftung</w:t>
      </w:r>
      <w:r w:rsidRPr="00457DA0">
        <w:rPr>
          <w:rFonts w:ascii="Times New Roman" w:hAnsi="Times New Roman"/>
          <w:lang w:val="en-HK"/>
        </w:rPr>
        <w:t>), memberless patrimonies for a purpose (</w:t>
      </w:r>
      <w:proofErr w:type="spellStart"/>
      <w:r w:rsidRPr="00457DA0">
        <w:rPr>
          <w:rFonts w:ascii="Times New Roman" w:hAnsi="Times New Roman"/>
          <w:i/>
          <w:iCs/>
          <w:lang w:val="en-HK"/>
        </w:rPr>
        <w:t>Zweckvermögen</w:t>
      </w:r>
      <w:proofErr w:type="spellEnd"/>
      <w:r w:rsidRPr="00457DA0">
        <w:rPr>
          <w:rFonts w:ascii="Times New Roman" w:hAnsi="Times New Roman"/>
          <w:lang w:val="en-HK"/>
        </w:rPr>
        <w:t>)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84, Feenstra’s historical work).</w:t>
      </w:r>
    </w:p>
    <w:p w14:paraId="5186A25A"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lastRenderedPageBreak/>
        <w:t>Common Law</w:t>
      </w:r>
      <w:r w:rsidRPr="00457DA0">
        <w:rPr>
          <w:rFonts w:ascii="Times New Roman" w:hAnsi="Times New Roman"/>
          <w:lang w:val="en-HK"/>
        </w:rPr>
        <w:t>: Only recognizes corporations, not foundations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85 notes oddities like corporation sole).</w:t>
      </w:r>
    </w:p>
    <w:p w14:paraId="350F2A17" w14:textId="77777777" w:rsidR="00457DA0" w:rsidRPr="00457DA0" w:rsidRDefault="00457DA0" w:rsidP="00457DA0">
      <w:pPr>
        <w:numPr>
          <w:ilvl w:val="0"/>
          <w:numId w:val="9"/>
        </w:numPr>
        <w:spacing w:after="240" w:line="360" w:lineRule="auto"/>
        <w:rPr>
          <w:rFonts w:ascii="Times New Roman" w:hAnsi="Times New Roman"/>
          <w:lang w:val="en-HK"/>
        </w:rPr>
      </w:pPr>
      <w:r w:rsidRPr="00457DA0">
        <w:rPr>
          <w:rFonts w:ascii="Times New Roman" w:hAnsi="Times New Roman"/>
          <w:b/>
          <w:bCs/>
          <w:lang w:val="en-HK"/>
        </w:rPr>
        <w:t>Foundation vs. Trust</w:t>
      </w:r>
      <w:r w:rsidRPr="00457DA0">
        <w:rPr>
          <w:rFonts w:ascii="Times New Roman" w:hAnsi="Times New Roman"/>
          <w:lang w:val="en-HK"/>
        </w:rPr>
        <w:t xml:space="preserve"> </w:t>
      </w:r>
    </w:p>
    <w:p w14:paraId="21CE9491"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Foundation Traits</w:t>
      </w:r>
      <w:r w:rsidRPr="00457DA0">
        <w:rPr>
          <w:rFonts w:ascii="Times New Roman" w:hAnsi="Times New Roman"/>
          <w:lang w:val="en-HK"/>
        </w:rPr>
        <w:t>: Autonomous, purpose-driven patrimonies; ownership debated—self-owned, purpose-owned, or distinct from the entity (dominant view).</w:t>
      </w:r>
    </w:p>
    <w:p w14:paraId="0D263AD9"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Trust Proximity</w:t>
      </w:r>
      <w:r w:rsidRPr="00457DA0">
        <w:rPr>
          <w:rFonts w:ascii="Times New Roman" w:hAnsi="Times New Roman"/>
          <w:lang w:val="en-HK"/>
        </w:rPr>
        <w:t xml:space="preserve">: Trusts as </w:t>
      </w:r>
      <w:proofErr w:type="spellStart"/>
      <w:r w:rsidRPr="00457DA0">
        <w:rPr>
          <w:rFonts w:ascii="Times New Roman" w:hAnsi="Times New Roman"/>
          <w:i/>
          <w:iCs/>
          <w:lang w:val="en-HK"/>
        </w:rPr>
        <w:t>Zweckvermögen</w:t>
      </w:r>
      <w:proofErr w:type="spellEnd"/>
      <w:r w:rsidRPr="00457DA0">
        <w:rPr>
          <w:rFonts w:ascii="Times New Roman" w:hAnsi="Times New Roman"/>
          <w:lang w:val="en-HK"/>
        </w:rPr>
        <w:t xml:space="preserve"> lack formal personality but function similarly, raising personification questions.</w:t>
      </w:r>
    </w:p>
    <w:p w14:paraId="0EAC44D7" w14:textId="77777777" w:rsidR="00457DA0" w:rsidRPr="00457DA0" w:rsidRDefault="00457DA0" w:rsidP="00457DA0">
      <w:pPr>
        <w:numPr>
          <w:ilvl w:val="0"/>
          <w:numId w:val="9"/>
        </w:numPr>
        <w:spacing w:after="240" w:line="360" w:lineRule="auto"/>
        <w:rPr>
          <w:rFonts w:ascii="Times New Roman" w:hAnsi="Times New Roman"/>
          <w:lang w:val="en-HK"/>
        </w:rPr>
      </w:pPr>
      <w:r w:rsidRPr="00457DA0">
        <w:rPr>
          <w:rFonts w:ascii="Times New Roman" w:hAnsi="Times New Roman"/>
          <w:b/>
          <w:bCs/>
          <w:lang w:val="en-HK"/>
        </w:rPr>
        <w:t>Québec Model</w:t>
      </w:r>
      <w:r w:rsidRPr="00457DA0">
        <w:rPr>
          <w:rFonts w:ascii="Times New Roman" w:hAnsi="Times New Roman"/>
          <w:lang w:val="en-HK"/>
        </w:rPr>
        <w:t xml:space="preserve"> </w:t>
      </w:r>
    </w:p>
    <w:p w14:paraId="01D9B3D1"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Civil Code Art. 1261</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87 defines trust property as a </w:t>
      </w:r>
      <w:proofErr w:type="spellStart"/>
      <w:r w:rsidRPr="00457DA0">
        <w:rPr>
          <w:rFonts w:ascii="Times New Roman" w:hAnsi="Times New Roman"/>
          <w:i/>
          <w:iCs/>
          <w:lang w:val="en-HK"/>
        </w:rPr>
        <w:t>patrimonie</w:t>
      </w:r>
      <w:proofErr w:type="spellEnd"/>
      <w:r w:rsidRPr="00457DA0">
        <w:rPr>
          <w:rFonts w:ascii="Times New Roman" w:hAnsi="Times New Roman"/>
          <w:i/>
          <w:iCs/>
          <w:lang w:val="en-HK"/>
        </w:rPr>
        <w:t xml:space="preserve"> </w:t>
      </w:r>
      <w:proofErr w:type="spellStart"/>
      <w:r w:rsidRPr="00457DA0">
        <w:rPr>
          <w:rFonts w:ascii="Times New Roman" w:hAnsi="Times New Roman"/>
          <w:i/>
          <w:iCs/>
          <w:lang w:val="en-HK"/>
        </w:rPr>
        <w:t>d’affectation</w:t>
      </w:r>
      <w:proofErr w:type="spellEnd"/>
      <w:r w:rsidRPr="00457DA0">
        <w:rPr>
          <w:rFonts w:ascii="Times New Roman" w:hAnsi="Times New Roman"/>
          <w:lang w:val="en-HK"/>
        </w:rPr>
        <w:t xml:space="preserve"> (appropriated patrimony), autonomous from settlor, trustee, or beneficiary, with no real rights held by any (Brierley’s analysis,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87).</w:t>
      </w:r>
    </w:p>
    <w:p w14:paraId="17D405E3"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Ownerless</w:t>
      </w:r>
      <w:r w:rsidRPr="00457DA0">
        <w:rPr>
          <w:rFonts w:ascii="Times New Roman" w:hAnsi="Times New Roman"/>
          <w:lang w:val="en-HK"/>
        </w:rPr>
        <w:t>: Assets lack an owner, a bold civil law step (</w:t>
      </w:r>
      <w:proofErr w:type="spellStart"/>
      <w:r w:rsidRPr="00457DA0">
        <w:rPr>
          <w:rFonts w:ascii="Times New Roman" w:hAnsi="Times New Roman"/>
          <w:lang w:val="en-HK"/>
        </w:rPr>
        <w:t>Lepaulle’s</w:t>
      </w:r>
      <w:proofErr w:type="spellEnd"/>
      <w:r w:rsidRPr="00457DA0">
        <w:rPr>
          <w:rFonts w:ascii="Times New Roman" w:hAnsi="Times New Roman"/>
          <w:lang w:val="en-HK"/>
        </w:rPr>
        <w:t xml:space="preserve"> influence,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88), contrasting with Scots law’s trustee ownership.</w:t>
      </w:r>
    </w:p>
    <w:p w14:paraId="3BF28858" w14:textId="77777777" w:rsidR="00457DA0" w:rsidRPr="00457DA0" w:rsidRDefault="00457DA0" w:rsidP="00457DA0">
      <w:pPr>
        <w:spacing w:after="240" w:line="360" w:lineRule="auto"/>
        <w:rPr>
          <w:rFonts w:ascii="Times New Roman" w:hAnsi="Times New Roman"/>
          <w:lang w:val="en-HK"/>
        </w:rPr>
      </w:pPr>
      <w:proofErr w:type="spellStart"/>
      <w:r w:rsidRPr="00457DA0">
        <w:rPr>
          <w:rFonts w:ascii="Times New Roman" w:hAnsi="Times New Roman"/>
          <w:b/>
          <w:bCs/>
          <w:lang w:val="en-HK"/>
        </w:rPr>
        <w:t>Lepaulle’s</w:t>
      </w:r>
      <w:proofErr w:type="spellEnd"/>
      <w:r w:rsidRPr="00457DA0">
        <w:rPr>
          <w:rFonts w:ascii="Times New Roman" w:hAnsi="Times New Roman"/>
          <w:b/>
          <w:bCs/>
          <w:lang w:val="en-HK"/>
        </w:rPr>
        <w:t xml:space="preserve"> View</w:t>
      </w:r>
      <w:r w:rsidRPr="00457DA0">
        <w:rPr>
          <w:rFonts w:ascii="Times New Roman" w:hAnsi="Times New Roman"/>
          <w:lang w:val="en-HK"/>
        </w:rPr>
        <w:t xml:space="preserve">: Trustees lack </w:t>
      </w:r>
      <w:r w:rsidRPr="00457DA0">
        <w:rPr>
          <w:rFonts w:ascii="Times New Roman" w:hAnsi="Times New Roman"/>
          <w:i/>
          <w:iCs/>
          <w:lang w:val="en-HK"/>
        </w:rPr>
        <w:t xml:space="preserve">usus, fructus, </w:t>
      </w:r>
      <w:proofErr w:type="spellStart"/>
      <w:r w:rsidRPr="00457DA0">
        <w:rPr>
          <w:rFonts w:ascii="Times New Roman" w:hAnsi="Times New Roman"/>
          <w:i/>
          <w:iCs/>
          <w:lang w:val="en-HK"/>
        </w:rPr>
        <w:t>abusus</w:t>
      </w:r>
      <w:proofErr w:type="spellEnd"/>
      <w:r w:rsidRPr="00457DA0">
        <w:rPr>
          <w:rFonts w:ascii="Times New Roman" w:hAnsi="Times New Roman"/>
          <w:lang w:val="en-HK"/>
        </w:rPr>
        <w:t xml:space="preserve"> (civilian ownership elements), managing without owning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88).</w:t>
      </w:r>
    </w:p>
    <w:p w14:paraId="62656F42" w14:textId="77777777" w:rsidR="00457DA0" w:rsidRPr="00457DA0" w:rsidRDefault="00457DA0" w:rsidP="00457DA0">
      <w:pPr>
        <w:numPr>
          <w:ilvl w:val="0"/>
          <w:numId w:val="9"/>
        </w:numPr>
        <w:spacing w:after="240" w:line="360" w:lineRule="auto"/>
        <w:rPr>
          <w:rFonts w:ascii="Times New Roman" w:hAnsi="Times New Roman"/>
          <w:lang w:val="en-HK"/>
        </w:rPr>
      </w:pPr>
      <w:r w:rsidRPr="00457DA0">
        <w:rPr>
          <w:rFonts w:ascii="Times New Roman" w:hAnsi="Times New Roman"/>
          <w:b/>
          <w:bCs/>
          <w:lang w:val="en-HK"/>
        </w:rPr>
        <w:t>Scots Law Contrast</w:t>
      </w:r>
      <w:r w:rsidRPr="00457DA0">
        <w:rPr>
          <w:rFonts w:ascii="Times New Roman" w:hAnsi="Times New Roman"/>
          <w:lang w:val="en-HK"/>
        </w:rPr>
        <w:t xml:space="preserve"> </w:t>
      </w:r>
    </w:p>
    <w:p w14:paraId="686A2844"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Trustee Ownership</w:t>
      </w:r>
      <w:r w:rsidRPr="00457DA0">
        <w:rPr>
          <w:rFonts w:ascii="Times New Roman" w:hAnsi="Times New Roman"/>
          <w:lang w:val="en-HK"/>
        </w:rPr>
        <w:t xml:space="preserve">: Scots law vests ownership in trustees, who wield </w:t>
      </w:r>
      <w:r w:rsidRPr="00457DA0">
        <w:rPr>
          <w:rFonts w:ascii="Times New Roman" w:hAnsi="Times New Roman"/>
          <w:i/>
          <w:iCs/>
          <w:lang w:val="en-HK"/>
        </w:rPr>
        <w:t xml:space="preserve">usus, fructus, </w:t>
      </w:r>
      <w:proofErr w:type="spellStart"/>
      <w:r w:rsidRPr="00457DA0">
        <w:rPr>
          <w:rFonts w:ascii="Times New Roman" w:hAnsi="Times New Roman"/>
          <w:i/>
          <w:iCs/>
          <w:lang w:val="en-HK"/>
        </w:rPr>
        <w:t>abusus</w:t>
      </w:r>
      <w:proofErr w:type="spellEnd"/>
      <w:r w:rsidRPr="00457DA0">
        <w:rPr>
          <w:rFonts w:ascii="Times New Roman" w:hAnsi="Times New Roman"/>
          <w:lang w:val="en-HK"/>
        </w:rPr>
        <w:t xml:space="preserve"> under obligation to benefit others, fitting civilian property norms.</w:t>
      </w:r>
    </w:p>
    <w:p w14:paraId="4B97AB1E"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Flexibility</w:t>
      </w:r>
      <w:r w:rsidRPr="00457DA0">
        <w:rPr>
          <w:rFonts w:ascii="Times New Roman" w:hAnsi="Times New Roman"/>
          <w:lang w:val="en-HK"/>
        </w:rPr>
        <w:t>: Shows ownership isn’t incompatible with trust autonomy, differing from Québec’s radical approach.</w:t>
      </w:r>
    </w:p>
    <w:p w14:paraId="148C85C1" w14:textId="77777777" w:rsidR="00457DA0" w:rsidRPr="00457DA0" w:rsidRDefault="00457DA0" w:rsidP="00457DA0">
      <w:pPr>
        <w:numPr>
          <w:ilvl w:val="0"/>
          <w:numId w:val="9"/>
        </w:numPr>
        <w:spacing w:after="240" w:line="360" w:lineRule="auto"/>
        <w:rPr>
          <w:rFonts w:ascii="Times New Roman" w:hAnsi="Times New Roman"/>
          <w:lang w:val="en-HK"/>
        </w:rPr>
      </w:pPr>
      <w:r w:rsidRPr="00457DA0">
        <w:rPr>
          <w:rFonts w:ascii="Times New Roman" w:hAnsi="Times New Roman"/>
          <w:b/>
          <w:bCs/>
          <w:lang w:val="en-HK"/>
        </w:rPr>
        <w:t>Patrimony-Personality Link</w:t>
      </w:r>
      <w:r w:rsidRPr="00457DA0">
        <w:rPr>
          <w:rFonts w:ascii="Times New Roman" w:hAnsi="Times New Roman"/>
          <w:lang w:val="en-HK"/>
        </w:rPr>
        <w:t xml:space="preserve"> </w:t>
      </w:r>
    </w:p>
    <w:p w14:paraId="6DF3E725"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Interdependence</w:t>
      </w:r>
      <w:r w:rsidRPr="00457DA0">
        <w:rPr>
          <w:rFonts w:ascii="Times New Roman" w:hAnsi="Times New Roman"/>
          <w:lang w:val="en-HK"/>
        </w:rPr>
        <w:t>: Personality implies patrimony; special patrimonies act quasi-personally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89, Ryan critiques </w:t>
      </w:r>
      <w:proofErr w:type="spellStart"/>
      <w:r w:rsidRPr="00457DA0">
        <w:rPr>
          <w:rFonts w:ascii="Times New Roman" w:hAnsi="Times New Roman"/>
          <w:lang w:val="en-HK"/>
        </w:rPr>
        <w:t>Lepaulle’s</w:t>
      </w:r>
      <w:proofErr w:type="spellEnd"/>
      <w:r w:rsidRPr="00457DA0">
        <w:rPr>
          <w:rFonts w:ascii="Times New Roman" w:hAnsi="Times New Roman"/>
          <w:lang w:val="en-HK"/>
        </w:rPr>
        <w:t xml:space="preserve"> conflation of </w:t>
      </w:r>
      <w:proofErr w:type="spellStart"/>
      <w:r w:rsidRPr="00457DA0">
        <w:rPr>
          <w:rFonts w:ascii="Times New Roman" w:hAnsi="Times New Roman"/>
          <w:i/>
          <w:iCs/>
          <w:lang w:val="en-HK"/>
        </w:rPr>
        <w:t>Zweckvermögen</w:t>
      </w:r>
      <w:proofErr w:type="spellEnd"/>
      <w:r w:rsidRPr="00457DA0">
        <w:rPr>
          <w:rFonts w:ascii="Times New Roman" w:hAnsi="Times New Roman"/>
          <w:lang w:val="en-HK"/>
        </w:rPr>
        <w:t xml:space="preserve"> and </w:t>
      </w:r>
      <w:proofErr w:type="spellStart"/>
      <w:r w:rsidRPr="00457DA0">
        <w:rPr>
          <w:rFonts w:ascii="Times New Roman" w:hAnsi="Times New Roman"/>
          <w:i/>
          <w:iCs/>
          <w:lang w:val="en-HK"/>
        </w:rPr>
        <w:t>Sondervermögen</w:t>
      </w:r>
      <w:proofErr w:type="spellEnd"/>
      <w:r w:rsidRPr="00457DA0">
        <w:rPr>
          <w:rFonts w:ascii="Times New Roman" w:hAnsi="Times New Roman"/>
          <w:lang w:val="en-HK"/>
        </w:rPr>
        <w:t>).</w:t>
      </w:r>
    </w:p>
    <w:p w14:paraId="40F772D3"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Historical Tendency</w:t>
      </w:r>
      <w:r w:rsidRPr="00457DA0">
        <w:rPr>
          <w:rFonts w:ascii="Times New Roman" w:hAnsi="Times New Roman"/>
          <w:lang w:val="en-HK"/>
        </w:rPr>
        <w:t xml:space="preserve">: Special patrimonies evolve into persons—e.g., </w:t>
      </w:r>
      <w:proofErr w:type="spellStart"/>
      <w:r w:rsidRPr="00457DA0">
        <w:rPr>
          <w:rFonts w:ascii="Times New Roman" w:hAnsi="Times New Roman"/>
          <w:lang w:val="en-HK"/>
        </w:rPr>
        <w:t>Lepaulle</w:t>
      </w:r>
      <w:proofErr w:type="spellEnd"/>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90) and South Africa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91) flirted with trust personhood.</w:t>
      </w:r>
    </w:p>
    <w:p w14:paraId="6FFCD035"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lastRenderedPageBreak/>
        <w:t>Ordinary Language</w:t>
      </w:r>
      <w:r w:rsidRPr="00457DA0">
        <w:rPr>
          <w:rFonts w:ascii="Times New Roman" w:hAnsi="Times New Roman"/>
          <w:lang w:val="en-HK"/>
        </w:rPr>
        <w:t>: “The trust owns” mirrors “the company owns,” suggesting intuitive personification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92 notes U.S. Bankruptcy Code’s “estate representative” as unintended support).</w:t>
      </w:r>
    </w:p>
    <w:p w14:paraId="50CC6D00"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Key Insight</w:t>
      </w:r>
    </w:p>
    <w:p w14:paraId="082DA697" w14:textId="6C329374"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 xml:space="preserve">Trusts as special patrimonies hover near juristic personality, with Québec pushing autonomy to an ownerless extreme and Scots law retaining trustee ownership. Civil law’s </w:t>
      </w:r>
      <w:r w:rsidRPr="00457DA0">
        <w:rPr>
          <w:rFonts w:ascii="Times New Roman" w:hAnsi="Times New Roman"/>
          <w:i/>
          <w:iCs/>
          <w:lang w:val="en-HK"/>
        </w:rPr>
        <w:t>universitas</w:t>
      </w:r>
      <w:r w:rsidRPr="00457DA0">
        <w:rPr>
          <w:rFonts w:ascii="Times New Roman" w:hAnsi="Times New Roman"/>
          <w:lang w:val="en-HK"/>
        </w:rPr>
        <w:t xml:space="preserve"> tradition accommodates both, illuminating trusts’ quasi-personal nature without requiring equity.</w:t>
      </w:r>
    </w:p>
    <w:p w14:paraId="5A5CA387" w14:textId="77777777" w:rsidR="00457DA0" w:rsidRPr="00457DA0" w:rsidRDefault="00457DA0" w:rsidP="00457DA0">
      <w:pPr>
        <w:spacing w:after="240" w:line="360" w:lineRule="auto"/>
        <w:outlineLvl w:val="2"/>
        <w:rPr>
          <w:rFonts w:ascii="Times New Roman" w:hAnsi="Times New Roman"/>
          <w:b/>
          <w:bCs/>
          <w:lang w:val="en-HK"/>
        </w:rPr>
      </w:pPr>
      <w:r w:rsidRPr="00457DA0">
        <w:rPr>
          <w:rFonts w:ascii="Times New Roman" w:hAnsi="Times New Roman"/>
          <w:b/>
          <w:bCs/>
          <w:lang w:val="en-HK"/>
        </w:rPr>
        <w:t>Additional Notes</w:t>
      </w:r>
    </w:p>
    <w:p w14:paraId="75A2D280"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Connection</w:t>
      </w:r>
      <w:r w:rsidRPr="00457DA0">
        <w:rPr>
          <w:rFonts w:ascii="Times New Roman" w:hAnsi="Times New Roman"/>
          <w:lang w:val="en-HK"/>
        </w:rPr>
        <w:t>: V resolves insolvency; VI bridges to VII’s office concept, refining trust taxonomy.</w:t>
      </w:r>
    </w:p>
    <w:p w14:paraId="6C61551C" w14:textId="488B0F52" w:rsidR="00457DA0" w:rsidRPr="00457DA0" w:rsidRDefault="00AA7DDE" w:rsidP="00457DA0">
      <w:pPr>
        <w:spacing w:after="240" w:line="360" w:lineRule="auto"/>
      </w:pPr>
      <w:r w:rsidRPr="00AA7DDE">
        <w:rPr>
          <w:rFonts w:ascii="Times New Roman" w:hAnsi="Times New Roman"/>
          <w:noProof/>
          <w:lang w:val="en-HK"/>
          <w14:ligatures w14:val="standardContextual"/>
        </w:rPr>
        <w:pict w14:anchorId="19D7974E">
          <v:rect id="_x0000_i1027" alt="" style="width:451.3pt;height:.05pt;mso-width-percent:0;mso-height-percent:0;mso-width-percent:0;mso-height-percent:0" o:hralign="center" o:hrstd="t" o:hr="t" fillcolor="#a0a0a0" stroked="f"/>
        </w:pict>
      </w:r>
    </w:p>
    <w:p w14:paraId="11E7D177" w14:textId="77777777" w:rsidR="00457DA0" w:rsidRPr="00457DA0" w:rsidRDefault="00457DA0" w:rsidP="00457DA0">
      <w:pPr>
        <w:spacing w:after="240" w:line="360" w:lineRule="auto"/>
        <w:outlineLvl w:val="2"/>
        <w:rPr>
          <w:rFonts w:ascii="Times New Roman" w:hAnsi="Times New Roman"/>
          <w:b/>
          <w:bCs/>
          <w:lang w:val="en-HK"/>
        </w:rPr>
      </w:pPr>
      <w:r w:rsidRPr="00457DA0">
        <w:rPr>
          <w:rFonts w:ascii="Times New Roman" w:hAnsi="Times New Roman"/>
          <w:b/>
          <w:bCs/>
          <w:lang w:val="en-HK"/>
        </w:rPr>
        <w:t>Section VII: Trusteeship as an Office (pp. 617-618)</w:t>
      </w:r>
    </w:p>
    <w:p w14:paraId="055B878B"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Overview</w:t>
      </w:r>
    </w:p>
    <w:p w14:paraId="236B93A6"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Gretton builds on the patrimony model by incorporating Tony Honoré’s concept of trusteeship as an "office," a key feature distinguishing trusts from mere contractual arrangements. This perspective, influential in South African trust law, emphasizes the trustee’s replaceability and court oversight, reinforcing the trust’s autonomy as a special patrimony and its integration into a civilian framework.</w:t>
      </w:r>
    </w:p>
    <w:p w14:paraId="710C0AF6"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Detailed Points</w:t>
      </w:r>
    </w:p>
    <w:p w14:paraId="760D8064" w14:textId="77777777" w:rsidR="00457DA0" w:rsidRPr="00457DA0" w:rsidRDefault="00457DA0" w:rsidP="00457DA0">
      <w:pPr>
        <w:numPr>
          <w:ilvl w:val="0"/>
          <w:numId w:val="13"/>
        </w:numPr>
        <w:spacing w:after="240" w:line="360" w:lineRule="auto"/>
        <w:rPr>
          <w:rFonts w:ascii="Times New Roman" w:hAnsi="Times New Roman"/>
          <w:lang w:val="en-HK"/>
        </w:rPr>
      </w:pPr>
      <w:r w:rsidRPr="00457DA0">
        <w:rPr>
          <w:rFonts w:ascii="Times New Roman" w:hAnsi="Times New Roman"/>
          <w:b/>
          <w:bCs/>
          <w:lang w:val="en-HK"/>
        </w:rPr>
        <w:t>Honoré’s Influence</w:t>
      </w:r>
      <w:r w:rsidRPr="00457DA0">
        <w:rPr>
          <w:rFonts w:ascii="Times New Roman" w:hAnsi="Times New Roman"/>
          <w:lang w:val="en-HK"/>
        </w:rPr>
        <w:t xml:space="preserve"> </w:t>
      </w:r>
    </w:p>
    <w:p w14:paraId="7F037449"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Source</w:t>
      </w:r>
      <w:r w:rsidRPr="00457DA0">
        <w:rPr>
          <w:rFonts w:ascii="Times New Roman" w:hAnsi="Times New Roman"/>
          <w:lang w:val="en-HK"/>
        </w:rPr>
        <w:t>: Tony Honoré, a prominent trust law scholar, emphasized "office" as a defining trait, particularly in South African law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93 cites his work in </w:t>
      </w:r>
      <w:r w:rsidRPr="00457DA0">
        <w:rPr>
          <w:rFonts w:ascii="Times New Roman" w:hAnsi="Times New Roman"/>
          <w:i/>
          <w:iCs/>
          <w:lang w:val="en-HK"/>
        </w:rPr>
        <w:t>Aequitas and Equity</w:t>
      </w:r>
      <w:r w:rsidRPr="00457DA0">
        <w:rPr>
          <w:rFonts w:ascii="Times New Roman" w:hAnsi="Times New Roman"/>
          <w:lang w:val="en-HK"/>
        </w:rPr>
        <w:t>).</w:t>
      </w:r>
    </w:p>
    <w:p w14:paraId="42910D61"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South African Context</w:t>
      </w:r>
      <w:r w:rsidRPr="00457DA0">
        <w:rPr>
          <w:rFonts w:ascii="Times New Roman" w:hAnsi="Times New Roman"/>
          <w:lang w:val="en-HK"/>
        </w:rPr>
        <w:t>: Honoré’s ideas shaped South Africa’s mixed legal system, blending Roman-Dutch civilian roots with trust adoption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91 references </w:t>
      </w:r>
      <w:r w:rsidRPr="00457DA0">
        <w:rPr>
          <w:rFonts w:ascii="Times New Roman" w:hAnsi="Times New Roman"/>
          <w:i/>
          <w:iCs/>
          <w:lang w:val="en-HK"/>
        </w:rPr>
        <w:t>Honoré’s South African Law of Trusts</w:t>
      </w:r>
      <w:r w:rsidRPr="00457DA0">
        <w:rPr>
          <w:rFonts w:ascii="Times New Roman" w:hAnsi="Times New Roman"/>
          <w:lang w:val="en-HK"/>
        </w:rPr>
        <w:t>).</w:t>
      </w:r>
    </w:p>
    <w:p w14:paraId="51BB1BA1" w14:textId="77777777" w:rsidR="00457DA0" w:rsidRPr="00457DA0" w:rsidRDefault="00457DA0" w:rsidP="00457DA0">
      <w:pPr>
        <w:numPr>
          <w:ilvl w:val="0"/>
          <w:numId w:val="13"/>
        </w:numPr>
        <w:spacing w:after="240" w:line="360" w:lineRule="auto"/>
        <w:rPr>
          <w:rFonts w:ascii="Times New Roman" w:hAnsi="Times New Roman"/>
          <w:lang w:val="en-HK"/>
        </w:rPr>
      </w:pPr>
      <w:r w:rsidRPr="00457DA0">
        <w:rPr>
          <w:rFonts w:ascii="Times New Roman" w:hAnsi="Times New Roman"/>
          <w:b/>
          <w:bCs/>
          <w:lang w:val="en-HK"/>
        </w:rPr>
        <w:lastRenderedPageBreak/>
        <w:t>Office Characteristics</w:t>
      </w:r>
      <w:r w:rsidRPr="00457DA0">
        <w:rPr>
          <w:rFonts w:ascii="Times New Roman" w:hAnsi="Times New Roman"/>
          <w:lang w:val="en-HK"/>
        </w:rPr>
        <w:t xml:space="preserve"> </w:t>
      </w:r>
    </w:p>
    <w:p w14:paraId="121FBDB7"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Universal Succession</w:t>
      </w:r>
      <w:r w:rsidRPr="00457DA0">
        <w:rPr>
          <w:rFonts w:ascii="Times New Roman" w:hAnsi="Times New Roman"/>
          <w:lang w:val="en-HK"/>
        </w:rPr>
        <w:t xml:space="preserve">: </w:t>
      </w:r>
    </w:p>
    <w:p w14:paraId="66BDE13B" w14:textId="77777777" w:rsidR="00457DA0" w:rsidRPr="00457DA0" w:rsidRDefault="00457DA0" w:rsidP="00457DA0">
      <w:pPr>
        <w:numPr>
          <w:ilvl w:val="2"/>
          <w:numId w:val="13"/>
        </w:numPr>
        <w:spacing w:after="240" w:line="360" w:lineRule="auto"/>
        <w:rPr>
          <w:rFonts w:ascii="Times New Roman" w:hAnsi="Times New Roman"/>
          <w:lang w:val="en-HK"/>
        </w:rPr>
      </w:pPr>
      <w:r w:rsidRPr="00457DA0">
        <w:rPr>
          <w:rFonts w:ascii="Times New Roman" w:hAnsi="Times New Roman"/>
          <w:lang w:val="en-HK"/>
        </w:rPr>
        <w:t xml:space="preserve">Trustees can transfer their role to successors </w:t>
      </w:r>
      <w:r w:rsidRPr="00457DA0">
        <w:rPr>
          <w:rFonts w:ascii="Times New Roman" w:hAnsi="Times New Roman"/>
          <w:i/>
          <w:iCs/>
          <w:lang w:val="en-HK"/>
        </w:rPr>
        <w:t xml:space="preserve">inter </w:t>
      </w:r>
      <w:proofErr w:type="spellStart"/>
      <w:r w:rsidRPr="00457DA0">
        <w:rPr>
          <w:rFonts w:ascii="Times New Roman" w:hAnsi="Times New Roman"/>
          <w:i/>
          <w:iCs/>
          <w:lang w:val="en-HK"/>
        </w:rPr>
        <w:t>vivos</w:t>
      </w:r>
      <w:proofErr w:type="spellEnd"/>
      <w:r w:rsidRPr="00457DA0">
        <w:rPr>
          <w:rFonts w:ascii="Times New Roman" w:hAnsi="Times New Roman"/>
          <w:lang w:val="en-HK"/>
        </w:rPr>
        <w:t xml:space="preserve"> (during life), akin to universal succession in inheritance, where new trustees inherit the entire trust patrimony (assets and liabilities).</w:t>
      </w:r>
    </w:p>
    <w:p w14:paraId="1D7686C7" w14:textId="77777777" w:rsidR="00457DA0" w:rsidRPr="00457DA0" w:rsidRDefault="00457DA0" w:rsidP="00457DA0">
      <w:pPr>
        <w:numPr>
          <w:ilvl w:val="2"/>
          <w:numId w:val="13"/>
        </w:numPr>
        <w:spacing w:after="240" w:line="360" w:lineRule="auto"/>
        <w:rPr>
          <w:rFonts w:ascii="Times New Roman" w:hAnsi="Times New Roman"/>
          <w:lang w:val="en-HK"/>
        </w:rPr>
      </w:pPr>
      <w:r w:rsidRPr="00457DA0">
        <w:rPr>
          <w:rFonts w:ascii="Times New Roman" w:hAnsi="Times New Roman"/>
          <w:lang w:val="en-HK"/>
        </w:rPr>
        <w:t>This frees outgoing trustees from further responsibility, unlike a contract where obligations persist unless discharged.</w:t>
      </w:r>
    </w:p>
    <w:p w14:paraId="671D3ACF"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Court Oversight</w:t>
      </w:r>
      <w:r w:rsidRPr="00457DA0">
        <w:rPr>
          <w:rFonts w:ascii="Times New Roman" w:hAnsi="Times New Roman"/>
          <w:lang w:val="en-HK"/>
        </w:rPr>
        <w:t xml:space="preserve">: </w:t>
      </w:r>
    </w:p>
    <w:p w14:paraId="67661214" w14:textId="77777777" w:rsidR="00457DA0" w:rsidRPr="00457DA0" w:rsidRDefault="00457DA0" w:rsidP="00457DA0">
      <w:pPr>
        <w:numPr>
          <w:ilvl w:val="2"/>
          <w:numId w:val="13"/>
        </w:numPr>
        <w:spacing w:after="240" w:line="360" w:lineRule="auto"/>
        <w:rPr>
          <w:rFonts w:ascii="Times New Roman" w:hAnsi="Times New Roman"/>
          <w:lang w:val="en-HK"/>
        </w:rPr>
      </w:pPr>
      <w:r w:rsidRPr="00457DA0">
        <w:rPr>
          <w:rFonts w:ascii="Times New Roman" w:hAnsi="Times New Roman"/>
          <w:lang w:val="en-HK"/>
        </w:rPr>
        <w:t>Trustees are removable and replaceable by courts, a judicial power starkly different from contractual relationships (e.g., a debtor can’t request a new creditor).</w:t>
      </w:r>
    </w:p>
    <w:p w14:paraId="51D08545" w14:textId="77777777" w:rsidR="00457DA0" w:rsidRPr="00457DA0" w:rsidRDefault="00457DA0" w:rsidP="00457DA0">
      <w:pPr>
        <w:numPr>
          <w:ilvl w:val="2"/>
          <w:numId w:val="13"/>
        </w:numPr>
        <w:spacing w:after="240" w:line="360" w:lineRule="auto"/>
        <w:rPr>
          <w:rFonts w:ascii="Times New Roman" w:hAnsi="Times New Roman"/>
          <w:lang w:val="en-HK"/>
        </w:rPr>
      </w:pPr>
      <w:r w:rsidRPr="00457DA0">
        <w:rPr>
          <w:rFonts w:ascii="Times New Roman" w:hAnsi="Times New Roman"/>
          <w:lang w:val="en-HK"/>
        </w:rPr>
        <w:t>Example: A beneficiary dissatisfied with a trustee can petition for replacement, a routine yet “remarkable” feature (Honoré’s words).</w:t>
      </w:r>
    </w:p>
    <w:p w14:paraId="47959982" w14:textId="77777777" w:rsidR="00457DA0" w:rsidRPr="00457DA0" w:rsidRDefault="00457DA0" w:rsidP="00457DA0">
      <w:pPr>
        <w:numPr>
          <w:ilvl w:val="0"/>
          <w:numId w:val="13"/>
        </w:numPr>
        <w:spacing w:after="240" w:line="360" w:lineRule="auto"/>
        <w:rPr>
          <w:rFonts w:ascii="Times New Roman" w:hAnsi="Times New Roman"/>
          <w:lang w:val="en-HK"/>
        </w:rPr>
      </w:pPr>
      <w:r w:rsidRPr="00457DA0">
        <w:rPr>
          <w:rFonts w:ascii="Times New Roman" w:hAnsi="Times New Roman"/>
          <w:b/>
          <w:bCs/>
          <w:lang w:val="en-HK"/>
        </w:rPr>
        <w:t xml:space="preserve">Contrast with Contracts and </w:t>
      </w:r>
      <w:proofErr w:type="spellStart"/>
      <w:r w:rsidRPr="00457DA0">
        <w:rPr>
          <w:rFonts w:ascii="Times New Roman" w:hAnsi="Times New Roman"/>
          <w:b/>
          <w:bCs/>
          <w:lang w:val="en-HK"/>
        </w:rPr>
        <w:t>Treuhand</w:t>
      </w:r>
      <w:proofErr w:type="spellEnd"/>
      <w:r w:rsidRPr="00457DA0">
        <w:rPr>
          <w:rFonts w:ascii="Times New Roman" w:hAnsi="Times New Roman"/>
          <w:lang w:val="en-HK"/>
        </w:rPr>
        <w:t xml:space="preserve"> </w:t>
      </w:r>
    </w:p>
    <w:p w14:paraId="512EEA37"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Contractual Limitation</w:t>
      </w:r>
      <w:r w:rsidRPr="00457DA0">
        <w:rPr>
          <w:rFonts w:ascii="Times New Roman" w:hAnsi="Times New Roman"/>
          <w:lang w:val="en-HK"/>
        </w:rPr>
        <w:t xml:space="preserve">: In a contract (e.g., German </w:t>
      </w:r>
      <w:proofErr w:type="spellStart"/>
      <w:r w:rsidRPr="00457DA0">
        <w:rPr>
          <w:rFonts w:ascii="Times New Roman" w:hAnsi="Times New Roman"/>
          <w:i/>
          <w:iCs/>
          <w:lang w:val="en-HK"/>
        </w:rPr>
        <w:t>Treuhand</w:t>
      </w:r>
      <w:proofErr w:type="spellEnd"/>
      <w:r w:rsidRPr="00457DA0">
        <w:rPr>
          <w:rFonts w:ascii="Times New Roman" w:hAnsi="Times New Roman"/>
          <w:lang w:val="en-HK"/>
        </w:rPr>
        <w:t>), obligations are personal and static; no court can swap parties without consent.</w:t>
      </w:r>
    </w:p>
    <w:p w14:paraId="0FDC1F98" w14:textId="77777777" w:rsidR="00457DA0" w:rsidRPr="00457DA0" w:rsidRDefault="00457DA0" w:rsidP="00457DA0">
      <w:pPr>
        <w:spacing w:after="240" w:line="360" w:lineRule="auto"/>
        <w:rPr>
          <w:rFonts w:ascii="Times New Roman" w:hAnsi="Times New Roman"/>
          <w:lang w:val="en-HK"/>
        </w:rPr>
      </w:pPr>
      <w:proofErr w:type="spellStart"/>
      <w:r w:rsidRPr="00457DA0">
        <w:rPr>
          <w:rFonts w:ascii="Times New Roman" w:hAnsi="Times New Roman"/>
          <w:b/>
          <w:bCs/>
          <w:lang w:val="en-HK"/>
        </w:rPr>
        <w:t>Treuhänder</w:t>
      </w:r>
      <w:proofErr w:type="spellEnd"/>
      <w:r w:rsidRPr="00457DA0">
        <w:rPr>
          <w:rFonts w:ascii="Times New Roman" w:hAnsi="Times New Roman"/>
          <w:lang w:val="en-HK"/>
        </w:rPr>
        <w:t>: The German trustee (</w:t>
      </w:r>
      <w:proofErr w:type="spellStart"/>
      <w:r w:rsidRPr="00457DA0">
        <w:rPr>
          <w:rFonts w:ascii="Times New Roman" w:hAnsi="Times New Roman"/>
          <w:i/>
          <w:iCs/>
          <w:lang w:val="en-HK"/>
        </w:rPr>
        <w:t>Treuhänder</w:t>
      </w:r>
      <w:proofErr w:type="spellEnd"/>
      <w:r w:rsidRPr="00457DA0">
        <w:rPr>
          <w:rFonts w:ascii="Times New Roman" w:hAnsi="Times New Roman"/>
          <w:lang w:val="en-HK"/>
        </w:rPr>
        <w:t xml:space="preserve">) lacks this office-like status—replacement requires contractual renegotiation, not judicial fiat, highlighting </w:t>
      </w:r>
      <w:proofErr w:type="spellStart"/>
      <w:r w:rsidRPr="00457DA0">
        <w:rPr>
          <w:rFonts w:ascii="Times New Roman" w:hAnsi="Times New Roman"/>
          <w:i/>
          <w:iCs/>
          <w:lang w:val="en-HK"/>
        </w:rPr>
        <w:t>Treuhand</w:t>
      </w:r>
      <w:r w:rsidRPr="00457DA0">
        <w:rPr>
          <w:rFonts w:ascii="Times New Roman" w:hAnsi="Times New Roman"/>
          <w:lang w:val="en-HK"/>
        </w:rPr>
        <w:t>’s</w:t>
      </w:r>
      <w:proofErr w:type="spellEnd"/>
      <w:r w:rsidRPr="00457DA0">
        <w:rPr>
          <w:rFonts w:ascii="Times New Roman" w:hAnsi="Times New Roman"/>
          <w:lang w:val="en-HK"/>
        </w:rPr>
        <w:t xml:space="preserve"> lesser autonomy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67, Section V, notes its subrogation flaws).</w:t>
      </w:r>
    </w:p>
    <w:p w14:paraId="0AB4B502" w14:textId="77777777" w:rsidR="00457DA0" w:rsidRPr="00457DA0" w:rsidRDefault="00457DA0" w:rsidP="00457DA0">
      <w:pPr>
        <w:numPr>
          <w:ilvl w:val="0"/>
          <w:numId w:val="13"/>
        </w:numPr>
        <w:spacing w:after="240" w:line="360" w:lineRule="auto"/>
        <w:rPr>
          <w:rFonts w:ascii="Times New Roman" w:hAnsi="Times New Roman"/>
          <w:lang w:val="en-HK"/>
        </w:rPr>
      </w:pPr>
      <w:r w:rsidRPr="00457DA0">
        <w:rPr>
          <w:rFonts w:ascii="Times New Roman" w:hAnsi="Times New Roman"/>
          <w:b/>
          <w:bCs/>
          <w:lang w:val="en-HK"/>
        </w:rPr>
        <w:t>Trust Definition Enhanced</w:t>
      </w:r>
      <w:r w:rsidRPr="00457DA0">
        <w:rPr>
          <w:rFonts w:ascii="Times New Roman" w:hAnsi="Times New Roman"/>
          <w:lang w:val="en-HK"/>
        </w:rPr>
        <w:t xml:space="preserve"> </w:t>
      </w:r>
    </w:p>
    <w:p w14:paraId="5190B656"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Patrimony + Office</w:t>
      </w:r>
      <w:r w:rsidRPr="00457DA0">
        <w:rPr>
          <w:rFonts w:ascii="Times New Roman" w:hAnsi="Times New Roman"/>
          <w:lang w:val="en-HK"/>
        </w:rPr>
        <w:t xml:space="preserve">: Honoré’s dictum, “it is the office that makes the difference between entrusting and trust,” pairs with patrimony (Section V) to fully define trusts. </w:t>
      </w:r>
    </w:p>
    <w:p w14:paraId="37AFEC51" w14:textId="77777777" w:rsidR="00457DA0" w:rsidRPr="00457DA0" w:rsidRDefault="00457DA0" w:rsidP="00457DA0">
      <w:pPr>
        <w:numPr>
          <w:ilvl w:val="2"/>
          <w:numId w:val="13"/>
        </w:numPr>
        <w:spacing w:after="240" w:line="360" w:lineRule="auto"/>
        <w:rPr>
          <w:rFonts w:ascii="Times New Roman" w:hAnsi="Times New Roman"/>
          <w:lang w:val="en-HK"/>
        </w:rPr>
      </w:pPr>
      <w:r w:rsidRPr="00457DA0">
        <w:rPr>
          <w:rFonts w:ascii="Times New Roman" w:hAnsi="Times New Roman"/>
          <w:lang w:val="en-HK"/>
        </w:rPr>
        <w:t>Patrimony segregates assets; office ensures management continuity and accountability.</w:t>
      </w:r>
    </w:p>
    <w:p w14:paraId="7309A88E"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South African Affirmation</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94 notes debate on office’s essentiality, but South African law deems it critical, reinforcing trust distinctiveness.</w:t>
      </w:r>
    </w:p>
    <w:p w14:paraId="54943437" w14:textId="77777777" w:rsidR="00457DA0" w:rsidRPr="00457DA0" w:rsidRDefault="00457DA0" w:rsidP="00457DA0">
      <w:pPr>
        <w:numPr>
          <w:ilvl w:val="0"/>
          <w:numId w:val="13"/>
        </w:numPr>
        <w:spacing w:after="240" w:line="360" w:lineRule="auto"/>
        <w:rPr>
          <w:rFonts w:ascii="Times New Roman" w:hAnsi="Times New Roman"/>
          <w:lang w:val="en-HK"/>
        </w:rPr>
      </w:pPr>
      <w:r w:rsidRPr="00457DA0">
        <w:rPr>
          <w:rFonts w:ascii="Times New Roman" w:hAnsi="Times New Roman"/>
          <w:b/>
          <w:bCs/>
          <w:lang w:val="en-HK"/>
        </w:rPr>
        <w:t>Practical Implications</w:t>
      </w:r>
      <w:r w:rsidRPr="00457DA0">
        <w:rPr>
          <w:rFonts w:ascii="Times New Roman" w:hAnsi="Times New Roman"/>
          <w:lang w:val="en-HK"/>
        </w:rPr>
        <w:t xml:space="preserve"> </w:t>
      </w:r>
    </w:p>
    <w:p w14:paraId="54A3F9B8"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lastRenderedPageBreak/>
        <w:t>Flexibility</w:t>
      </w:r>
      <w:r w:rsidRPr="00457DA0">
        <w:rPr>
          <w:rFonts w:ascii="Times New Roman" w:hAnsi="Times New Roman"/>
          <w:lang w:val="en-HK"/>
        </w:rPr>
        <w:t xml:space="preserve">: Office allows trusts to endure beyond individual trustees, aligning with Scots law’s continuity (e.g., new trustees appointed post-death,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68).</w:t>
      </w:r>
    </w:p>
    <w:p w14:paraId="31AFFC95"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Judicial Role</w:t>
      </w:r>
      <w:r w:rsidRPr="00457DA0">
        <w:rPr>
          <w:rFonts w:ascii="Times New Roman" w:hAnsi="Times New Roman"/>
          <w:lang w:val="en-HK"/>
        </w:rPr>
        <w:t xml:space="preserve">: Courts act as guardians of the trust patrimony, a civilian-compatible mechanism (e.g., Scots/South African practice,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69-70).</w:t>
      </w:r>
    </w:p>
    <w:p w14:paraId="4779B9D1"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Key Insight</w:t>
      </w:r>
    </w:p>
    <w:p w14:paraId="23DA7107"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 xml:space="preserve">Trusteeship as an office adds a dynamic layer to the patrimony model, distinguishing trusts from static obligations like </w:t>
      </w:r>
      <w:proofErr w:type="spellStart"/>
      <w:r w:rsidRPr="00457DA0">
        <w:rPr>
          <w:rFonts w:ascii="Times New Roman" w:hAnsi="Times New Roman"/>
          <w:i/>
          <w:iCs/>
          <w:lang w:val="en-HK"/>
        </w:rPr>
        <w:t>Treuhand</w:t>
      </w:r>
      <w:proofErr w:type="spellEnd"/>
      <w:r w:rsidRPr="00457DA0">
        <w:rPr>
          <w:rFonts w:ascii="Times New Roman" w:hAnsi="Times New Roman"/>
          <w:lang w:val="en-HK"/>
        </w:rPr>
        <w:t>. This judicially supervised, transferable role ensures trust resilience and accountability, making it a viable civilian construct without equity, as seen in Scots and South African law.</w:t>
      </w:r>
    </w:p>
    <w:p w14:paraId="0E2ED4D1" w14:textId="77777777" w:rsidR="00457DA0" w:rsidRPr="00457DA0" w:rsidRDefault="00AA7DDE" w:rsidP="00457DA0">
      <w:pPr>
        <w:spacing w:after="240" w:line="360" w:lineRule="auto"/>
        <w:rPr>
          <w:rFonts w:ascii="Times New Roman" w:hAnsi="Times New Roman"/>
          <w:lang w:val="en-HK"/>
        </w:rPr>
      </w:pPr>
      <w:r w:rsidRPr="00AA7DDE">
        <w:rPr>
          <w:rFonts w:ascii="Times New Roman" w:hAnsi="Times New Roman"/>
          <w:noProof/>
          <w:lang w:val="en-HK"/>
          <w14:ligatures w14:val="standardContextual"/>
        </w:rPr>
        <w:pict w14:anchorId="6ED85F03">
          <v:rect id="_x0000_i1026" alt="" style="width:451.3pt;height:.05pt;mso-width-percent:0;mso-height-percent:0;mso-width-percent:0;mso-height-percent:0" o:hralign="center" o:hrstd="t" o:hr="t" fillcolor="#a0a0a0" stroked="f"/>
        </w:pict>
      </w:r>
    </w:p>
    <w:p w14:paraId="35A6FD0A" w14:textId="77777777" w:rsidR="00457DA0" w:rsidRPr="00457DA0" w:rsidRDefault="00457DA0" w:rsidP="00457DA0">
      <w:pPr>
        <w:spacing w:after="240" w:line="360" w:lineRule="auto"/>
        <w:outlineLvl w:val="2"/>
        <w:rPr>
          <w:rFonts w:ascii="Times New Roman" w:hAnsi="Times New Roman"/>
          <w:b/>
          <w:bCs/>
          <w:lang w:val="en-HK"/>
        </w:rPr>
      </w:pPr>
      <w:r w:rsidRPr="00457DA0">
        <w:rPr>
          <w:rFonts w:ascii="Times New Roman" w:hAnsi="Times New Roman"/>
          <w:b/>
          <w:bCs/>
          <w:lang w:val="en-HK"/>
        </w:rPr>
        <w:t>Section VIII: Does It All Matter Anyway? (pp. 618-619)</w:t>
      </w:r>
    </w:p>
    <w:p w14:paraId="62463B6D"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Overview</w:t>
      </w:r>
    </w:p>
    <w:p w14:paraId="3B62B9C9"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Gretton justifies the importance of reconceptualizing trusts as special patrimonies with office, arguing it matters for legal taxonomy, civil law adoption, and understanding trusts’ risks. He highlights ongoing trust expansion globally and urges civil law systems to see trusts as familiar, not equity-bound, using Scots law as a practical model.</w:t>
      </w:r>
    </w:p>
    <w:p w14:paraId="557E3128"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Detailed Points</w:t>
      </w:r>
    </w:p>
    <w:p w14:paraId="65309CE7" w14:textId="77777777" w:rsidR="00457DA0" w:rsidRPr="00457DA0" w:rsidRDefault="00457DA0" w:rsidP="00457DA0">
      <w:pPr>
        <w:numPr>
          <w:ilvl w:val="0"/>
          <w:numId w:val="14"/>
        </w:numPr>
        <w:spacing w:after="240" w:line="360" w:lineRule="auto"/>
        <w:rPr>
          <w:rFonts w:ascii="Times New Roman" w:hAnsi="Times New Roman"/>
          <w:lang w:val="en-HK"/>
        </w:rPr>
      </w:pPr>
      <w:r w:rsidRPr="00457DA0">
        <w:rPr>
          <w:rFonts w:ascii="Times New Roman" w:hAnsi="Times New Roman"/>
          <w:b/>
          <w:bCs/>
          <w:lang w:val="en-HK"/>
        </w:rPr>
        <w:t>Legal Taxonomy</w:t>
      </w:r>
      <w:r w:rsidRPr="00457DA0">
        <w:rPr>
          <w:rFonts w:ascii="Times New Roman" w:hAnsi="Times New Roman"/>
          <w:lang w:val="en-HK"/>
        </w:rPr>
        <w:t xml:space="preserve"> </w:t>
      </w:r>
    </w:p>
    <w:p w14:paraId="15002DCD"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Need for Science</w:t>
      </w:r>
      <w:r w:rsidRPr="00457DA0">
        <w:rPr>
          <w:rFonts w:ascii="Times New Roman" w:hAnsi="Times New Roman"/>
          <w:lang w:val="en-HK"/>
        </w:rPr>
        <w:t>: Legal science (</w:t>
      </w:r>
      <w:proofErr w:type="spellStart"/>
      <w:r w:rsidRPr="00457DA0">
        <w:rPr>
          <w:rFonts w:ascii="Times New Roman" w:hAnsi="Times New Roman"/>
          <w:i/>
          <w:iCs/>
          <w:lang w:val="en-HK"/>
        </w:rPr>
        <w:t>Rechtswissenschaft</w:t>
      </w:r>
      <w:proofErr w:type="spellEnd"/>
      <w:r w:rsidRPr="00457DA0">
        <w:rPr>
          <w:rFonts w:ascii="Times New Roman" w:hAnsi="Times New Roman"/>
          <w:lang w:val="en-HK"/>
        </w:rPr>
        <w:t>) requires taxonomy; trusts must fit the system for coherence, akin to a library’s classification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not cited here but implied from earlier taxonomy discussions, e.g.,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71).</w:t>
      </w:r>
    </w:p>
    <w:p w14:paraId="42E9C9D2"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Resistance to Change</w:t>
      </w:r>
      <w:r w:rsidRPr="00457DA0">
        <w:rPr>
          <w:rFonts w:ascii="Times New Roman" w:hAnsi="Times New Roman"/>
          <w:lang w:val="en-HK"/>
        </w:rPr>
        <w:t xml:space="preserve">: Altering civilian taxonomy (e.g., </w:t>
      </w:r>
      <w:r w:rsidRPr="00457DA0">
        <w:rPr>
          <w:rFonts w:ascii="Times New Roman" w:hAnsi="Times New Roman"/>
          <w:i/>
          <w:iCs/>
          <w:lang w:val="en-HK"/>
        </w:rPr>
        <w:t xml:space="preserve">personae, res, </w:t>
      </w:r>
      <w:proofErr w:type="spellStart"/>
      <w:r w:rsidRPr="00457DA0">
        <w:rPr>
          <w:rFonts w:ascii="Times New Roman" w:hAnsi="Times New Roman"/>
          <w:i/>
          <w:iCs/>
          <w:lang w:val="en-HK"/>
        </w:rPr>
        <w:t>actiones</w:t>
      </w:r>
      <w:proofErr w:type="spellEnd"/>
      <w:r w:rsidRPr="00457DA0">
        <w:rPr>
          <w:rFonts w:ascii="Times New Roman" w:hAnsi="Times New Roman"/>
          <w:lang w:val="en-HK"/>
        </w:rPr>
        <w:t>) is possible but inconvenient; trusts belong in the law of persons via patrimony, not property or obligations alone.</w:t>
      </w:r>
    </w:p>
    <w:p w14:paraId="1DF0478C" w14:textId="77777777" w:rsidR="00457DA0" w:rsidRPr="00457DA0" w:rsidRDefault="00457DA0" w:rsidP="00457DA0">
      <w:pPr>
        <w:numPr>
          <w:ilvl w:val="0"/>
          <w:numId w:val="14"/>
        </w:numPr>
        <w:spacing w:after="240" w:line="360" w:lineRule="auto"/>
        <w:rPr>
          <w:rFonts w:ascii="Times New Roman" w:hAnsi="Times New Roman"/>
          <w:lang w:val="en-HK"/>
        </w:rPr>
      </w:pPr>
      <w:r w:rsidRPr="00457DA0">
        <w:rPr>
          <w:rFonts w:ascii="Times New Roman" w:hAnsi="Times New Roman"/>
          <w:b/>
          <w:bCs/>
          <w:lang w:val="en-HK"/>
        </w:rPr>
        <w:t>Trust Expansion</w:t>
      </w:r>
      <w:r w:rsidRPr="00457DA0">
        <w:rPr>
          <w:rFonts w:ascii="Times New Roman" w:hAnsi="Times New Roman"/>
          <w:lang w:val="en-HK"/>
        </w:rPr>
        <w:t xml:space="preserve"> </w:t>
      </w:r>
    </w:p>
    <w:p w14:paraId="25F57990"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lastRenderedPageBreak/>
        <w:t>Global Spread</w:t>
      </w:r>
      <w:r w:rsidRPr="00457DA0">
        <w:rPr>
          <w:rFonts w:ascii="Times New Roman" w:hAnsi="Times New Roman"/>
          <w:lang w:val="en-HK"/>
        </w:rPr>
        <w:t xml:space="preserve">: Trusts are “expansive”—adopted by some jurisdictions (e.g., Scots law since the 17th century) and considered by others (e.g., France, Belgium, Netherlands). </w:t>
      </w:r>
    </w:p>
    <w:p w14:paraId="55454986" w14:textId="77777777" w:rsidR="00457DA0" w:rsidRPr="00457DA0" w:rsidRDefault="00457DA0" w:rsidP="00457DA0">
      <w:pPr>
        <w:numPr>
          <w:ilvl w:val="2"/>
          <w:numId w:val="14"/>
        </w:numPr>
        <w:spacing w:after="240" w:line="360" w:lineRule="auto"/>
        <w:rPr>
          <w:rFonts w:ascii="Times New Roman" w:hAnsi="Times New Roman"/>
          <w:lang w:val="en-HK"/>
        </w:rPr>
      </w:pPr>
      <w:r w:rsidRPr="00457DA0">
        <w:rPr>
          <w:rFonts w:ascii="Times New Roman" w:hAnsi="Times New Roman"/>
          <w:b/>
          <w:bCs/>
          <w:lang w:val="en-HK"/>
        </w:rPr>
        <w:t>France 1992</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95 cites a failed proposal defining </w:t>
      </w:r>
      <w:proofErr w:type="spellStart"/>
      <w:r w:rsidRPr="00457DA0">
        <w:rPr>
          <w:rFonts w:ascii="Times New Roman" w:hAnsi="Times New Roman"/>
          <w:i/>
          <w:iCs/>
          <w:lang w:val="en-HK"/>
        </w:rPr>
        <w:t>fiducie</w:t>
      </w:r>
      <w:proofErr w:type="spellEnd"/>
      <w:r w:rsidRPr="00457DA0">
        <w:rPr>
          <w:rFonts w:ascii="Times New Roman" w:hAnsi="Times New Roman"/>
          <w:lang w:val="en-HK"/>
        </w:rPr>
        <w:t xml:space="preserve"> as a contract segregating assets, echoing patrimony (see Rémy’s report).</w:t>
      </w:r>
    </w:p>
    <w:p w14:paraId="5E228D11" w14:textId="77777777" w:rsidR="00457DA0" w:rsidRPr="00457DA0" w:rsidRDefault="00457DA0" w:rsidP="00457DA0">
      <w:pPr>
        <w:numPr>
          <w:ilvl w:val="2"/>
          <w:numId w:val="14"/>
        </w:numPr>
        <w:spacing w:after="240" w:line="360" w:lineRule="auto"/>
        <w:rPr>
          <w:rFonts w:ascii="Times New Roman" w:hAnsi="Times New Roman"/>
          <w:lang w:val="en-HK"/>
        </w:rPr>
      </w:pPr>
      <w:r w:rsidRPr="00457DA0">
        <w:rPr>
          <w:rFonts w:ascii="Times New Roman" w:hAnsi="Times New Roman"/>
          <w:b/>
          <w:bCs/>
          <w:lang w:val="en-HK"/>
        </w:rPr>
        <w:t>Belgium Proposal</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96 (</w:t>
      </w:r>
      <w:proofErr w:type="spellStart"/>
      <w:r w:rsidRPr="00457DA0">
        <w:rPr>
          <w:rFonts w:ascii="Times New Roman" w:hAnsi="Times New Roman"/>
          <w:lang w:val="en-HK"/>
        </w:rPr>
        <w:t>Storme</w:t>
      </w:r>
      <w:proofErr w:type="spellEnd"/>
      <w:r w:rsidRPr="00457DA0">
        <w:rPr>
          <w:rFonts w:ascii="Times New Roman" w:hAnsi="Times New Roman"/>
          <w:lang w:val="en-HK"/>
        </w:rPr>
        <w:t xml:space="preserve">) suggests beneficiaries own with trustees holding a “real right of administration,” blending trust and </w:t>
      </w:r>
      <w:proofErr w:type="spellStart"/>
      <w:r w:rsidRPr="00457DA0">
        <w:rPr>
          <w:rFonts w:ascii="Times New Roman" w:hAnsi="Times New Roman"/>
          <w:i/>
          <w:iCs/>
          <w:lang w:val="en-HK"/>
        </w:rPr>
        <w:t>bewind</w:t>
      </w:r>
      <w:proofErr w:type="spellEnd"/>
      <w:r w:rsidRPr="00457DA0">
        <w:rPr>
          <w:rFonts w:ascii="Times New Roman" w:hAnsi="Times New Roman"/>
          <w:lang w:val="en-HK"/>
        </w:rPr>
        <w:t xml:space="preserve"> (Section III).</w:t>
      </w:r>
    </w:p>
    <w:p w14:paraId="6E8ABAE3"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Cross-Border Relevance</w:t>
      </w:r>
      <w:r w:rsidRPr="00457DA0">
        <w:rPr>
          <w:rFonts w:ascii="Times New Roman" w:hAnsi="Times New Roman"/>
          <w:lang w:val="en-HK"/>
        </w:rPr>
        <w:t>: Even non-trust systems encounter trusts via international dealings, necessitating understanding beyond the Hague Convention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77).</w:t>
      </w:r>
    </w:p>
    <w:p w14:paraId="5B307E04" w14:textId="77777777" w:rsidR="00457DA0" w:rsidRPr="00457DA0" w:rsidRDefault="00457DA0" w:rsidP="00457DA0">
      <w:pPr>
        <w:numPr>
          <w:ilvl w:val="0"/>
          <w:numId w:val="14"/>
        </w:numPr>
        <w:spacing w:after="240" w:line="360" w:lineRule="auto"/>
        <w:rPr>
          <w:rFonts w:ascii="Times New Roman" w:hAnsi="Times New Roman"/>
          <w:lang w:val="en-HK"/>
        </w:rPr>
      </w:pPr>
      <w:r w:rsidRPr="00457DA0">
        <w:rPr>
          <w:rFonts w:ascii="Times New Roman" w:hAnsi="Times New Roman"/>
          <w:b/>
          <w:bCs/>
          <w:lang w:val="en-HK"/>
        </w:rPr>
        <w:t>Demystifying for Civil Law</w:t>
      </w:r>
      <w:r w:rsidRPr="00457DA0">
        <w:rPr>
          <w:rFonts w:ascii="Times New Roman" w:hAnsi="Times New Roman"/>
          <w:lang w:val="en-HK"/>
        </w:rPr>
        <w:t xml:space="preserve"> </w:t>
      </w:r>
    </w:p>
    <w:p w14:paraId="6E5F3A57"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Equity Misconception</w:t>
      </w:r>
      <w:r w:rsidRPr="00457DA0">
        <w:rPr>
          <w:rFonts w:ascii="Times New Roman" w:hAnsi="Times New Roman"/>
          <w:lang w:val="en-HK"/>
        </w:rPr>
        <w:t xml:space="preserve">: The Hague Convention’s preamble calls trusts a “unique” equity product, but Gretton’s model (patrimony + office) shows they’re civilian-compatible, rooted in </w:t>
      </w:r>
      <w:proofErr w:type="spellStart"/>
      <w:r w:rsidRPr="00457DA0">
        <w:rPr>
          <w:rFonts w:ascii="Times New Roman" w:hAnsi="Times New Roman"/>
          <w:i/>
          <w:iCs/>
          <w:lang w:val="en-HK"/>
        </w:rPr>
        <w:t>ius</w:t>
      </w:r>
      <w:proofErr w:type="spellEnd"/>
      <w:r w:rsidRPr="00457DA0">
        <w:rPr>
          <w:rFonts w:ascii="Times New Roman" w:hAnsi="Times New Roman"/>
          <w:i/>
          <w:iCs/>
          <w:lang w:val="en-HK"/>
        </w:rPr>
        <w:t xml:space="preserve"> commune</w:t>
      </w:r>
      <w:r w:rsidRPr="00457DA0">
        <w:rPr>
          <w:rFonts w:ascii="Times New Roman" w:hAnsi="Times New Roman"/>
          <w:lang w:val="en-HK"/>
        </w:rPr>
        <w:t xml:space="preserve"> (e.g., </w:t>
      </w:r>
      <w:r w:rsidRPr="00457DA0">
        <w:rPr>
          <w:rFonts w:ascii="Times New Roman" w:hAnsi="Times New Roman"/>
          <w:i/>
          <w:iCs/>
          <w:lang w:val="en-HK"/>
        </w:rPr>
        <w:t>peculium</w:t>
      </w:r>
      <w:r w:rsidRPr="00457DA0">
        <w:rPr>
          <w:rFonts w:ascii="Times New Roman" w:hAnsi="Times New Roman"/>
          <w:lang w:val="en-HK"/>
        </w:rPr>
        <w:t xml:space="preserve">, </w:t>
      </w:r>
      <w:r w:rsidRPr="00457DA0">
        <w:rPr>
          <w:rFonts w:ascii="Times New Roman" w:hAnsi="Times New Roman"/>
          <w:i/>
          <w:iCs/>
          <w:lang w:val="en-HK"/>
        </w:rPr>
        <w:t>universitas</w:t>
      </w:r>
      <w:r w:rsidRPr="00457DA0">
        <w:rPr>
          <w:rFonts w:ascii="Times New Roman" w:hAnsi="Times New Roman"/>
          <w:lang w:val="en-HK"/>
        </w:rPr>
        <w:t>).</w:t>
      </w:r>
    </w:p>
    <w:p w14:paraId="564E021B"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Practical Importance</w:t>
      </w:r>
      <w:r w:rsidRPr="00457DA0">
        <w:rPr>
          <w:rFonts w:ascii="Times New Roman" w:hAnsi="Times New Roman"/>
          <w:lang w:val="en-HK"/>
        </w:rPr>
        <w:t>: Civil law lawyers must grasp this to facilitate trust adoption or recognition, avoiding the “Athanasian mystery” trap (Section I).</w:t>
      </w:r>
    </w:p>
    <w:p w14:paraId="09B3B23C" w14:textId="77777777" w:rsidR="00457DA0" w:rsidRPr="00457DA0" w:rsidRDefault="00457DA0" w:rsidP="00457DA0">
      <w:pPr>
        <w:numPr>
          <w:ilvl w:val="0"/>
          <w:numId w:val="14"/>
        </w:numPr>
        <w:spacing w:after="240" w:line="360" w:lineRule="auto"/>
        <w:rPr>
          <w:rFonts w:ascii="Times New Roman" w:hAnsi="Times New Roman"/>
          <w:lang w:val="en-HK"/>
        </w:rPr>
      </w:pPr>
      <w:r w:rsidRPr="00457DA0">
        <w:rPr>
          <w:rFonts w:ascii="Times New Roman" w:hAnsi="Times New Roman"/>
          <w:b/>
          <w:bCs/>
          <w:lang w:val="en-HK"/>
        </w:rPr>
        <w:t>Risks and Implications</w:t>
      </w:r>
      <w:r w:rsidRPr="00457DA0">
        <w:rPr>
          <w:rFonts w:ascii="Times New Roman" w:hAnsi="Times New Roman"/>
          <w:lang w:val="en-HK"/>
        </w:rPr>
        <w:t xml:space="preserve"> </w:t>
      </w:r>
    </w:p>
    <w:p w14:paraId="4DC954E7"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Quasi-Personality</w:t>
      </w:r>
      <w:r w:rsidRPr="00457DA0">
        <w:rPr>
          <w:rFonts w:ascii="Times New Roman" w:hAnsi="Times New Roman"/>
          <w:lang w:val="en-HK"/>
        </w:rPr>
        <w:t xml:space="preserve">: Trusts mimic juristic persons (Section VI) but lack publicity requirements (e.g., registration) common to corporations, enabling private/secret creation. </w:t>
      </w:r>
    </w:p>
    <w:p w14:paraId="3FCB0918" w14:textId="77777777" w:rsidR="00457DA0" w:rsidRPr="00457DA0" w:rsidRDefault="00457DA0" w:rsidP="00457DA0">
      <w:pPr>
        <w:numPr>
          <w:ilvl w:val="2"/>
          <w:numId w:val="14"/>
        </w:numPr>
        <w:spacing w:after="240" w:line="360" w:lineRule="auto"/>
        <w:rPr>
          <w:rFonts w:ascii="Times New Roman" w:hAnsi="Times New Roman"/>
          <w:lang w:val="en-HK"/>
        </w:rPr>
      </w:pPr>
      <w:r w:rsidRPr="00457DA0">
        <w:rPr>
          <w:rFonts w:ascii="Times New Roman" w:hAnsi="Times New Roman"/>
          <w:b/>
          <w:bCs/>
          <w:lang w:val="en-HK"/>
        </w:rPr>
        <w:t>Danger</w:t>
      </w:r>
      <w:r w:rsidRPr="00457DA0">
        <w:rPr>
          <w:rFonts w:ascii="Times New Roman" w:hAnsi="Times New Roman"/>
          <w:lang w:val="en-HK"/>
        </w:rPr>
        <w:t>: This autonomy can shield assets covertly, a reason for civilian reluctance to embrace special patrimonies historically.</w:t>
      </w:r>
    </w:p>
    <w:p w14:paraId="6B28BC20"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Policy Consideration</w:t>
      </w:r>
      <w:r w:rsidRPr="00457DA0">
        <w:rPr>
          <w:rFonts w:ascii="Times New Roman" w:hAnsi="Times New Roman"/>
          <w:lang w:val="en-HK"/>
        </w:rPr>
        <w:t>: Systems adopting trusts should weigh this risk, balancing utility (e.g., flexibility) against potential abuse (e.g., creditor evasion).</w:t>
      </w:r>
    </w:p>
    <w:p w14:paraId="14C612BC" w14:textId="77777777" w:rsidR="00457DA0" w:rsidRPr="00457DA0" w:rsidRDefault="00457DA0" w:rsidP="00457DA0">
      <w:pPr>
        <w:numPr>
          <w:ilvl w:val="0"/>
          <w:numId w:val="14"/>
        </w:numPr>
        <w:spacing w:after="240" w:line="360" w:lineRule="auto"/>
        <w:rPr>
          <w:rFonts w:ascii="Times New Roman" w:hAnsi="Times New Roman"/>
          <w:lang w:val="en-HK"/>
        </w:rPr>
      </w:pPr>
      <w:r w:rsidRPr="00457DA0">
        <w:rPr>
          <w:rFonts w:ascii="Times New Roman" w:hAnsi="Times New Roman"/>
          <w:b/>
          <w:bCs/>
          <w:lang w:val="en-HK"/>
        </w:rPr>
        <w:t>Scots Law as Model</w:t>
      </w:r>
      <w:r w:rsidRPr="00457DA0">
        <w:rPr>
          <w:rFonts w:ascii="Times New Roman" w:hAnsi="Times New Roman"/>
          <w:lang w:val="en-HK"/>
        </w:rPr>
        <w:t xml:space="preserve"> </w:t>
      </w:r>
    </w:p>
    <w:p w14:paraId="0DC97A8F"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Evidence</w:t>
      </w:r>
      <w:r w:rsidRPr="00457DA0">
        <w:rPr>
          <w:rFonts w:ascii="Times New Roman" w:hAnsi="Times New Roman"/>
          <w:lang w:val="en-HK"/>
        </w:rPr>
        <w:t>: Scots law’s equity-free trusts (Section IX) prove the model works, offering a blueprint for civil law integration without disrupting property norms.</w:t>
      </w:r>
    </w:p>
    <w:p w14:paraId="056F85A3"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Urgency</w:t>
      </w:r>
      <w:r w:rsidRPr="00457DA0">
        <w:rPr>
          <w:rFonts w:ascii="Times New Roman" w:hAnsi="Times New Roman"/>
          <w:lang w:val="en-HK"/>
        </w:rPr>
        <w:t xml:space="preserve">: As trusts spread (e.g., Dutch interest,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107), clear conceptualization aids legal harmonization, especially in the EU.</w:t>
      </w:r>
    </w:p>
    <w:p w14:paraId="22666ED8"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lastRenderedPageBreak/>
        <w:t>Key Insight</w:t>
      </w:r>
    </w:p>
    <w:p w14:paraId="63CEC600" w14:textId="033B9585"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Conceptualizing trusts matters for taxonomy, enabling civil law adoption (e.g., France, Belgium), and highlighting their quasi-personal risks. Scots law’s success shows trusts aren’t equity-dependent, urging civil law systems to embrace them as familiar patrimonies with office, not alien constructs, amid global legal convergence.</w:t>
      </w:r>
    </w:p>
    <w:p w14:paraId="0E8ED45B" w14:textId="77777777" w:rsidR="00457DA0" w:rsidRPr="00457DA0" w:rsidRDefault="00457DA0" w:rsidP="00457DA0">
      <w:pPr>
        <w:spacing w:after="240" w:line="360" w:lineRule="auto"/>
        <w:outlineLvl w:val="2"/>
        <w:rPr>
          <w:rFonts w:ascii="Times New Roman" w:hAnsi="Times New Roman"/>
          <w:b/>
          <w:bCs/>
          <w:lang w:val="en-HK"/>
        </w:rPr>
      </w:pPr>
      <w:r w:rsidRPr="00457DA0">
        <w:rPr>
          <w:rFonts w:ascii="Times New Roman" w:hAnsi="Times New Roman"/>
          <w:b/>
          <w:bCs/>
          <w:lang w:val="en-HK"/>
        </w:rPr>
        <w:t>Additional Notes</w:t>
      </w:r>
    </w:p>
    <w:p w14:paraId="1C146CAA"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Connection</w:t>
      </w:r>
      <w:r w:rsidRPr="00457DA0">
        <w:rPr>
          <w:rFonts w:ascii="Times New Roman" w:hAnsi="Times New Roman"/>
          <w:lang w:val="en-HK"/>
        </w:rPr>
        <w:t>: VII completes the trust model (V + VI); VIII justifies its relevance, linking to IX’s Scots law focus.</w:t>
      </w:r>
    </w:p>
    <w:p w14:paraId="1C61099C" w14:textId="28DBF0B4" w:rsidR="00457DA0" w:rsidRPr="00457DA0" w:rsidRDefault="00AA7DDE" w:rsidP="00457DA0">
      <w:pPr>
        <w:spacing w:after="240" w:line="360" w:lineRule="auto"/>
      </w:pPr>
      <w:r w:rsidRPr="00AA7DDE">
        <w:rPr>
          <w:rFonts w:ascii="Times New Roman" w:hAnsi="Times New Roman"/>
          <w:noProof/>
          <w:lang w:val="en-HK"/>
          <w14:ligatures w14:val="standardContextual"/>
        </w:rPr>
        <w:pict w14:anchorId="18ADF43F">
          <v:rect id="_x0000_i1025" alt="" style="width:451.3pt;height:.05pt;mso-width-percent:0;mso-height-percent:0;mso-width-percent:0;mso-height-percent:0" o:hralign="center" o:hrstd="t" o:hr="t" fillcolor="#a0a0a0" stroked="f"/>
        </w:pict>
      </w:r>
    </w:p>
    <w:p w14:paraId="799FFF37" w14:textId="77777777" w:rsidR="00457DA0" w:rsidRPr="00457DA0" w:rsidRDefault="00457DA0" w:rsidP="00457DA0">
      <w:pPr>
        <w:spacing w:after="240" w:line="360" w:lineRule="auto"/>
        <w:outlineLvl w:val="2"/>
        <w:rPr>
          <w:rFonts w:ascii="Times New Roman" w:hAnsi="Times New Roman"/>
          <w:b/>
          <w:bCs/>
          <w:lang w:val="en-HK"/>
        </w:rPr>
      </w:pPr>
      <w:r w:rsidRPr="00457DA0">
        <w:rPr>
          <w:rFonts w:ascii="Times New Roman" w:hAnsi="Times New Roman"/>
          <w:b/>
          <w:bCs/>
          <w:lang w:val="en-HK"/>
        </w:rPr>
        <w:t>Section IX: Scots Law (pp. 619-620)</w:t>
      </w:r>
    </w:p>
    <w:p w14:paraId="0A0ECB02"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Overview</w:t>
      </w:r>
    </w:p>
    <w:p w14:paraId="748EC019"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Gretton presents Scots law as a unique mixed legal system that has successfully integrated trusts since the 17th century without relying on equity or statutory enactment. He emphasizes its civilian property law foundation, where trustees hold ownership and beneficiaries have personal rights, arguing that this system demonstrates trusts’ compatibility with civil law traditions and merits greater attention from comparatists.</w:t>
      </w:r>
    </w:p>
    <w:p w14:paraId="236C7E03"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Detailed Points</w:t>
      </w:r>
    </w:p>
    <w:p w14:paraId="142B0765" w14:textId="77777777" w:rsidR="00457DA0" w:rsidRPr="00457DA0" w:rsidRDefault="00457DA0" w:rsidP="00457DA0">
      <w:pPr>
        <w:numPr>
          <w:ilvl w:val="0"/>
          <w:numId w:val="16"/>
        </w:numPr>
        <w:spacing w:after="240" w:line="360" w:lineRule="auto"/>
        <w:rPr>
          <w:rFonts w:ascii="Times New Roman" w:hAnsi="Times New Roman"/>
          <w:lang w:val="en-HK"/>
        </w:rPr>
      </w:pPr>
      <w:r w:rsidRPr="00457DA0">
        <w:rPr>
          <w:rFonts w:ascii="Times New Roman" w:hAnsi="Times New Roman"/>
          <w:b/>
          <w:bCs/>
          <w:lang w:val="en-HK"/>
        </w:rPr>
        <w:t>Scots Law as a Mixed System</w:t>
      </w:r>
      <w:r w:rsidRPr="00457DA0">
        <w:rPr>
          <w:rFonts w:ascii="Times New Roman" w:hAnsi="Times New Roman"/>
          <w:lang w:val="en-HK"/>
        </w:rPr>
        <w:t xml:space="preserve"> </w:t>
      </w:r>
    </w:p>
    <w:p w14:paraId="51C75A0C"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Hybrid Nature</w:t>
      </w:r>
      <w:r w:rsidRPr="00457DA0">
        <w:rPr>
          <w:rFonts w:ascii="Times New Roman" w:hAnsi="Times New Roman"/>
          <w:lang w:val="en-HK"/>
        </w:rPr>
        <w:t xml:space="preserve">: Scots law blends English common law influences (e.g., in contract), civilian traditions from the </w:t>
      </w:r>
      <w:proofErr w:type="spellStart"/>
      <w:r w:rsidRPr="00457DA0">
        <w:rPr>
          <w:rFonts w:ascii="Times New Roman" w:hAnsi="Times New Roman"/>
          <w:i/>
          <w:iCs/>
          <w:lang w:val="en-HK"/>
        </w:rPr>
        <w:t>ius</w:t>
      </w:r>
      <w:proofErr w:type="spellEnd"/>
      <w:r w:rsidRPr="00457DA0">
        <w:rPr>
          <w:rFonts w:ascii="Times New Roman" w:hAnsi="Times New Roman"/>
          <w:i/>
          <w:iCs/>
          <w:lang w:val="en-HK"/>
        </w:rPr>
        <w:t xml:space="preserve"> commune</w:t>
      </w:r>
      <w:r w:rsidRPr="00457DA0">
        <w:rPr>
          <w:rFonts w:ascii="Times New Roman" w:hAnsi="Times New Roman"/>
          <w:lang w:val="en-HK"/>
        </w:rPr>
        <w:t xml:space="preserve"> (e.g., property law), and indigenous developments.</w:t>
      </w:r>
    </w:p>
    <w:p w14:paraId="67D66C94"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Property Law</w:t>
      </w:r>
      <w:r w:rsidRPr="00457DA0">
        <w:rPr>
          <w:rFonts w:ascii="Times New Roman" w:hAnsi="Times New Roman"/>
          <w:lang w:val="en-HK"/>
        </w:rPr>
        <w:t xml:space="preserve">: Notably civilian, rooted in Roman law principles like unitary ownership and a </w:t>
      </w:r>
      <w:r w:rsidRPr="00457DA0">
        <w:rPr>
          <w:rFonts w:ascii="Times New Roman" w:hAnsi="Times New Roman"/>
          <w:i/>
          <w:iCs/>
          <w:lang w:val="en-HK"/>
        </w:rPr>
        <w:t xml:space="preserve">numerus </w:t>
      </w:r>
      <w:proofErr w:type="spellStart"/>
      <w:r w:rsidRPr="00457DA0">
        <w:rPr>
          <w:rFonts w:ascii="Times New Roman" w:hAnsi="Times New Roman"/>
          <w:i/>
          <w:iCs/>
          <w:lang w:val="en-HK"/>
        </w:rPr>
        <w:t>clausus</w:t>
      </w:r>
      <w:proofErr w:type="spellEnd"/>
      <w:r w:rsidRPr="00457DA0">
        <w:rPr>
          <w:rFonts w:ascii="Times New Roman" w:hAnsi="Times New Roman"/>
          <w:lang w:val="en-HK"/>
        </w:rPr>
        <w:t xml:space="preserve"> of real rights, contrasting with English equity’s duality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36, Reid’s </w:t>
      </w:r>
      <w:r w:rsidRPr="00457DA0">
        <w:rPr>
          <w:rFonts w:ascii="Times New Roman" w:hAnsi="Times New Roman"/>
          <w:i/>
          <w:iCs/>
          <w:lang w:val="en-HK"/>
        </w:rPr>
        <w:t>Law of Property in Scotland</w:t>
      </w:r>
      <w:r w:rsidRPr="00457DA0">
        <w:rPr>
          <w:rFonts w:ascii="Times New Roman" w:hAnsi="Times New Roman"/>
          <w:lang w:val="en-HK"/>
        </w:rPr>
        <w:t>).</w:t>
      </w:r>
    </w:p>
    <w:p w14:paraId="28104B06" w14:textId="77777777" w:rsidR="00457DA0" w:rsidRPr="00457DA0" w:rsidRDefault="00457DA0" w:rsidP="00457DA0">
      <w:pPr>
        <w:numPr>
          <w:ilvl w:val="0"/>
          <w:numId w:val="16"/>
        </w:numPr>
        <w:spacing w:after="240" w:line="360" w:lineRule="auto"/>
        <w:rPr>
          <w:rFonts w:ascii="Times New Roman" w:hAnsi="Times New Roman"/>
          <w:lang w:val="en-HK"/>
        </w:rPr>
      </w:pPr>
      <w:r w:rsidRPr="00457DA0">
        <w:rPr>
          <w:rFonts w:ascii="Times New Roman" w:hAnsi="Times New Roman"/>
          <w:b/>
          <w:bCs/>
          <w:lang w:val="en-HK"/>
        </w:rPr>
        <w:t>Trusts in Scots Law</w:t>
      </w:r>
      <w:r w:rsidRPr="00457DA0">
        <w:rPr>
          <w:rFonts w:ascii="Times New Roman" w:hAnsi="Times New Roman"/>
          <w:lang w:val="en-HK"/>
        </w:rPr>
        <w:t xml:space="preserve"> </w:t>
      </w:r>
    </w:p>
    <w:p w14:paraId="141AF62E"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Historical Presence</w:t>
      </w:r>
      <w:r w:rsidRPr="00457DA0">
        <w:rPr>
          <w:rFonts w:ascii="Times New Roman" w:hAnsi="Times New Roman"/>
          <w:lang w:val="en-HK"/>
        </w:rPr>
        <w:t>: Trusts have existed since at least the 17th century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97, Gretton’s own work in </w:t>
      </w:r>
      <w:proofErr w:type="spellStart"/>
      <w:r w:rsidRPr="00457DA0">
        <w:rPr>
          <w:rFonts w:ascii="Times New Roman" w:hAnsi="Times New Roman"/>
          <w:i/>
          <w:iCs/>
          <w:lang w:val="en-HK"/>
        </w:rPr>
        <w:t>Itinera</w:t>
      </w:r>
      <w:proofErr w:type="spellEnd"/>
      <w:r w:rsidRPr="00457DA0">
        <w:rPr>
          <w:rFonts w:ascii="Times New Roman" w:hAnsi="Times New Roman"/>
          <w:i/>
          <w:iCs/>
          <w:lang w:val="en-HK"/>
        </w:rPr>
        <w:t xml:space="preserve"> Fiduciae</w:t>
      </w:r>
      <w:r w:rsidRPr="00457DA0">
        <w:rPr>
          <w:rFonts w:ascii="Times New Roman" w:hAnsi="Times New Roman"/>
          <w:lang w:val="en-HK"/>
        </w:rPr>
        <w:t>), predating other mixed systems’ statutory adoptions.</w:t>
      </w:r>
    </w:p>
    <w:p w14:paraId="696303BF"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lastRenderedPageBreak/>
        <w:t>Common Law Origin</w:t>
      </w:r>
      <w:r w:rsidRPr="00457DA0">
        <w:rPr>
          <w:rFonts w:ascii="Times New Roman" w:hAnsi="Times New Roman"/>
          <w:lang w:val="en-HK"/>
        </w:rPr>
        <w:t>: Unlike South Africa, Québec, or Liechtenstein, Scots trusts evolved organically within the unenacted common law, not via legislation, making them a “native species”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98-102 list statutory trust systems: South Africa, Québec, Sri Lanka, Louisiana, Mexico).</w:t>
      </w:r>
    </w:p>
    <w:p w14:paraId="1693A9B4"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Integration</w:t>
      </w:r>
      <w:r w:rsidRPr="00457DA0">
        <w:rPr>
          <w:rFonts w:ascii="Times New Roman" w:hAnsi="Times New Roman"/>
          <w:lang w:val="en-HK"/>
        </w:rPr>
        <w:t>: Trusts are fully embedded in Scots legal ecology, particularly its civilian property framework, without disrupting its structure.</w:t>
      </w:r>
    </w:p>
    <w:p w14:paraId="39E226C6" w14:textId="77777777" w:rsidR="00457DA0" w:rsidRPr="00457DA0" w:rsidRDefault="00457DA0" w:rsidP="00457DA0">
      <w:pPr>
        <w:numPr>
          <w:ilvl w:val="0"/>
          <w:numId w:val="16"/>
        </w:numPr>
        <w:spacing w:after="240" w:line="360" w:lineRule="auto"/>
        <w:rPr>
          <w:rFonts w:ascii="Times New Roman" w:hAnsi="Times New Roman"/>
          <w:lang w:val="en-HK"/>
        </w:rPr>
      </w:pPr>
      <w:r w:rsidRPr="00457DA0">
        <w:rPr>
          <w:rFonts w:ascii="Times New Roman" w:hAnsi="Times New Roman"/>
          <w:b/>
          <w:bCs/>
          <w:lang w:val="en-HK"/>
        </w:rPr>
        <w:t>Ownership Model</w:t>
      </w:r>
      <w:r w:rsidRPr="00457DA0">
        <w:rPr>
          <w:rFonts w:ascii="Times New Roman" w:hAnsi="Times New Roman"/>
          <w:lang w:val="en-HK"/>
        </w:rPr>
        <w:t xml:space="preserve"> </w:t>
      </w:r>
    </w:p>
    <w:p w14:paraId="33F63F3D"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Trustee Ownership</w:t>
      </w:r>
      <w:r w:rsidRPr="00457DA0">
        <w:rPr>
          <w:rFonts w:ascii="Times New Roman" w:hAnsi="Times New Roman"/>
          <w:lang w:val="en-HK"/>
        </w:rPr>
        <w:t>: Scots law vests full ownership in the trustee, not split between legal and equitable titles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104, Stair’s 1681 </w:t>
      </w:r>
      <w:r w:rsidRPr="00457DA0">
        <w:rPr>
          <w:rFonts w:ascii="Times New Roman" w:hAnsi="Times New Roman"/>
          <w:i/>
          <w:iCs/>
          <w:lang w:val="en-HK"/>
        </w:rPr>
        <w:t>Institutions</w:t>
      </w:r>
      <w:r w:rsidRPr="00457DA0">
        <w:rPr>
          <w:rFonts w:ascii="Times New Roman" w:hAnsi="Times New Roman"/>
          <w:lang w:val="en-HK"/>
        </w:rPr>
        <w:t xml:space="preserve"> 1,13,7: “the property ... is in the person of the intrusted, else it is not a proper trust”).</w:t>
      </w:r>
    </w:p>
    <w:p w14:paraId="08E4E1AD"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Beneficiary Rights</w:t>
      </w:r>
      <w:r w:rsidRPr="00457DA0">
        <w:rPr>
          <w:rFonts w:ascii="Times New Roman" w:hAnsi="Times New Roman"/>
          <w:lang w:val="en-HK"/>
        </w:rPr>
        <w:t>: Beneficiaries hold personal (obligational) rights against the trustee, not real (</w:t>
      </w:r>
      <w:r w:rsidRPr="00457DA0">
        <w:rPr>
          <w:rFonts w:ascii="Times New Roman" w:hAnsi="Times New Roman"/>
          <w:i/>
          <w:iCs/>
          <w:lang w:val="en-HK"/>
        </w:rPr>
        <w:t>in rem</w:t>
      </w:r>
      <w:r w:rsidRPr="00457DA0">
        <w:rPr>
          <w:rFonts w:ascii="Times New Roman" w:hAnsi="Times New Roman"/>
          <w:lang w:val="en-HK"/>
        </w:rPr>
        <w:t>) rights, aligning with Gretton’s earlier arguments (Sections IV, V).</w:t>
      </w:r>
    </w:p>
    <w:p w14:paraId="4FB26D82"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Historical Debate</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103 notes occasional flirtation with real rights (e.g., W.A. Wilson’s regret at courts’ personal rights stance in </w:t>
      </w:r>
      <w:r w:rsidRPr="00457DA0">
        <w:rPr>
          <w:rFonts w:ascii="Times New Roman" w:hAnsi="Times New Roman"/>
          <w:i/>
          <w:iCs/>
          <w:lang w:val="en-HK"/>
        </w:rPr>
        <w:t>Trusts and Trust-like Devices</w:t>
      </w:r>
      <w:r w:rsidRPr="00457DA0">
        <w:rPr>
          <w:rFonts w:ascii="Times New Roman" w:hAnsi="Times New Roman"/>
          <w:lang w:val="en-HK"/>
        </w:rPr>
        <w:t>, 1981), but the trustee-ownership model prevails.</w:t>
      </w:r>
    </w:p>
    <w:p w14:paraId="0B1FEEE5" w14:textId="77777777" w:rsidR="00457DA0" w:rsidRPr="00457DA0" w:rsidRDefault="00457DA0" w:rsidP="00457DA0">
      <w:pPr>
        <w:numPr>
          <w:ilvl w:val="0"/>
          <w:numId w:val="16"/>
        </w:numPr>
        <w:spacing w:after="240" w:line="360" w:lineRule="auto"/>
        <w:rPr>
          <w:rFonts w:ascii="Times New Roman" w:hAnsi="Times New Roman"/>
          <w:lang w:val="en-HK"/>
        </w:rPr>
      </w:pPr>
      <w:r w:rsidRPr="00457DA0">
        <w:rPr>
          <w:rFonts w:ascii="Times New Roman" w:hAnsi="Times New Roman"/>
          <w:b/>
          <w:bCs/>
          <w:lang w:val="en-HK"/>
        </w:rPr>
        <w:t>Functional Capability</w:t>
      </w:r>
      <w:r w:rsidRPr="00457DA0">
        <w:rPr>
          <w:rFonts w:ascii="Times New Roman" w:hAnsi="Times New Roman"/>
          <w:lang w:val="en-HK"/>
        </w:rPr>
        <w:t xml:space="preserve"> </w:t>
      </w:r>
    </w:p>
    <w:p w14:paraId="631C726C"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Comparison with English Law</w:t>
      </w:r>
      <w:r w:rsidRPr="00457DA0">
        <w:rPr>
          <w:rFonts w:ascii="Times New Roman" w:hAnsi="Times New Roman"/>
          <w:lang w:val="en-HK"/>
        </w:rPr>
        <w:t>: Scots trusts are less sophisticated than English trusts (lacking equity’s complexity) but robust enough for business needs—e.g., estate management, commercial trusts.</w:t>
      </w:r>
    </w:p>
    <w:p w14:paraId="555E9205"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No Equity Required</w:t>
      </w:r>
      <w:r w:rsidRPr="00457DA0">
        <w:rPr>
          <w:rFonts w:ascii="Times New Roman" w:hAnsi="Times New Roman"/>
          <w:lang w:val="en-HK"/>
        </w:rPr>
        <w:t>: Achieves English trust functionality (e.g., insolvency protection) without equity, proving the law/equity split isn’t essential (Section I’s premise).</w:t>
      </w:r>
    </w:p>
    <w:p w14:paraId="28149C2A" w14:textId="77777777" w:rsidR="00457DA0" w:rsidRPr="00457DA0" w:rsidRDefault="00457DA0" w:rsidP="00457DA0">
      <w:pPr>
        <w:numPr>
          <w:ilvl w:val="0"/>
          <w:numId w:val="16"/>
        </w:numPr>
        <w:spacing w:after="240" w:line="360" w:lineRule="auto"/>
        <w:rPr>
          <w:rFonts w:ascii="Times New Roman" w:hAnsi="Times New Roman"/>
          <w:lang w:val="en-HK"/>
        </w:rPr>
      </w:pPr>
      <w:r w:rsidRPr="00457DA0">
        <w:rPr>
          <w:rFonts w:ascii="Times New Roman" w:hAnsi="Times New Roman"/>
          <w:b/>
          <w:bCs/>
          <w:lang w:val="en-HK"/>
        </w:rPr>
        <w:t>Development Path</w:t>
      </w:r>
      <w:r w:rsidRPr="00457DA0">
        <w:rPr>
          <w:rFonts w:ascii="Times New Roman" w:hAnsi="Times New Roman"/>
          <w:lang w:val="en-HK"/>
        </w:rPr>
        <w:t xml:space="preserve"> </w:t>
      </w:r>
    </w:p>
    <w:p w14:paraId="39B7C2A3"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Not Deliberate Elegance</w:t>
      </w:r>
      <w:r w:rsidRPr="00457DA0">
        <w:rPr>
          <w:rFonts w:ascii="Times New Roman" w:hAnsi="Times New Roman"/>
          <w:lang w:val="en-HK"/>
        </w:rPr>
        <w:t>: Gretton disclaims Scots law’s sagacity; it didn’t consciously refine patrimony into trusts. Rather, 19th-century English trust influence pushed Scots law to adapt trusts within its civilian property system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not cited but implied from historical context).</w:t>
      </w:r>
    </w:p>
    <w:p w14:paraId="59B2B6B6"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Only Option</w:t>
      </w:r>
      <w:r w:rsidRPr="00457DA0">
        <w:rPr>
          <w:rFonts w:ascii="Times New Roman" w:hAnsi="Times New Roman"/>
          <w:lang w:val="en-HK"/>
        </w:rPr>
        <w:t>: Rejecting equity to preserve property law left Scots law one path—trustee ownership with personal rights—mirroring the patrimony model (Section V).</w:t>
      </w:r>
    </w:p>
    <w:p w14:paraId="3818599B" w14:textId="77777777" w:rsidR="00457DA0" w:rsidRPr="00457DA0" w:rsidRDefault="00457DA0" w:rsidP="00457DA0">
      <w:pPr>
        <w:numPr>
          <w:ilvl w:val="0"/>
          <w:numId w:val="16"/>
        </w:numPr>
        <w:spacing w:after="240" w:line="360" w:lineRule="auto"/>
        <w:rPr>
          <w:rFonts w:ascii="Times New Roman" w:hAnsi="Times New Roman"/>
          <w:lang w:val="en-HK"/>
        </w:rPr>
      </w:pPr>
      <w:r w:rsidRPr="00457DA0">
        <w:rPr>
          <w:rFonts w:ascii="Times New Roman" w:hAnsi="Times New Roman"/>
          <w:b/>
          <w:bCs/>
          <w:lang w:val="en-HK"/>
        </w:rPr>
        <w:lastRenderedPageBreak/>
        <w:t>Conceptual Clarity</w:t>
      </w:r>
      <w:r w:rsidRPr="00457DA0">
        <w:rPr>
          <w:rFonts w:ascii="Times New Roman" w:hAnsi="Times New Roman"/>
          <w:lang w:val="en-HK"/>
        </w:rPr>
        <w:t xml:space="preserve"> </w:t>
      </w:r>
    </w:p>
    <w:p w14:paraId="193261F5"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Ongoing Evolution</w:t>
      </w:r>
      <w:r w:rsidRPr="00457DA0">
        <w:rPr>
          <w:rFonts w:ascii="Times New Roman" w:hAnsi="Times New Roman"/>
          <w:lang w:val="en-HK"/>
        </w:rPr>
        <w:t>: Scots lawyers haven’t fully clarified trust theory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106 notes universities teach trusts under property, following English practice, not persons as Gretton advocates).</w:t>
      </w:r>
    </w:p>
    <w:p w14:paraId="3CE4B4E4"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Legislative Echo</w:t>
      </w:r>
      <w:r w:rsidRPr="00457DA0">
        <w:rPr>
          <w:rFonts w:ascii="Times New Roman" w:hAnsi="Times New Roman"/>
          <w:lang w:val="en-HK"/>
        </w:rPr>
        <w:t xml:space="preserve">: The </w:t>
      </w:r>
      <w:r w:rsidRPr="00457DA0">
        <w:rPr>
          <w:rFonts w:ascii="Times New Roman" w:hAnsi="Times New Roman"/>
          <w:i/>
          <w:iCs/>
          <w:lang w:val="en-HK"/>
        </w:rPr>
        <w:t>Scotland Act 1998</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106) defines “private law” with trusts under property, not persons, showing lingering taxonomic confusion (Roman taxonomy: </w:t>
      </w:r>
      <w:r w:rsidRPr="00457DA0">
        <w:rPr>
          <w:rFonts w:ascii="Times New Roman" w:hAnsi="Times New Roman"/>
          <w:i/>
          <w:iCs/>
          <w:lang w:val="en-HK"/>
        </w:rPr>
        <w:t xml:space="preserve">personae, res, </w:t>
      </w:r>
      <w:proofErr w:type="spellStart"/>
      <w:r w:rsidRPr="00457DA0">
        <w:rPr>
          <w:rFonts w:ascii="Times New Roman" w:hAnsi="Times New Roman"/>
          <w:i/>
          <w:iCs/>
          <w:lang w:val="en-HK"/>
        </w:rPr>
        <w:t>actiones</w:t>
      </w:r>
      <w:proofErr w:type="spellEnd"/>
      <w:r w:rsidRPr="00457DA0">
        <w:rPr>
          <w:rFonts w:ascii="Times New Roman" w:hAnsi="Times New Roman"/>
          <w:lang w:val="en-HK"/>
        </w:rPr>
        <w:t xml:space="preserve"> plus </w:t>
      </w:r>
      <w:proofErr w:type="spellStart"/>
      <w:r w:rsidRPr="00457DA0">
        <w:rPr>
          <w:rFonts w:ascii="Times New Roman" w:hAnsi="Times New Roman"/>
          <w:lang w:val="en-HK"/>
        </w:rPr>
        <w:t>pandectist</w:t>
      </w:r>
      <w:proofErr w:type="spellEnd"/>
      <w:r w:rsidRPr="00457DA0">
        <w:rPr>
          <w:rFonts w:ascii="Times New Roman" w:hAnsi="Times New Roman"/>
          <w:lang w:val="en-HK"/>
        </w:rPr>
        <w:t xml:space="preserve"> general part).</w:t>
      </w:r>
    </w:p>
    <w:p w14:paraId="2CFC7435" w14:textId="77777777" w:rsidR="00457DA0" w:rsidRPr="00457DA0" w:rsidRDefault="00457DA0" w:rsidP="00457DA0">
      <w:pPr>
        <w:numPr>
          <w:ilvl w:val="0"/>
          <w:numId w:val="16"/>
        </w:numPr>
        <w:spacing w:after="240" w:line="360" w:lineRule="auto"/>
        <w:rPr>
          <w:rFonts w:ascii="Times New Roman" w:hAnsi="Times New Roman"/>
          <w:lang w:val="en-HK"/>
        </w:rPr>
      </w:pPr>
      <w:r w:rsidRPr="00457DA0">
        <w:rPr>
          <w:rFonts w:ascii="Times New Roman" w:hAnsi="Times New Roman"/>
          <w:b/>
          <w:bCs/>
          <w:lang w:val="en-HK"/>
        </w:rPr>
        <w:t>Significance for Comparatists</w:t>
      </w:r>
      <w:r w:rsidRPr="00457DA0">
        <w:rPr>
          <w:rFonts w:ascii="Times New Roman" w:hAnsi="Times New Roman"/>
          <w:lang w:val="en-HK"/>
        </w:rPr>
        <w:t xml:space="preserve"> </w:t>
      </w:r>
    </w:p>
    <w:p w14:paraId="6C02E5E0"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Underappreciated</w:t>
      </w:r>
      <w:r w:rsidRPr="00457DA0">
        <w:rPr>
          <w:rFonts w:ascii="Times New Roman" w:hAnsi="Times New Roman"/>
          <w:lang w:val="en-HK"/>
        </w:rPr>
        <w:t>: Scots law’s trust system, despite its global relevance, lacks sufficient comparative study, except by figures like Lawson (Section I’s quote).</w:t>
      </w:r>
    </w:p>
    <w:p w14:paraId="4639AD4C"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Galactic Importance</w:t>
      </w:r>
      <w:r w:rsidRPr="00457DA0">
        <w:rPr>
          <w:rFonts w:ascii="Times New Roman" w:hAnsi="Times New Roman"/>
          <w:lang w:val="en-HK"/>
        </w:rPr>
        <w:t>: Gretton humorously acknowledges local pride but asserts Scots law’s objective value as a bridge between common and civil law traditions.</w:t>
      </w:r>
    </w:p>
    <w:p w14:paraId="2DBA1E3E" w14:textId="77777777"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Influence Potential</w:t>
      </w:r>
      <w:r w:rsidRPr="00457DA0">
        <w:rPr>
          <w:rFonts w:ascii="Times New Roman" w:hAnsi="Times New Roman"/>
          <w:lang w:val="en-HK"/>
        </w:rPr>
        <w:t xml:space="preserve">: </w:t>
      </w:r>
      <w:proofErr w:type="spellStart"/>
      <w:r w:rsidRPr="00457DA0">
        <w:rPr>
          <w:rFonts w:ascii="Times New Roman" w:hAnsi="Times New Roman"/>
          <w:lang w:val="en-HK"/>
        </w:rPr>
        <w:t>Fn</w:t>
      </w:r>
      <w:proofErr w:type="spellEnd"/>
      <w:r w:rsidRPr="00457DA0">
        <w:rPr>
          <w:rFonts w:ascii="Times New Roman" w:hAnsi="Times New Roman"/>
          <w:lang w:val="en-HK"/>
        </w:rPr>
        <w:t xml:space="preserve"> 107 suggests Scots law could guide Dutch trust adoption (</w:t>
      </w:r>
      <w:proofErr w:type="spellStart"/>
      <w:r w:rsidRPr="00457DA0">
        <w:rPr>
          <w:rFonts w:ascii="Times New Roman" w:hAnsi="Times New Roman"/>
          <w:lang w:val="en-HK"/>
        </w:rPr>
        <w:t>Kortmann</w:t>
      </w:r>
      <w:proofErr w:type="spellEnd"/>
      <w:r w:rsidRPr="00457DA0">
        <w:rPr>
          <w:rFonts w:ascii="Times New Roman" w:hAnsi="Times New Roman"/>
          <w:lang w:val="en-HK"/>
        </w:rPr>
        <w:t xml:space="preserve"> and </w:t>
      </w:r>
      <w:proofErr w:type="spellStart"/>
      <w:r w:rsidRPr="00457DA0">
        <w:rPr>
          <w:rFonts w:ascii="Times New Roman" w:hAnsi="Times New Roman"/>
          <w:lang w:val="en-HK"/>
        </w:rPr>
        <w:t>Verhagen’s</w:t>
      </w:r>
      <w:proofErr w:type="spellEnd"/>
      <w:r w:rsidRPr="00457DA0">
        <w:rPr>
          <w:rFonts w:ascii="Times New Roman" w:hAnsi="Times New Roman"/>
          <w:lang w:val="en-HK"/>
        </w:rPr>
        <w:t xml:space="preserve"> </w:t>
      </w:r>
      <w:r w:rsidRPr="00457DA0">
        <w:rPr>
          <w:rFonts w:ascii="Times New Roman" w:hAnsi="Times New Roman"/>
          <w:i/>
          <w:iCs/>
          <w:lang w:val="en-HK"/>
        </w:rPr>
        <w:t>Principles of European Trust Law</w:t>
      </w:r>
      <w:r w:rsidRPr="00457DA0">
        <w:rPr>
          <w:rFonts w:ascii="Times New Roman" w:hAnsi="Times New Roman"/>
          <w:lang w:val="en-HK"/>
        </w:rPr>
        <w:t>), with Reid’s national report reinforcing its relevance.</w:t>
      </w:r>
    </w:p>
    <w:p w14:paraId="5826FE00" w14:textId="77777777" w:rsidR="00457DA0" w:rsidRPr="00457DA0" w:rsidRDefault="00457DA0" w:rsidP="00457DA0">
      <w:pPr>
        <w:spacing w:after="240" w:line="360" w:lineRule="auto"/>
        <w:outlineLvl w:val="3"/>
        <w:rPr>
          <w:rFonts w:ascii="Times New Roman" w:hAnsi="Times New Roman"/>
          <w:b/>
          <w:bCs/>
          <w:lang w:val="en-HK"/>
        </w:rPr>
      </w:pPr>
      <w:r w:rsidRPr="00457DA0">
        <w:rPr>
          <w:rFonts w:ascii="Times New Roman" w:hAnsi="Times New Roman"/>
          <w:b/>
          <w:bCs/>
          <w:lang w:val="en-HK"/>
        </w:rPr>
        <w:t>Key Insight</w:t>
      </w:r>
    </w:p>
    <w:p w14:paraId="582318EF" w14:textId="3C4A2E54" w:rsidR="00457DA0" w:rsidRPr="00457DA0" w:rsidRDefault="00457DA0" w:rsidP="00457DA0">
      <w:pPr>
        <w:spacing w:after="240" w:line="360" w:lineRule="auto"/>
        <w:rPr>
          <w:rFonts w:ascii="Times New Roman" w:hAnsi="Times New Roman"/>
          <w:lang w:val="en-HK"/>
        </w:rPr>
      </w:pPr>
      <w:r w:rsidRPr="00457DA0">
        <w:rPr>
          <w:rFonts w:ascii="Times New Roman" w:hAnsi="Times New Roman"/>
          <w:lang w:val="en-HK"/>
        </w:rPr>
        <w:t xml:space="preserve">Scots law exemplifies how trusts thrive without equity, integrating into a civilian property system via trustee ownership and personal beneficiary rights. Its organic, centuries-long development offers a practical, non-statutory model for civil law jurisdictions, challenging equity-centric views and highlighting trusts’ adaptability within the </w:t>
      </w:r>
      <w:proofErr w:type="spellStart"/>
      <w:r w:rsidRPr="00457DA0">
        <w:rPr>
          <w:rFonts w:ascii="Times New Roman" w:hAnsi="Times New Roman"/>
          <w:i/>
          <w:iCs/>
          <w:lang w:val="en-HK"/>
        </w:rPr>
        <w:t>ius</w:t>
      </w:r>
      <w:proofErr w:type="spellEnd"/>
      <w:r w:rsidRPr="00457DA0">
        <w:rPr>
          <w:rFonts w:ascii="Times New Roman" w:hAnsi="Times New Roman"/>
          <w:i/>
          <w:iCs/>
          <w:lang w:val="en-HK"/>
        </w:rPr>
        <w:t xml:space="preserve"> commune</w:t>
      </w:r>
      <w:r w:rsidRPr="00457DA0">
        <w:rPr>
          <w:rFonts w:ascii="Times New Roman" w:hAnsi="Times New Roman"/>
          <w:lang w:val="en-HK"/>
        </w:rPr>
        <w:t xml:space="preserve"> tradition</w:t>
      </w:r>
      <w:r w:rsidRPr="00457DA0">
        <w:rPr>
          <w:rFonts w:ascii="Times New Roman" w:hAnsi="Times New Roman"/>
          <w:lang w:val="en-HK"/>
        </w:rPr>
        <w:t>.</w:t>
      </w:r>
    </w:p>
    <w:p w14:paraId="558065F6" w14:textId="77777777" w:rsidR="00457DA0" w:rsidRPr="00457DA0" w:rsidRDefault="00457DA0" w:rsidP="00457DA0">
      <w:pPr>
        <w:spacing w:after="240" w:line="360" w:lineRule="auto"/>
        <w:outlineLvl w:val="2"/>
        <w:rPr>
          <w:rFonts w:ascii="Times New Roman" w:hAnsi="Times New Roman"/>
          <w:b/>
          <w:bCs/>
          <w:lang w:val="en-HK"/>
        </w:rPr>
      </w:pPr>
      <w:r w:rsidRPr="00457DA0">
        <w:rPr>
          <w:rFonts w:ascii="Times New Roman" w:hAnsi="Times New Roman"/>
          <w:b/>
          <w:bCs/>
          <w:lang w:val="en-HK"/>
        </w:rPr>
        <w:t>Additional Notes</w:t>
      </w:r>
    </w:p>
    <w:p w14:paraId="7F449C76" w14:textId="6FD2A073" w:rsidR="00457DA0" w:rsidRPr="00457DA0" w:rsidRDefault="00457DA0" w:rsidP="00457DA0">
      <w:pPr>
        <w:spacing w:after="240" w:line="360" w:lineRule="auto"/>
        <w:rPr>
          <w:rFonts w:ascii="Times New Roman" w:hAnsi="Times New Roman"/>
          <w:lang w:val="en-HK"/>
        </w:rPr>
      </w:pPr>
      <w:r w:rsidRPr="00457DA0">
        <w:rPr>
          <w:rFonts w:ascii="Times New Roman" w:hAnsi="Times New Roman"/>
          <w:b/>
          <w:bCs/>
          <w:lang w:val="en-HK"/>
        </w:rPr>
        <w:t>Connection</w:t>
      </w:r>
      <w:r w:rsidRPr="00457DA0">
        <w:rPr>
          <w:rFonts w:ascii="Times New Roman" w:hAnsi="Times New Roman"/>
          <w:lang w:val="en-HK"/>
        </w:rPr>
        <w:t>: Ties back to Section I’s Scots law introduction, Section V’s patrimony, and Section VIII’s call for civil law adoption, concluding the article’s arc.</w:t>
      </w:r>
    </w:p>
    <w:sectPr w:rsidR="00457DA0" w:rsidRPr="00457D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72D54"/>
    <w:multiLevelType w:val="multilevel"/>
    <w:tmpl w:val="3B2E9FF8"/>
    <w:lvl w:ilvl="0">
      <w:start w:val="1"/>
      <w:numFmt w:val="decimal"/>
      <w:lvlText w:val="%1."/>
      <w:lvlJc w:val="left"/>
      <w:pPr>
        <w:tabs>
          <w:tab w:val="num" w:pos="0"/>
        </w:tabs>
        <w:ind w:left="0" w:hanging="360"/>
      </w:pPr>
    </w:lvl>
    <w:lvl w:ilvl="1">
      <w:start w:val="1"/>
      <w:numFmt w:val="bullet"/>
      <w:lvlText w:val="o"/>
      <w:lvlJc w:val="left"/>
      <w:pPr>
        <w:tabs>
          <w:tab w:val="num" w:pos="0"/>
        </w:tabs>
        <w:ind w:left="0" w:hanging="360"/>
      </w:pPr>
      <w:rPr>
        <w:rFonts w:ascii="Courier New" w:hAnsi="Courier New" w:hint="default"/>
        <w:sz w:val="20"/>
      </w:rPr>
    </w:lvl>
    <w:lvl w:ilvl="2">
      <w:start w:val="1"/>
      <w:numFmt w:val="bullet"/>
      <w:lvlText w:val=""/>
      <w:lvlJc w:val="left"/>
      <w:pPr>
        <w:tabs>
          <w:tab w:val="num" w:pos="0"/>
        </w:tabs>
        <w:ind w:left="0" w:hanging="360"/>
      </w:pPr>
      <w:rPr>
        <w:rFonts w:ascii="Wingdings" w:hAnsi="Wingdings" w:hint="default"/>
        <w:sz w:val="20"/>
      </w:r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 w15:restartNumberingAfterBreak="0">
    <w:nsid w:val="0B962E0C"/>
    <w:multiLevelType w:val="multilevel"/>
    <w:tmpl w:val="98DCCD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51C10E1"/>
    <w:multiLevelType w:val="multilevel"/>
    <w:tmpl w:val="7C7C34EA"/>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9550735"/>
    <w:multiLevelType w:val="multilevel"/>
    <w:tmpl w:val="74F68E84"/>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06012AC"/>
    <w:multiLevelType w:val="multilevel"/>
    <w:tmpl w:val="FA52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91F88"/>
    <w:multiLevelType w:val="multilevel"/>
    <w:tmpl w:val="A80C892C"/>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9C44F5E"/>
    <w:multiLevelType w:val="multilevel"/>
    <w:tmpl w:val="2AF0B18A"/>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FC12058"/>
    <w:multiLevelType w:val="multilevel"/>
    <w:tmpl w:val="24E0213C"/>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2322CDA"/>
    <w:multiLevelType w:val="multilevel"/>
    <w:tmpl w:val="DCE28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E419B1"/>
    <w:multiLevelType w:val="multilevel"/>
    <w:tmpl w:val="81AC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D672E"/>
    <w:multiLevelType w:val="multilevel"/>
    <w:tmpl w:val="2022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787273"/>
    <w:multiLevelType w:val="multilevel"/>
    <w:tmpl w:val="09A42636"/>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9AD0615"/>
    <w:multiLevelType w:val="multilevel"/>
    <w:tmpl w:val="EA323EDA"/>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decimal"/>
      <w:lvlText w:val="%4."/>
      <w:lvlJc w:val="left"/>
      <w:pPr>
        <w:tabs>
          <w:tab w:val="num" w:pos="360"/>
        </w:tabs>
        <w:ind w:left="36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68D45A33"/>
    <w:multiLevelType w:val="multilevel"/>
    <w:tmpl w:val="4F46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04430A"/>
    <w:multiLevelType w:val="multilevel"/>
    <w:tmpl w:val="43E61E22"/>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2200D06"/>
    <w:multiLevelType w:val="multilevel"/>
    <w:tmpl w:val="8DA6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669A6"/>
    <w:multiLevelType w:val="multilevel"/>
    <w:tmpl w:val="B004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412448">
    <w:abstractNumId w:val="12"/>
  </w:num>
  <w:num w:numId="2" w16cid:durableId="663511690">
    <w:abstractNumId w:val="1"/>
  </w:num>
  <w:num w:numId="3" w16cid:durableId="1148935512">
    <w:abstractNumId w:val="6"/>
  </w:num>
  <w:num w:numId="4" w16cid:durableId="1784374402">
    <w:abstractNumId w:val="4"/>
  </w:num>
  <w:num w:numId="5" w16cid:durableId="949822140">
    <w:abstractNumId w:val="0"/>
  </w:num>
  <w:num w:numId="6" w16cid:durableId="908810797">
    <w:abstractNumId w:val="7"/>
  </w:num>
  <w:num w:numId="7" w16cid:durableId="551966743">
    <w:abstractNumId w:val="9"/>
  </w:num>
  <w:num w:numId="8" w16cid:durableId="495802309">
    <w:abstractNumId w:val="2"/>
  </w:num>
  <w:num w:numId="9" w16cid:durableId="1013796608">
    <w:abstractNumId w:val="14"/>
  </w:num>
  <w:num w:numId="10" w16cid:durableId="1484733242">
    <w:abstractNumId w:val="13"/>
  </w:num>
  <w:num w:numId="11" w16cid:durableId="1433284997">
    <w:abstractNumId w:val="8"/>
  </w:num>
  <w:num w:numId="12" w16cid:durableId="1740833118">
    <w:abstractNumId w:val="16"/>
  </w:num>
  <w:num w:numId="13" w16cid:durableId="2052416372">
    <w:abstractNumId w:val="5"/>
  </w:num>
  <w:num w:numId="14" w16cid:durableId="1928494340">
    <w:abstractNumId w:val="3"/>
  </w:num>
  <w:num w:numId="15" w16cid:durableId="806705552">
    <w:abstractNumId w:val="10"/>
  </w:num>
  <w:num w:numId="16" w16cid:durableId="576138842">
    <w:abstractNumId w:val="11"/>
  </w:num>
  <w:num w:numId="17" w16cid:durableId="6176437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9C7"/>
    <w:rsid w:val="000046A5"/>
    <w:rsid w:val="0001136E"/>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54C0D"/>
    <w:rsid w:val="00357561"/>
    <w:rsid w:val="00361344"/>
    <w:rsid w:val="0036177C"/>
    <w:rsid w:val="00361975"/>
    <w:rsid w:val="00376E23"/>
    <w:rsid w:val="0039416B"/>
    <w:rsid w:val="003A1271"/>
    <w:rsid w:val="003A5DF7"/>
    <w:rsid w:val="003B3510"/>
    <w:rsid w:val="003C116C"/>
    <w:rsid w:val="003D0CDD"/>
    <w:rsid w:val="003D710F"/>
    <w:rsid w:val="003E1CAA"/>
    <w:rsid w:val="003F66C5"/>
    <w:rsid w:val="0040210F"/>
    <w:rsid w:val="00412F9B"/>
    <w:rsid w:val="004222FD"/>
    <w:rsid w:val="004319FA"/>
    <w:rsid w:val="00442F56"/>
    <w:rsid w:val="0044616D"/>
    <w:rsid w:val="00457DA0"/>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4F67E4"/>
    <w:rsid w:val="00505437"/>
    <w:rsid w:val="005120A1"/>
    <w:rsid w:val="00542B57"/>
    <w:rsid w:val="00545764"/>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425BE"/>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07AB"/>
    <w:rsid w:val="007D491C"/>
    <w:rsid w:val="007D68F0"/>
    <w:rsid w:val="007E1559"/>
    <w:rsid w:val="007E2E80"/>
    <w:rsid w:val="007E4AE6"/>
    <w:rsid w:val="007F776E"/>
    <w:rsid w:val="00816563"/>
    <w:rsid w:val="00830C88"/>
    <w:rsid w:val="00845A72"/>
    <w:rsid w:val="00845AB5"/>
    <w:rsid w:val="00850813"/>
    <w:rsid w:val="00861B11"/>
    <w:rsid w:val="00871FC4"/>
    <w:rsid w:val="008829C2"/>
    <w:rsid w:val="0088570A"/>
    <w:rsid w:val="008A54BE"/>
    <w:rsid w:val="008B2AB5"/>
    <w:rsid w:val="008C7B0A"/>
    <w:rsid w:val="008D0642"/>
    <w:rsid w:val="008E43C2"/>
    <w:rsid w:val="008E745B"/>
    <w:rsid w:val="008F4EA7"/>
    <w:rsid w:val="008F5A10"/>
    <w:rsid w:val="00905ED0"/>
    <w:rsid w:val="0092269A"/>
    <w:rsid w:val="00931EAF"/>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61CD9"/>
    <w:rsid w:val="00A93FBA"/>
    <w:rsid w:val="00A95C7E"/>
    <w:rsid w:val="00AA7DDE"/>
    <w:rsid w:val="00AB609D"/>
    <w:rsid w:val="00AC3AB8"/>
    <w:rsid w:val="00AE4348"/>
    <w:rsid w:val="00AE4BAF"/>
    <w:rsid w:val="00B03D5A"/>
    <w:rsid w:val="00B200EB"/>
    <w:rsid w:val="00B23297"/>
    <w:rsid w:val="00B360EE"/>
    <w:rsid w:val="00B53B6F"/>
    <w:rsid w:val="00B60A3B"/>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36588"/>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274DA"/>
    <w:rsid w:val="00D60E77"/>
    <w:rsid w:val="00D64DCE"/>
    <w:rsid w:val="00D65735"/>
    <w:rsid w:val="00D715E8"/>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49C7"/>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3A97"/>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EF14A"/>
  <w15:chartTrackingRefBased/>
  <w15:docId w15:val="{9A1854E9-9B37-454B-B87F-59C2C1B54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EB49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9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49C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49C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49C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49C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49C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49C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49C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9C7"/>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EB49C7"/>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EB49C7"/>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EB49C7"/>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EB49C7"/>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EB49C7"/>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EB49C7"/>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EB49C7"/>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EB49C7"/>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EB49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9C7"/>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B49C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9C7"/>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B49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49C7"/>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EB49C7"/>
    <w:pPr>
      <w:ind w:left="720"/>
      <w:contextualSpacing/>
    </w:pPr>
  </w:style>
  <w:style w:type="character" w:styleId="IntenseEmphasis">
    <w:name w:val="Intense Emphasis"/>
    <w:basedOn w:val="DefaultParagraphFont"/>
    <w:uiPriority w:val="21"/>
    <w:qFormat/>
    <w:rsid w:val="00EB49C7"/>
    <w:rPr>
      <w:i/>
      <w:iCs/>
      <w:color w:val="2F5496" w:themeColor="accent1" w:themeShade="BF"/>
    </w:rPr>
  </w:style>
  <w:style w:type="paragraph" w:styleId="IntenseQuote">
    <w:name w:val="Intense Quote"/>
    <w:basedOn w:val="Normal"/>
    <w:next w:val="Normal"/>
    <w:link w:val="IntenseQuoteChar"/>
    <w:uiPriority w:val="30"/>
    <w:qFormat/>
    <w:rsid w:val="00EB49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9C7"/>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EB49C7"/>
    <w:rPr>
      <w:b/>
      <w:bCs/>
      <w:smallCaps/>
      <w:color w:val="2F5496" w:themeColor="accent1" w:themeShade="BF"/>
      <w:spacing w:val="5"/>
    </w:rPr>
  </w:style>
  <w:style w:type="character" w:styleId="Strong">
    <w:name w:val="Strong"/>
    <w:basedOn w:val="DefaultParagraphFont"/>
    <w:uiPriority w:val="22"/>
    <w:qFormat/>
    <w:rsid w:val="007D491C"/>
    <w:rPr>
      <w:b/>
      <w:bCs/>
    </w:rPr>
  </w:style>
  <w:style w:type="paragraph" w:customStyle="1" w:styleId="break-words">
    <w:name w:val="break-words"/>
    <w:basedOn w:val="Normal"/>
    <w:rsid w:val="007D491C"/>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7D49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112512">
      <w:bodyDiv w:val="1"/>
      <w:marLeft w:val="0"/>
      <w:marRight w:val="0"/>
      <w:marTop w:val="0"/>
      <w:marBottom w:val="0"/>
      <w:divBdr>
        <w:top w:val="none" w:sz="0" w:space="0" w:color="auto"/>
        <w:left w:val="none" w:sz="0" w:space="0" w:color="auto"/>
        <w:bottom w:val="none" w:sz="0" w:space="0" w:color="auto"/>
        <w:right w:val="none" w:sz="0" w:space="0" w:color="auto"/>
      </w:divBdr>
      <w:divsChild>
        <w:div w:id="1069963001">
          <w:marLeft w:val="0"/>
          <w:marRight w:val="0"/>
          <w:marTop w:val="0"/>
          <w:marBottom w:val="0"/>
          <w:divBdr>
            <w:top w:val="none" w:sz="0" w:space="0" w:color="auto"/>
            <w:left w:val="none" w:sz="0" w:space="0" w:color="auto"/>
            <w:bottom w:val="none" w:sz="0" w:space="0" w:color="auto"/>
            <w:right w:val="none" w:sz="0" w:space="0" w:color="auto"/>
          </w:divBdr>
        </w:div>
      </w:divsChild>
    </w:div>
    <w:div w:id="757292792">
      <w:bodyDiv w:val="1"/>
      <w:marLeft w:val="0"/>
      <w:marRight w:val="0"/>
      <w:marTop w:val="0"/>
      <w:marBottom w:val="0"/>
      <w:divBdr>
        <w:top w:val="none" w:sz="0" w:space="0" w:color="auto"/>
        <w:left w:val="none" w:sz="0" w:space="0" w:color="auto"/>
        <w:bottom w:val="none" w:sz="0" w:space="0" w:color="auto"/>
        <w:right w:val="none" w:sz="0" w:space="0" w:color="auto"/>
      </w:divBdr>
      <w:divsChild>
        <w:div w:id="677342187">
          <w:marLeft w:val="0"/>
          <w:marRight w:val="0"/>
          <w:marTop w:val="0"/>
          <w:marBottom w:val="0"/>
          <w:divBdr>
            <w:top w:val="none" w:sz="0" w:space="0" w:color="auto"/>
            <w:left w:val="none" w:sz="0" w:space="0" w:color="auto"/>
            <w:bottom w:val="none" w:sz="0" w:space="0" w:color="auto"/>
            <w:right w:val="none" w:sz="0" w:space="0" w:color="auto"/>
          </w:divBdr>
        </w:div>
      </w:divsChild>
    </w:div>
    <w:div w:id="968709609">
      <w:bodyDiv w:val="1"/>
      <w:marLeft w:val="0"/>
      <w:marRight w:val="0"/>
      <w:marTop w:val="0"/>
      <w:marBottom w:val="0"/>
      <w:divBdr>
        <w:top w:val="none" w:sz="0" w:space="0" w:color="auto"/>
        <w:left w:val="none" w:sz="0" w:space="0" w:color="auto"/>
        <w:bottom w:val="none" w:sz="0" w:space="0" w:color="auto"/>
        <w:right w:val="none" w:sz="0" w:space="0" w:color="auto"/>
      </w:divBdr>
      <w:divsChild>
        <w:div w:id="1920094105">
          <w:marLeft w:val="0"/>
          <w:marRight w:val="0"/>
          <w:marTop w:val="0"/>
          <w:marBottom w:val="0"/>
          <w:divBdr>
            <w:top w:val="none" w:sz="0" w:space="0" w:color="auto"/>
            <w:left w:val="none" w:sz="0" w:space="0" w:color="auto"/>
            <w:bottom w:val="none" w:sz="0" w:space="0" w:color="auto"/>
            <w:right w:val="none" w:sz="0" w:space="0" w:color="auto"/>
          </w:divBdr>
        </w:div>
      </w:divsChild>
    </w:div>
    <w:div w:id="1017466053">
      <w:bodyDiv w:val="1"/>
      <w:marLeft w:val="0"/>
      <w:marRight w:val="0"/>
      <w:marTop w:val="0"/>
      <w:marBottom w:val="0"/>
      <w:divBdr>
        <w:top w:val="none" w:sz="0" w:space="0" w:color="auto"/>
        <w:left w:val="none" w:sz="0" w:space="0" w:color="auto"/>
        <w:bottom w:val="none" w:sz="0" w:space="0" w:color="auto"/>
        <w:right w:val="none" w:sz="0" w:space="0" w:color="auto"/>
      </w:divBdr>
      <w:divsChild>
        <w:div w:id="363331839">
          <w:marLeft w:val="0"/>
          <w:marRight w:val="0"/>
          <w:marTop w:val="0"/>
          <w:marBottom w:val="0"/>
          <w:divBdr>
            <w:top w:val="none" w:sz="0" w:space="0" w:color="auto"/>
            <w:left w:val="none" w:sz="0" w:space="0" w:color="auto"/>
            <w:bottom w:val="none" w:sz="0" w:space="0" w:color="auto"/>
            <w:right w:val="none" w:sz="0" w:space="0" w:color="auto"/>
          </w:divBdr>
        </w:div>
      </w:divsChild>
    </w:div>
    <w:div w:id="1298417861">
      <w:bodyDiv w:val="1"/>
      <w:marLeft w:val="0"/>
      <w:marRight w:val="0"/>
      <w:marTop w:val="0"/>
      <w:marBottom w:val="0"/>
      <w:divBdr>
        <w:top w:val="none" w:sz="0" w:space="0" w:color="auto"/>
        <w:left w:val="none" w:sz="0" w:space="0" w:color="auto"/>
        <w:bottom w:val="none" w:sz="0" w:space="0" w:color="auto"/>
        <w:right w:val="none" w:sz="0" w:space="0" w:color="auto"/>
      </w:divBdr>
      <w:divsChild>
        <w:div w:id="596015041">
          <w:marLeft w:val="0"/>
          <w:marRight w:val="0"/>
          <w:marTop w:val="0"/>
          <w:marBottom w:val="0"/>
          <w:divBdr>
            <w:top w:val="none" w:sz="0" w:space="0" w:color="auto"/>
            <w:left w:val="none" w:sz="0" w:space="0" w:color="auto"/>
            <w:bottom w:val="none" w:sz="0" w:space="0" w:color="auto"/>
            <w:right w:val="none" w:sz="0" w:space="0" w:color="auto"/>
          </w:divBdr>
        </w:div>
      </w:divsChild>
    </w:div>
    <w:div w:id="1368676822">
      <w:bodyDiv w:val="1"/>
      <w:marLeft w:val="0"/>
      <w:marRight w:val="0"/>
      <w:marTop w:val="0"/>
      <w:marBottom w:val="0"/>
      <w:divBdr>
        <w:top w:val="none" w:sz="0" w:space="0" w:color="auto"/>
        <w:left w:val="none" w:sz="0" w:space="0" w:color="auto"/>
        <w:bottom w:val="none" w:sz="0" w:space="0" w:color="auto"/>
        <w:right w:val="none" w:sz="0" w:space="0" w:color="auto"/>
      </w:divBdr>
      <w:divsChild>
        <w:div w:id="546455892">
          <w:marLeft w:val="0"/>
          <w:marRight w:val="0"/>
          <w:marTop w:val="0"/>
          <w:marBottom w:val="0"/>
          <w:divBdr>
            <w:top w:val="none" w:sz="0" w:space="0" w:color="auto"/>
            <w:left w:val="none" w:sz="0" w:space="0" w:color="auto"/>
            <w:bottom w:val="none" w:sz="0" w:space="0" w:color="auto"/>
            <w:right w:val="none" w:sz="0" w:space="0" w:color="auto"/>
          </w:divBdr>
        </w:div>
      </w:divsChild>
    </w:div>
    <w:div w:id="1780567907">
      <w:bodyDiv w:val="1"/>
      <w:marLeft w:val="0"/>
      <w:marRight w:val="0"/>
      <w:marTop w:val="0"/>
      <w:marBottom w:val="0"/>
      <w:divBdr>
        <w:top w:val="none" w:sz="0" w:space="0" w:color="auto"/>
        <w:left w:val="none" w:sz="0" w:space="0" w:color="auto"/>
        <w:bottom w:val="none" w:sz="0" w:space="0" w:color="auto"/>
        <w:right w:val="none" w:sz="0" w:space="0" w:color="auto"/>
      </w:divBdr>
      <w:divsChild>
        <w:div w:id="10745452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5456</Words>
  <Characters>31101</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2025-03-17T10:11:00Z</dcterms:created>
  <dcterms:modified xsi:type="dcterms:W3CDTF">2025-03-17T10:45:00Z</dcterms:modified>
</cp:coreProperties>
</file>