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D53A26"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1. At Common Law</w:t>
      </w:r>
    </w:p>
    <w:p w14:paraId="3A248DE9" w14:textId="77777777" w:rsidR="00DE2327" w:rsidRPr="00DE2327" w:rsidRDefault="00DE2327" w:rsidP="00015500">
      <w:pPr>
        <w:spacing w:before="100" w:beforeAutospacing="1" w:after="240" w:line="360" w:lineRule="auto"/>
        <w:outlineLvl w:val="3"/>
        <w:rPr>
          <w:rFonts w:ascii="Times New Roman" w:hAnsi="Times New Roman"/>
          <w:b/>
          <w:bCs/>
          <w:lang w:val="en-HK"/>
        </w:rPr>
      </w:pPr>
      <w:r w:rsidRPr="00DE2327">
        <w:rPr>
          <w:rFonts w:ascii="Times New Roman" w:hAnsi="Times New Roman"/>
          <w:b/>
          <w:bCs/>
          <w:lang w:val="en-HK"/>
        </w:rPr>
        <w:t>Requirements for Legal Transfer of Certificated Shares</w:t>
      </w:r>
    </w:p>
    <w:p w14:paraId="2764EFC6"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To pass legal title for shares, three formalities are required:</w:t>
      </w:r>
    </w:p>
    <w:p w14:paraId="664F4762" w14:textId="77777777" w:rsidR="00DE2327" w:rsidRPr="00DE2327" w:rsidRDefault="00DE2327" w:rsidP="00015500">
      <w:pPr>
        <w:numPr>
          <w:ilvl w:val="0"/>
          <w:numId w:val="1"/>
        </w:numPr>
        <w:spacing w:before="100" w:beforeAutospacing="1" w:after="240" w:line="360" w:lineRule="auto"/>
        <w:rPr>
          <w:rFonts w:ascii="Times New Roman" w:hAnsi="Times New Roman"/>
          <w:lang w:val="en-HK"/>
        </w:rPr>
      </w:pPr>
      <w:r w:rsidRPr="00DE2327">
        <w:rPr>
          <w:rFonts w:ascii="Times New Roman" w:hAnsi="Times New Roman"/>
          <w:b/>
          <w:bCs/>
          <w:lang w:val="en-HK"/>
        </w:rPr>
        <w:t>Execution of the Transfer Form:</w:t>
      </w:r>
    </w:p>
    <w:p w14:paraId="0A726D3F" w14:textId="717E285C"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 </w:t>
      </w:r>
      <w:r w:rsidR="00DE2327" w:rsidRPr="00DE2327">
        <w:rPr>
          <w:rFonts w:ascii="Times New Roman" w:hAnsi="Times New Roman"/>
          <w:lang w:val="en-HK"/>
        </w:rPr>
        <w:t>The transferor must complete a form, typically as prescribed by the company's articles of association, and it must be in writing (</w:t>
      </w:r>
      <w:r w:rsidR="00DE2327" w:rsidRPr="00DE2327">
        <w:rPr>
          <w:rFonts w:ascii="Times New Roman" w:hAnsi="Times New Roman"/>
          <w:i/>
          <w:iCs/>
          <w:lang w:val="en-HK"/>
        </w:rPr>
        <w:t>Companies Act 1985, s.183</w:t>
      </w:r>
      <w:r w:rsidR="00DE2327" w:rsidRPr="00DE2327">
        <w:rPr>
          <w:rFonts w:ascii="Times New Roman" w:hAnsi="Times New Roman"/>
          <w:lang w:val="en-HK"/>
        </w:rPr>
        <w:t>).</w:t>
      </w:r>
    </w:p>
    <w:p w14:paraId="62D5B9EA" w14:textId="77777777" w:rsidR="00DE2327" w:rsidRPr="00DE2327" w:rsidRDefault="00DE2327" w:rsidP="00015500">
      <w:pPr>
        <w:numPr>
          <w:ilvl w:val="0"/>
          <w:numId w:val="1"/>
        </w:numPr>
        <w:spacing w:before="100" w:beforeAutospacing="1" w:after="240" w:line="360" w:lineRule="auto"/>
        <w:rPr>
          <w:rFonts w:ascii="Times New Roman" w:hAnsi="Times New Roman"/>
          <w:lang w:val="en-HK"/>
        </w:rPr>
      </w:pPr>
      <w:r w:rsidRPr="00DE2327">
        <w:rPr>
          <w:rFonts w:ascii="Times New Roman" w:hAnsi="Times New Roman"/>
          <w:b/>
          <w:bCs/>
          <w:lang w:val="en-HK"/>
        </w:rPr>
        <w:t>Delivery of the Executed Form and Share Certificate:</w:t>
      </w:r>
    </w:p>
    <w:p w14:paraId="3C4A3068" w14:textId="04DDFDCA"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 </w:t>
      </w:r>
      <w:r w:rsidR="00DE2327" w:rsidRPr="00DE2327">
        <w:rPr>
          <w:rFonts w:ascii="Times New Roman" w:hAnsi="Times New Roman"/>
          <w:lang w:val="en-HK"/>
        </w:rPr>
        <w:t>The completed form and relevant share certificate are handed to the transferee or the company (if partial or multiple transfers occur).</w:t>
      </w:r>
    </w:p>
    <w:p w14:paraId="052FDCED" w14:textId="77777777" w:rsidR="00DE2327" w:rsidRPr="00DE2327" w:rsidRDefault="00DE2327" w:rsidP="00015500">
      <w:pPr>
        <w:numPr>
          <w:ilvl w:val="0"/>
          <w:numId w:val="1"/>
        </w:numPr>
        <w:spacing w:before="100" w:beforeAutospacing="1" w:after="240" w:line="360" w:lineRule="auto"/>
        <w:rPr>
          <w:rFonts w:ascii="Times New Roman" w:hAnsi="Times New Roman"/>
          <w:lang w:val="en-HK"/>
        </w:rPr>
      </w:pPr>
      <w:r w:rsidRPr="00DE2327">
        <w:rPr>
          <w:rFonts w:ascii="Times New Roman" w:hAnsi="Times New Roman"/>
          <w:b/>
          <w:bCs/>
          <w:lang w:val="en-HK"/>
        </w:rPr>
        <w:t>Registration Approval by Directors:</w:t>
      </w:r>
    </w:p>
    <w:p w14:paraId="183B2D18" w14:textId="552155E9"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 </w:t>
      </w:r>
      <w:r w:rsidR="00DE2327" w:rsidRPr="00DE2327">
        <w:rPr>
          <w:rFonts w:ascii="Times New Roman" w:hAnsi="Times New Roman"/>
          <w:lang w:val="en-HK"/>
        </w:rPr>
        <w:t>The transferee’s name must be entered into the company’s register of members. Directors may exercise discretion to refuse registration if it is not in the bona fide interest of the company (</w:t>
      </w:r>
      <w:r w:rsidR="00DE2327" w:rsidRPr="00DE2327">
        <w:rPr>
          <w:rFonts w:ascii="Times New Roman" w:hAnsi="Times New Roman"/>
          <w:i/>
          <w:iCs/>
          <w:lang w:val="en-HK"/>
        </w:rPr>
        <w:t>Re Smith and Fawcett Ltd [1942] Ch. 304</w:t>
      </w:r>
      <w:r w:rsidR="00DE2327" w:rsidRPr="00DE2327">
        <w:rPr>
          <w:rFonts w:ascii="Times New Roman" w:hAnsi="Times New Roman"/>
          <w:lang w:val="en-HK"/>
        </w:rPr>
        <w:t>).</w:t>
      </w:r>
    </w:p>
    <w:p w14:paraId="313D9FA7" w14:textId="77777777" w:rsidR="00DE2327" w:rsidRPr="00DE2327" w:rsidRDefault="00DE2327" w:rsidP="00015500">
      <w:pPr>
        <w:spacing w:before="100" w:beforeAutospacing="1" w:after="240" w:line="360" w:lineRule="auto"/>
        <w:outlineLvl w:val="3"/>
        <w:rPr>
          <w:rFonts w:ascii="Times New Roman" w:hAnsi="Times New Roman"/>
          <w:b/>
          <w:bCs/>
          <w:lang w:val="en-HK"/>
        </w:rPr>
      </w:pPr>
      <w:r w:rsidRPr="00DE2327">
        <w:rPr>
          <w:rFonts w:ascii="Times New Roman" w:hAnsi="Times New Roman"/>
          <w:b/>
          <w:bCs/>
          <w:lang w:val="en-HK"/>
        </w:rPr>
        <w:t>Implications</w:t>
      </w:r>
    </w:p>
    <w:p w14:paraId="24228A68" w14:textId="713EEF0D"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 </w:t>
      </w:r>
      <w:r w:rsidR="00DE2327" w:rsidRPr="00DE2327">
        <w:rPr>
          <w:rFonts w:ascii="Times New Roman" w:hAnsi="Times New Roman"/>
          <w:lang w:val="en-HK"/>
        </w:rPr>
        <w:t>These formalities ensure procedural rigor, protecting the transferor and maintaining corporate governance.</w:t>
      </w:r>
    </w:p>
    <w:p w14:paraId="5C248F39" w14:textId="5836348D"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 </w:t>
      </w:r>
      <w:r w:rsidR="00DE2327" w:rsidRPr="00DE2327">
        <w:rPr>
          <w:rFonts w:ascii="Times New Roman" w:hAnsi="Times New Roman"/>
          <w:lang w:val="en-HK"/>
        </w:rPr>
        <w:t>Discretionary powers of directors, particularly in private companies, uphold company interests. However, in listed companies, directors' discretion is often limited by the Listing Rules (</w:t>
      </w:r>
      <w:r w:rsidR="00DE2327" w:rsidRPr="00DE2327">
        <w:rPr>
          <w:rFonts w:ascii="Times New Roman" w:hAnsi="Times New Roman"/>
          <w:i/>
          <w:iCs/>
          <w:lang w:val="en-HK"/>
        </w:rPr>
        <w:t xml:space="preserve">e.g., Admission Directive (79/279), </w:t>
      </w:r>
      <w:proofErr w:type="spellStart"/>
      <w:r w:rsidR="00DE2327" w:rsidRPr="00DE2327">
        <w:rPr>
          <w:rFonts w:ascii="Times New Roman" w:hAnsi="Times New Roman"/>
          <w:i/>
          <w:iCs/>
          <w:lang w:val="en-HK"/>
        </w:rPr>
        <w:t>Sch.A</w:t>
      </w:r>
      <w:proofErr w:type="spellEnd"/>
      <w:r w:rsidR="00DE2327" w:rsidRPr="00DE2327">
        <w:rPr>
          <w:rFonts w:ascii="Times New Roman" w:hAnsi="Times New Roman"/>
          <w:i/>
          <w:iCs/>
          <w:lang w:val="en-HK"/>
        </w:rPr>
        <w:t xml:space="preserve"> II(2)</w:t>
      </w:r>
      <w:r w:rsidR="00DE2327" w:rsidRPr="00DE2327">
        <w:rPr>
          <w:rFonts w:ascii="Times New Roman" w:hAnsi="Times New Roman"/>
          <w:lang w:val="en-HK"/>
        </w:rPr>
        <w:t>).</w:t>
      </w:r>
    </w:p>
    <w:p w14:paraId="01975693"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340A1405">
          <v:rect id="_x0000_i1033" alt="" style="width:451.3pt;height:.05pt;mso-width-percent:0;mso-height-percent:0;mso-width-percent:0;mso-height-percent:0" o:hralign="center" o:hrstd="t" o:hr="t" fillcolor="#a0a0a0" stroked="f"/>
        </w:pict>
      </w:r>
    </w:p>
    <w:p w14:paraId="25E10937"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2. In Equity</w:t>
      </w:r>
    </w:p>
    <w:p w14:paraId="452B4538" w14:textId="7F9261DD" w:rsidR="00DE2327" w:rsidRPr="00DE2327" w:rsidRDefault="00015500" w:rsidP="00015500">
      <w:pPr>
        <w:spacing w:before="100" w:beforeAutospacing="1" w:after="240" w:line="360" w:lineRule="auto"/>
        <w:outlineLvl w:val="3"/>
        <w:rPr>
          <w:rFonts w:ascii="Times New Roman" w:hAnsi="Times New Roman"/>
          <w:b/>
          <w:bCs/>
          <w:lang w:val="en-HK"/>
        </w:rPr>
      </w:pPr>
      <w:r w:rsidRPr="00A73262">
        <w:rPr>
          <w:rFonts w:ascii="Times New Roman" w:hAnsi="Times New Roman"/>
          <w:b/>
          <w:bCs/>
          <w:lang w:val="en-HK"/>
        </w:rPr>
        <w:t xml:space="preserve">1. </w:t>
      </w:r>
      <w:r w:rsidR="00DE2327" w:rsidRPr="00DE2327">
        <w:rPr>
          <w:rFonts w:ascii="Times New Roman" w:hAnsi="Times New Roman"/>
          <w:b/>
          <w:bCs/>
          <w:lang w:val="en-HK"/>
        </w:rPr>
        <w:t>Milroy v Lord (1862)</w:t>
      </w:r>
    </w:p>
    <w:p w14:paraId="280B4A34"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Facts:</w:t>
      </w:r>
      <w:r w:rsidRPr="00DE2327">
        <w:rPr>
          <w:rFonts w:ascii="Times New Roman" w:hAnsi="Times New Roman"/>
          <w:lang w:val="en-HK"/>
        </w:rPr>
        <w:t xml:space="preserve"> The settlor attempted to transfer shares in a Louisiana bank to a trustee but failed to complete the necessary registration with the bank.</w:t>
      </w:r>
    </w:p>
    <w:p w14:paraId="542A6862" w14:textId="51A5FFD6"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lastRenderedPageBreak/>
        <w:t>Held:</w:t>
      </w:r>
      <w:r w:rsidRPr="00DE2327">
        <w:rPr>
          <w:rFonts w:ascii="Times New Roman" w:hAnsi="Times New Roman"/>
          <w:lang w:val="en-HK"/>
        </w:rPr>
        <w:t xml:space="preserve"> Equity </w:t>
      </w:r>
      <w:r w:rsidRPr="00DE2327">
        <w:rPr>
          <w:rFonts w:ascii="Times New Roman" w:hAnsi="Times New Roman"/>
          <w:b/>
          <w:bCs/>
          <w:lang w:val="en-HK"/>
        </w:rPr>
        <w:t>refused to treat the incomplete transfer as a declaration of trust</w:t>
      </w:r>
      <w:r w:rsidRPr="00DE2327">
        <w:rPr>
          <w:rFonts w:ascii="Times New Roman" w:hAnsi="Times New Roman"/>
          <w:lang w:val="en-HK"/>
        </w:rPr>
        <w:t>. Turner L.J. cautioned against allowing imperfect gifts to operate as trusts, emphasi</w:t>
      </w:r>
      <w:r w:rsidR="00015500" w:rsidRPr="00A73262">
        <w:rPr>
          <w:rFonts w:ascii="Times New Roman" w:hAnsi="Times New Roman"/>
          <w:lang w:val="en-HK"/>
        </w:rPr>
        <w:t>s</w:t>
      </w:r>
      <w:r w:rsidRPr="00DE2327">
        <w:rPr>
          <w:rFonts w:ascii="Times New Roman" w:hAnsi="Times New Roman"/>
          <w:lang w:val="en-HK"/>
        </w:rPr>
        <w:t>ing adherence to legal formalities.</w:t>
      </w:r>
    </w:p>
    <w:p w14:paraId="07CFDEFC" w14:textId="755F21AE"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Reasoning:</w:t>
      </w:r>
      <w:r w:rsidR="00015500" w:rsidRPr="00A73262">
        <w:rPr>
          <w:rFonts w:ascii="Times New Roman" w:hAnsi="Times New Roman"/>
          <w:lang w:val="en-HK"/>
        </w:rPr>
        <w:t xml:space="preserve"> </w:t>
      </w:r>
      <w:r w:rsidRPr="00DE2327">
        <w:rPr>
          <w:rFonts w:ascii="Times New Roman" w:hAnsi="Times New Roman"/>
          <w:lang w:val="en-HK"/>
        </w:rPr>
        <w:t>Allowing such interventions would undermine the distinction between gifts and trusts, eroding the legal structure of conveyancing.</w:t>
      </w:r>
    </w:p>
    <w:p w14:paraId="33ACD1EC" w14:textId="6EFF2626"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Implication:</w:t>
      </w:r>
      <w:r w:rsidRPr="00DE2327">
        <w:rPr>
          <w:rFonts w:ascii="Times New Roman" w:hAnsi="Times New Roman"/>
          <w:lang w:val="en-HK"/>
        </w:rPr>
        <w:t xml:space="preserve"> Equity does not perfect imperfect gifts, safeguarding the integrity of legal formalities.</w:t>
      </w:r>
    </w:p>
    <w:p w14:paraId="07FE2B05" w14:textId="387799E6" w:rsidR="00DE2327" w:rsidRPr="00DE2327" w:rsidRDefault="00015500" w:rsidP="00015500">
      <w:pPr>
        <w:spacing w:before="100" w:beforeAutospacing="1" w:after="240" w:line="360" w:lineRule="auto"/>
        <w:outlineLvl w:val="3"/>
        <w:rPr>
          <w:rFonts w:ascii="Times New Roman" w:hAnsi="Times New Roman"/>
          <w:b/>
          <w:bCs/>
          <w:lang w:val="en-HK"/>
        </w:rPr>
      </w:pPr>
      <w:r w:rsidRPr="00A73262">
        <w:rPr>
          <w:rFonts w:ascii="Times New Roman" w:hAnsi="Times New Roman"/>
          <w:b/>
          <w:bCs/>
          <w:lang w:val="en-HK"/>
        </w:rPr>
        <w:t xml:space="preserve">2. </w:t>
      </w:r>
      <w:r w:rsidR="00DE2327" w:rsidRPr="00DE2327">
        <w:rPr>
          <w:rFonts w:ascii="Times New Roman" w:hAnsi="Times New Roman"/>
          <w:b/>
          <w:bCs/>
          <w:lang w:val="en-HK"/>
        </w:rPr>
        <w:t>Re Fry (1946)</w:t>
      </w:r>
    </w:p>
    <w:p w14:paraId="3CC521F4"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Facts:</w:t>
      </w:r>
      <w:r w:rsidRPr="00DE2327">
        <w:rPr>
          <w:rFonts w:ascii="Times New Roman" w:hAnsi="Times New Roman"/>
          <w:lang w:val="en-HK"/>
        </w:rPr>
        <w:t xml:space="preserve"> The transferor executed the share transfer form but failed to secure Treasury consent as required under the Defence (Finance) Regulations 1939.</w:t>
      </w:r>
    </w:p>
    <w:p w14:paraId="71B45DE3"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Held:</w:t>
      </w:r>
      <w:r w:rsidRPr="00DE2327">
        <w:rPr>
          <w:rFonts w:ascii="Times New Roman" w:hAnsi="Times New Roman"/>
          <w:lang w:val="en-HK"/>
        </w:rPr>
        <w:t xml:space="preserve"> Both legal and equitable title failed to pass due to incomplete formalities.</w:t>
      </w:r>
    </w:p>
    <w:p w14:paraId="456FA971" w14:textId="4437A666"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Reasoning:</w:t>
      </w:r>
      <w:r w:rsidR="00015500" w:rsidRPr="00A73262">
        <w:rPr>
          <w:rFonts w:ascii="Times New Roman" w:hAnsi="Times New Roman"/>
          <w:lang w:val="en-HK"/>
        </w:rPr>
        <w:t xml:space="preserve"> </w:t>
      </w:r>
      <w:r w:rsidRPr="00DE2327">
        <w:rPr>
          <w:rFonts w:ascii="Times New Roman" w:hAnsi="Times New Roman"/>
          <w:lang w:val="en-HK"/>
        </w:rPr>
        <w:t>Since Treasury consent was integral, the transferor had not completed "everything in their power" to effect the transfer.</w:t>
      </w:r>
    </w:p>
    <w:p w14:paraId="6EB397E2" w14:textId="48B8D32D"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Implication:</w:t>
      </w:r>
      <w:r w:rsidRPr="00DE2327">
        <w:rPr>
          <w:rFonts w:ascii="Times New Roman" w:hAnsi="Times New Roman"/>
          <w:lang w:val="en-HK"/>
        </w:rPr>
        <w:t xml:space="preserve"> Equity aligns with the formalities doctrine, reinforcing the principle established in </w:t>
      </w:r>
      <w:r w:rsidRPr="00DE2327">
        <w:rPr>
          <w:rFonts w:ascii="Times New Roman" w:hAnsi="Times New Roman"/>
          <w:i/>
          <w:iCs/>
          <w:lang w:val="en-HK"/>
        </w:rPr>
        <w:t>Milroy v Lord</w:t>
      </w:r>
      <w:r w:rsidRPr="00DE2327">
        <w:rPr>
          <w:rFonts w:ascii="Times New Roman" w:hAnsi="Times New Roman"/>
          <w:lang w:val="en-HK"/>
        </w:rPr>
        <w:t>.</w:t>
      </w:r>
    </w:p>
    <w:p w14:paraId="7AD6A1D9" w14:textId="6E3CAC2F" w:rsidR="00DE2327" w:rsidRPr="00DE2327" w:rsidRDefault="00015500" w:rsidP="00015500">
      <w:pPr>
        <w:spacing w:before="100" w:beforeAutospacing="1" w:after="240" w:line="360" w:lineRule="auto"/>
        <w:outlineLvl w:val="3"/>
        <w:rPr>
          <w:rFonts w:ascii="Times New Roman" w:hAnsi="Times New Roman"/>
          <w:b/>
          <w:bCs/>
          <w:lang w:val="en-HK"/>
        </w:rPr>
      </w:pPr>
      <w:r w:rsidRPr="00A73262">
        <w:rPr>
          <w:rFonts w:ascii="Times New Roman" w:hAnsi="Times New Roman"/>
          <w:b/>
          <w:bCs/>
          <w:lang w:val="en-HK"/>
        </w:rPr>
        <w:t xml:space="preserve">3. </w:t>
      </w:r>
      <w:r w:rsidR="00DE2327" w:rsidRPr="00DE2327">
        <w:rPr>
          <w:rFonts w:ascii="Times New Roman" w:hAnsi="Times New Roman"/>
          <w:b/>
          <w:bCs/>
          <w:lang w:val="en-HK"/>
        </w:rPr>
        <w:t>Re Rose (1952)</w:t>
      </w:r>
    </w:p>
    <w:p w14:paraId="170BFF7D"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Facts:</w:t>
      </w:r>
      <w:r w:rsidRPr="00DE2327">
        <w:rPr>
          <w:rFonts w:ascii="Times New Roman" w:hAnsi="Times New Roman"/>
          <w:lang w:val="en-HK"/>
        </w:rPr>
        <w:t xml:space="preserve"> The transferor executed the share transfer form, delivered it along with share certificates, and did everything required personally. However, the company did not register the transferee before the transferor's death.</w:t>
      </w:r>
    </w:p>
    <w:p w14:paraId="4255296A"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Held:</w:t>
      </w:r>
      <w:r w:rsidRPr="00DE2327">
        <w:rPr>
          <w:rFonts w:ascii="Times New Roman" w:hAnsi="Times New Roman"/>
          <w:lang w:val="en-HK"/>
        </w:rPr>
        <w:t xml:space="preserve"> The Court of Appeal deemed the transfer effective in equity once the transferor had completed all steps within their power.</w:t>
      </w:r>
    </w:p>
    <w:p w14:paraId="428F10C6" w14:textId="1DFE1208"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Reasoning:</w:t>
      </w:r>
      <w:r w:rsidR="00015500" w:rsidRPr="00A73262">
        <w:rPr>
          <w:rFonts w:ascii="Times New Roman" w:hAnsi="Times New Roman"/>
          <w:lang w:val="en-HK"/>
        </w:rPr>
        <w:t xml:space="preserve"> </w:t>
      </w:r>
      <w:r w:rsidRPr="00DE2327">
        <w:rPr>
          <w:rFonts w:ascii="Times New Roman" w:hAnsi="Times New Roman"/>
          <w:lang w:val="en-HK"/>
        </w:rPr>
        <w:t>The directors' approval, though pending, was procedural and not a deficiency attributable to the transferor.</w:t>
      </w:r>
    </w:p>
    <w:p w14:paraId="05834CB5" w14:textId="3B8EFD0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Implication:</w:t>
      </w:r>
      <w:r w:rsidRPr="00DE2327">
        <w:rPr>
          <w:rFonts w:ascii="Times New Roman" w:hAnsi="Times New Roman"/>
          <w:lang w:val="en-HK"/>
        </w:rPr>
        <w:t xml:space="preserve"> The rule in </w:t>
      </w:r>
      <w:r w:rsidRPr="00DE2327">
        <w:rPr>
          <w:rFonts w:ascii="Times New Roman" w:hAnsi="Times New Roman"/>
          <w:i/>
          <w:iCs/>
          <w:lang w:val="en-HK"/>
        </w:rPr>
        <w:t>Re Rose</w:t>
      </w:r>
      <w:r w:rsidRPr="00DE2327">
        <w:rPr>
          <w:rFonts w:ascii="Times New Roman" w:hAnsi="Times New Roman"/>
          <w:lang w:val="en-HK"/>
        </w:rPr>
        <w:t xml:space="preserve"> establishes that equity recogni</w:t>
      </w:r>
      <w:r w:rsidR="00A73262">
        <w:rPr>
          <w:rFonts w:ascii="Times New Roman" w:hAnsi="Times New Roman"/>
          <w:lang w:val="en-HK"/>
        </w:rPr>
        <w:t>s</w:t>
      </w:r>
      <w:r w:rsidRPr="00DE2327">
        <w:rPr>
          <w:rFonts w:ascii="Times New Roman" w:hAnsi="Times New Roman"/>
          <w:lang w:val="en-HK"/>
        </w:rPr>
        <w:t>es a transfer once the transferor has done everything necessary on their part, mitigating the rigidity of formalities.</w:t>
      </w:r>
    </w:p>
    <w:p w14:paraId="192267E4"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lastRenderedPageBreak/>
        <w:pict w14:anchorId="431AE3A6">
          <v:rect id="_x0000_i1032" alt="" style="width:451.3pt;height:.05pt;mso-width-percent:0;mso-height-percent:0;mso-width-percent:0;mso-height-percent:0" o:hralign="center" o:hrstd="t" o:hr="t" fillcolor="#a0a0a0" stroked="f"/>
        </w:pict>
      </w:r>
    </w:p>
    <w:p w14:paraId="57F848C7"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 xml:space="preserve">3. The Impact of </w:t>
      </w:r>
      <w:r w:rsidRPr="00DE2327">
        <w:rPr>
          <w:rFonts w:ascii="Times New Roman" w:hAnsi="Times New Roman"/>
          <w:b/>
          <w:bCs/>
          <w:u w:val="single"/>
          <w:lang w:val="en-HK"/>
        </w:rPr>
        <w:t xml:space="preserve">Pennington v </w:t>
      </w:r>
      <w:proofErr w:type="spellStart"/>
      <w:r w:rsidRPr="00DE2327">
        <w:rPr>
          <w:rFonts w:ascii="Times New Roman" w:hAnsi="Times New Roman"/>
          <w:b/>
          <w:bCs/>
          <w:u w:val="single"/>
          <w:lang w:val="en-HK"/>
        </w:rPr>
        <w:t>Waine</w:t>
      </w:r>
      <w:proofErr w:type="spellEnd"/>
      <w:r w:rsidRPr="00DE2327">
        <w:rPr>
          <w:rFonts w:ascii="Times New Roman" w:hAnsi="Times New Roman"/>
          <w:b/>
          <w:bCs/>
          <w:lang w:val="en-HK"/>
        </w:rPr>
        <w:t xml:space="preserve"> (2002)</w:t>
      </w:r>
    </w:p>
    <w:p w14:paraId="6B0CE7E9"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Facts:</w:t>
      </w:r>
      <w:r w:rsidRPr="00DE2327">
        <w:rPr>
          <w:rFonts w:ascii="Times New Roman" w:hAnsi="Times New Roman"/>
          <w:lang w:val="en-HK"/>
        </w:rPr>
        <w:t xml:space="preserve"> Ada executed a share transfer form intending to gift 400 shares to her nephew Harold. Although the form was passed to her agent, the legal formalities were incomplete. Harold acted in reliance, consenting to be a director of the company based on Ada’s assurance.</w:t>
      </w:r>
    </w:p>
    <w:p w14:paraId="6929CBE1"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Held:</w:t>
      </w:r>
      <w:r w:rsidRPr="00DE2327">
        <w:rPr>
          <w:rFonts w:ascii="Times New Roman" w:hAnsi="Times New Roman"/>
          <w:lang w:val="en-HK"/>
        </w:rPr>
        <w:t xml:space="preserve"> Equitable title passed to Harold due to the </w:t>
      </w:r>
      <w:r w:rsidRPr="00DE2327">
        <w:rPr>
          <w:rFonts w:ascii="Times New Roman" w:hAnsi="Times New Roman"/>
          <w:u w:val="single"/>
          <w:lang w:val="en-HK"/>
        </w:rPr>
        <w:t xml:space="preserve">unconscionability </w:t>
      </w:r>
      <w:r w:rsidRPr="00DE2327">
        <w:rPr>
          <w:rFonts w:ascii="Times New Roman" w:hAnsi="Times New Roman"/>
          <w:lang w:val="en-HK"/>
        </w:rPr>
        <w:t>of Ada revoking her intent.</w:t>
      </w:r>
    </w:p>
    <w:p w14:paraId="037F68B5"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Reasoning:</w:t>
      </w:r>
    </w:p>
    <w:p w14:paraId="49E0A5CB" w14:textId="2F45ECA8"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1. </w:t>
      </w:r>
      <w:r w:rsidR="00DE2327" w:rsidRPr="00DE2327">
        <w:rPr>
          <w:rFonts w:ascii="Times New Roman" w:hAnsi="Times New Roman"/>
          <w:lang w:val="en-HK"/>
        </w:rPr>
        <w:t>Arden L.J. introduced "unconscionability" as a standard for equity to perfect the transfer despite incomplete formalities.</w:t>
      </w:r>
    </w:p>
    <w:p w14:paraId="4A4545DF" w14:textId="7DAF85FE"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2. </w:t>
      </w:r>
      <w:r w:rsidR="00DE2327" w:rsidRPr="00DE2327">
        <w:rPr>
          <w:rFonts w:ascii="Times New Roman" w:hAnsi="Times New Roman"/>
          <w:lang w:val="en-HK"/>
        </w:rPr>
        <w:t>The Court emphasized the reliance placed by Harold and Ada’s clear intention.</w:t>
      </w:r>
    </w:p>
    <w:p w14:paraId="5E964FC8"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Implication:</w:t>
      </w:r>
      <w:r w:rsidRPr="00DE2327">
        <w:rPr>
          <w:rFonts w:ascii="Times New Roman" w:hAnsi="Times New Roman"/>
          <w:lang w:val="en-HK"/>
        </w:rPr>
        <w:t xml:space="preserve"> The case broadened the application of the </w:t>
      </w:r>
      <w:r w:rsidRPr="00DE2327">
        <w:rPr>
          <w:rFonts w:ascii="Times New Roman" w:hAnsi="Times New Roman"/>
          <w:i/>
          <w:iCs/>
          <w:lang w:val="en-HK"/>
        </w:rPr>
        <w:t>Re Rose</w:t>
      </w:r>
      <w:r w:rsidRPr="00DE2327">
        <w:rPr>
          <w:rFonts w:ascii="Times New Roman" w:hAnsi="Times New Roman"/>
          <w:lang w:val="en-HK"/>
        </w:rPr>
        <w:t xml:space="preserve"> principle, introducing unconscionability as an equitable doctrine for justifying incomplete gifts.</w:t>
      </w:r>
    </w:p>
    <w:p w14:paraId="477F8858"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799C3E54">
          <v:rect id="_x0000_i1031" alt="" style="width:451.3pt;height:.05pt;mso-width-percent:0;mso-height-percent:0;mso-width-percent:0;mso-height-percent:0" o:hralign="center" o:hrstd="t" o:hr="t" fillcolor="#a0a0a0" stroked="f"/>
        </w:pict>
      </w:r>
    </w:p>
    <w:p w14:paraId="029E65E6"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4. When Does Equity Step In?</w:t>
      </w:r>
    </w:p>
    <w:p w14:paraId="11B7D870"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 xml:space="preserve">In </w:t>
      </w:r>
      <w:r w:rsidRPr="00DE2327">
        <w:rPr>
          <w:rFonts w:ascii="Times New Roman" w:hAnsi="Times New Roman"/>
          <w:b/>
          <w:bCs/>
          <w:lang w:val="en-HK"/>
        </w:rPr>
        <w:t>Re Rose</w:t>
      </w:r>
      <w:r w:rsidRPr="00DE2327">
        <w:rPr>
          <w:rFonts w:ascii="Times New Roman" w:hAnsi="Times New Roman"/>
          <w:lang w:val="en-HK"/>
        </w:rPr>
        <w:t>, equitable title passed when personal formalities (e.g., execution and delivery of documents) were complete.</w:t>
      </w:r>
    </w:p>
    <w:p w14:paraId="54F6F6CA"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 xml:space="preserve">In </w:t>
      </w:r>
      <w:r w:rsidRPr="00DE2327">
        <w:rPr>
          <w:rFonts w:ascii="Times New Roman" w:hAnsi="Times New Roman"/>
          <w:b/>
          <w:bCs/>
          <w:lang w:val="en-HK"/>
        </w:rPr>
        <w:t xml:space="preserve">Pennington v </w:t>
      </w:r>
      <w:proofErr w:type="spellStart"/>
      <w:r w:rsidRPr="00DE2327">
        <w:rPr>
          <w:rFonts w:ascii="Times New Roman" w:hAnsi="Times New Roman"/>
          <w:b/>
          <w:bCs/>
          <w:lang w:val="en-HK"/>
        </w:rPr>
        <w:t>Waine</w:t>
      </w:r>
      <w:proofErr w:type="spellEnd"/>
      <w:r w:rsidRPr="00DE2327">
        <w:rPr>
          <w:rFonts w:ascii="Times New Roman" w:hAnsi="Times New Roman"/>
          <w:lang w:val="en-HK"/>
        </w:rPr>
        <w:t>, the threshold shifted, allowing equity to intervene based on the transferor’s intention and the transferee’s reliance, even absent delivery.</w:t>
      </w:r>
    </w:p>
    <w:p w14:paraId="21667369" w14:textId="77777777" w:rsidR="00DE2327" w:rsidRPr="00DE2327" w:rsidRDefault="00DE2327" w:rsidP="00015500">
      <w:pPr>
        <w:spacing w:before="100" w:beforeAutospacing="1" w:after="240" w:line="360" w:lineRule="auto"/>
        <w:outlineLvl w:val="3"/>
        <w:rPr>
          <w:rFonts w:ascii="Times New Roman" w:hAnsi="Times New Roman"/>
          <w:b/>
          <w:bCs/>
          <w:lang w:val="en-HK"/>
        </w:rPr>
      </w:pPr>
      <w:r w:rsidRPr="00DE2327">
        <w:rPr>
          <w:rFonts w:ascii="Times New Roman" w:hAnsi="Times New Roman"/>
          <w:b/>
          <w:bCs/>
          <w:lang w:val="en-HK"/>
        </w:rPr>
        <w:t xml:space="preserve">Problems Introduced by Pennington v </w:t>
      </w:r>
      <w:proofErr w:type="spellStart"/>
      <w:r w:rsidRPr="00DE2327">
        <w:rPr>
          <w:rFonts w:ascii="Times New Roman" w:hAnsi="Times New Roman"/>
          <w:b/>
          <w:bCs/>
          <w:lang w:val="en-HK"/>
        </w:rPr>
        <w:t>Waine</w:t>
      </w:r>
      <w:proofErr w:type="spellEnd"/>
    </w:p>
    <w:p w14:paraId="72663651" w14:textId="77777777" w:rsidR="00DE2327" w:rsidRPr="00DE2327" w:rsidRDefault="00DE2327" w:rsidP="00015500">
      <w:pPr>
        <w:numPr>
          <w:ilvl w:val="0"/>
          <w:numId w:val="8"/>
        </w:numPr>
        <w:spacing w:before="100" w:beforeAutospacing="1" w:after="240" w:line="360" w:lineRule="auto"/>
        <w:rPr>
          <w:rFonts w:ascii="Times New Roman" w:hAnsi="Times New Roman"/>
          <w:lang w:val="en-HK"/>
        </w:rPr>
      </w:pPr>
      <w:r w:rsidRPr="00DE2327">
        <w:rPr>
          <w:rFonts w:ascii="Times New Roman" w:hAnsi="Times New Roman"/>
          <w:b/>
          <w:bCs/>
          <w:lang w:val="en-HK"/>
        </w:rPr>
        <w:t>Vagueness of Unconscionability:</w:t>
      </w:r>
    </w:p>
    <w:p w14:paraId="563EC3F3"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Unclear definitions grant excessive judicial discretion.</w:t>
      </w:r>
    </w:p>
    <w:p w14:paraId="40F02B27" w14:textId="77777777" w:rsidR="00DE2327" w:rsidRPr="00DE2327" w:rsidRDefault="00DE2327" w:rsidP="00015500">
      <w:pPr>
        <w:numPr>
          <w:ilvl w:val="0"/>
          <w:numId w:val="8"/>
        </w:numPr>
        <w:spacing w:before="100" w:beforeAutospacing="1" w:after="240" w:line="360" w:lineRule="auto"/>
        <w:rPr>
          <w:rFonts w:ascii="Times New Roman" w:hAnsi="Times New Roman"/>
          <w:lang w:val="en-HK"/>
        </w:rPr>
      </w:pPr>
      <w:r w:rsidRPr="00DE2327">
        <w:rPr>
          <w:rFonts w:ascii="Times New Roman" w:hAnsi="Times New Roman"/>
          <w:b/>
          <w:bCs/>
          <w:lang w:val="en-HK"/>
        </w:rPr>
        <w:t>Erosion of Formalities:</w:t>
      </w:r>
    </w:p>
    <w:p w14:paraId="58B443E5"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lastRenderedPageBreak/>
        <w:t>The reduced emphasis on legal safeguards undermines procedural protections for transferors.</w:t>
      </w:r>
    </w:p>
    <w:p w14:paraId="169D8209"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7A101359">
          <v:rect id="_x0000_i1030" alt="" style="width:451.3pt;height:.05pt;mso-width-percent:0;mso-height-percent:0;mso-width-percent:0;mso-height-percent:0" o:hralign="center" o:hrstd="t" o:hr="t" fillcolor="#a0a0a0" stroked="f"/>
        </w:pict>
      </w:r>
    </w:p>
    <w:p w14:paraId="33923E94"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5. Entry of the Register of Members</w:t>
      </w:r>
    </w:p>
    <w:p w14:paraId="0C778D29" w14:textId="77777777" w:rsidR="00DE2327" w:rsidRPr="00DE2327" w:rsidRDefault="00DE2327" w:rsidP="00015500">
      <w:pPr>
        <w:spacing w:before="100" w:beforeAutospacing="1" w:after="240" w:line="360" w:lineRule="auto"/>
        <w:outlineLvl w:val="3"/>
        <w:rPr>
          <w:rFonts w:ascii="Times New Roman" w:hAnsi="Times New Roman"/>
          <w:b/>
          <w:bCs/>
          <w:lang w:val="en-HK"/>
        </w:rPr>
      </w:pPr>
      <w:r w:rsidRPr="00DE2327">
        <w:rPr>
          <w:rFonts w:ascii="Times New Roman" w:hAnsi="Times New Roman"/>
          <w:b/>
          <w:bCs/>
          <w:lang w:val="en-HK"/>
        </w:rPr>
        <w:t>Issues with Directors' Discretion</w:t>
      </w:r>
    </w:p>
    <w:p w14:paraId="616F05C1"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Directors may refuse registration of a transferee for bona fide reasons (</w:t>
      </w:r>
      <w:r w:rsidRPr="00DE2327">
        <w:rPr>
          <w:rFonts w:ascii="Times New Roman" w:hAnsi="Times New Roman"/>
          <w:i/>
          <w:iCs/>
          <w:lang w:val="en-HK"/>
        </w:rPr>
        <w:t>e.g., Re Smith and Fawcett Ltd</w:t>
      </w:r>
      <w:r w:rsidRPr="00DE2327">
        <w:rPr>
          <w:rFonts w:ascii="Times New Roman" w:hAnsi="Times New Roman"/>
          <w:lang w:val="en-HK"/>
        </w:rPr>
        <w:t>).</w:t>
      </w:r>
    </w:p>
    <w:p w14:paraId="7B3CAF3A"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 xml:space="preserve">The </w:t>
      </w:r>
      <w:r w:rsidRPr="00DE2327">
        <w:rPr>
          <w:rFonts w:ascii="Times New Roman" w:hAnsi="Times New Roman"/>
          <w:i/>
          <w:iCs/>
          <w:lang w:val="en-HK"/>
        </w:rPr>
        <w:t>Re Rose</w:t>
      </w:r>
      <w:r w:rsidRPr="00DE2327">
        <w:rPr>
          <w:rFonts w:ascii="Times New Roman" w:hAnsi="Times New Roman"/>
          <w:lang w:val="en-HK"/>
        </w:rPr>
        <w:t xml:space="preserve"> principle allows equitable ownership to pass before registration, potentially undermining directors' discretion.</w:t>
      </w:r>
    </w:p>
    <w:p w14:paraId="621B3669"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55C340AE">
          <v:rect id="_x0000_i1029" alt="" style="width:451.3pt;height:.05pt;mso-width-percent:0;mso-height-percent:0;mso-width-percent:0;mso-height-percent:0" o:hralign="center" o:hrstd="t" o:hr="t" fillcolor="#a0a0a0" stroked="f"/>
        </w:pict>
      </w:r>
    </w:p>
    <w:p w14:paraId="49033B07"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6. Subsequent Transfer of Legal Title</w:t>
      </w:r>
    </w:p>
    <w:p w14:paraId="1BFC5011"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 xml:space="preserve">Legal title need not pass for equitable title to vest under </w:t>
      </w:r>
      <w:r w:rsidRPr="00DE2327">
        <w:rPr>
          <w:rFonts w:ascii="Times New Roman" w:hAnsi="Times New Roman"/>
          <w:i/>
          <w:iCs/>
          <w:lang w:val="en-HK"/>
        </w:rPr>
        <w:t>Re Rose</w:t>
      </w:r>
      <w:r w:rsidRPr="00DE2327">
        <w:rPr>
          <w:rFonts w:ascii="Times New Roman" w:hAnsi="Times New Roman"/>
          <w:lang w:val="en-HK"/>
        </w:rPr>
        <w:t>.</w:t>
      </w:r>
    </w:p>
    <w:p w14:paraId="39984B75"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Implications:</w:t>
      </w:r>
    </w:p>
    <w:p w14:paraId="22939296"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Equitable ownership could conflict with corporate governance if directors have valid reasons to deny registration.</w:t>
      </w:r>
    </w:p>
    <w:p w14:paraId="126B381F"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3E953D16">
          <v:rect id="_x0000_i1028" alt="" style="width:451.3pt;height:.05pt;mso-width-percent:0;mso-height-percent:0;mso-width-percent:0;mso-height-percent:0" o:hralign="center" o:hrstd="t" o:hr="t" fillcolor="#a0a0a0" stroked="f"/>
        </w:pict>
      </w:r>
    </w:p>
    <w:p w14:paraId="3654B682"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7. Role of the Trust Mechanism</w:t>
      </w:r>
    </w:p>
    <w:p w14:paraId="6AEA6A5F" w14:textId="77777777" w:rsidR="00DE2327" w:rsidRPr="00DE2327" w:rsidRDefault="00DE2327" w:rsidP="00015500">
      <w:pPr>
        <w:spacing w:before="100" w:beforeAutospacing="1" w:after="240" w:line="360" w:lineRule="auto"/>
        <w:outlineLvl w:val="3"/>
        <w:rPr>
          <w:rFonts w:ascii="Times New Roman" w:hAnsi="Times New Roman"/>
          <w:b/>
          <w:bCs/>
          <w:lang w:val="en-HK"/>
        </w:rPr>
      </w:pPr>
      <w:r w:rsidRPr="00DE2327">
        <w:rPr>
          <w:rFonts w:ascii="Times New Roman" w:hAnsi="Times New Roman"/>
          <w:b/>
          <w:bCs/>
          <w:lang w:val="en-HK"/>
        </w:rPr>
        <w:t>Express Trusts</w:t>
      </w:r>
    </w:p>
    <w:p w14:paraId="3DFFB3DA"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 xml:space="preserve">Cases like </w:t>
      </w:r>
      <w:r w:rsidRPr="00DE2327">
        <w:rPr>
          <w:rFonts w:ascii="Times New Roman" w:hAnsi="Times New Roman"/>
          <w:i/>
          <w:iCs/>
          <w:lang w:val="en-HK"/>
        </w:rPr>
        <w:t>Milroy v Lord</w:t>
      </w:r>
      <w:r w:rsidRPr="00DE2327">
        <w:rPr>
          <w:rFonts w:ascii="Times New Roman" w:hAnsi="Times New Roman"/>
          <w:lang w:val="en-HK"/>
        </w:rPr>
        <w:t xml:space="preserve"> and </w:t>
      </w:r>
      <w:r w:rsidRPr="00DE2327">
        <w:rPr>
          <w:rFonts w:ascii="Times New Roman" w:hAnsi="Times New Roman"/>
          <w:i/>
          <w:iCs/>
          <w:lang w:val="en-HK"/>
        </w:rPr>
        <w:t>Re Fry</w:t>
      </w:r>
      <w:r w:rsidRPr="00DE2327">
        <w:rPr>
          <w:rFonts w:ascii="Times New Roman" w:hAnsi="Times New Roman"/>
          <w:lang w:val="en-HK"/>
        </w:rPr>
        <w:t xml:space="preserve"> affirm that incomplete transfers lack the deliberate intention needed for express trusts.</w:t>
      </w:r>
    </w:p>
    <w:p w14:paraId="15A376E8"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Modern interpretations (</w:t>
      </w:r>
      <w:r w:rsidRPr="00DE2327">
        <w:rPr>
          <w:rFonts w:ascii="Times New Roman" w:hAnsi="Times New Roman"/>
          <w:i/>
          <w:iCs/>
          <w:lang w:val="en-HK"/>
        </w:rPr>
        <w:t xml:space="preserve">T </w:t>
      </w:r>
      <w:proofErr w:type="spellStart"/>
      <w:r w:rsidRPr="00DE2327">
        <w:rPr>
          <w:rFonts w:ascii="Times New Roman" w:hAnsi="Times New Roman"/>
          <w:i/>
          <w:iCs/>
          <w:lang w:val="en-HK"/>
        </w:rPr>
        <w:t>Choithram</w:t>
      </w:r>
      <w:proofErr w:type="spellEnd"/>
      <w:r w:rsidRPr="00DE2327">
        <w:rPr>
          <w:rFonts w:ascii="Times New Roman" w:hAnsi="Times New Roman"/>
          <w:lang w:val="en-HK"/>
        </w:rPr>
        <w:t xml:space="preserve">, </w:t>
      </w:r>
      <w:r w:rsidRPr="00DE2327">
        <w:rPr>
          <w:rFonts w:ascii="Times New Roman" w:hAnsi="Times New Roman"/>
          <w:i/>
          <w:iCs/>
          <w:lang w:val="en-HK"/>
        </w:rPr>
        <w:t>Pennington</w:t>
      </w:r>
      <w:r w:rsidRPr="00DE2327">
        <w:rPr>
          <w:rFonts w:ascii="Times New Roman" w:hAnsi="Times New Roman"/>
          <w:lang w:val="en-HK"/>
        </w:rPr>
        <w:t>) stretch trust law by construing ambiguous statements as creating express trusts.</w:t>
      </w:r>
    </w:p>
    <w:p w14:paraId="3B156B69" w14:textId="77777777" w:rsidR="00DE2327" w:rsidRPr="00DE2327" w:rsidRDefault="00DE2327" w:rsidP="00015500">
      <w:pPr>
        <w:spacing w:before="100" w:beforeAutospacing="1" w:after="240" w:line="360" w:lineRule="auto"/>
        <w:outlineLvl w:val="3"/>
        <w:rPr>
          <w:rFonts w:ascii="Times New Roman" w:hAnsi="Times New Roman"/>
          <w:b/>
          <w:bCs/>
          <w:lang w:val="en-HK"/>
        </w:rPr>
      </w:pPr>
      <w:r w:rsidRPr="00DE2327">
        <w:rPr>
          <w:rFonts w:ascii="Times New Roman" w:hAnsi="Times New Roman"/>
          <w:b/>
          <w:bCs/>
          <w:lang w:val="en-HK"/>
        </w:rPr>
        <w:t>Constructive Trusts</w:t>
      </w:r>
    </w:p>
    <w:p w14:paraId="3FC67FC6"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lastRenderedPageBreak/>
        <w:t xml:space="preserve">Constructive trusts, as recognized in </w:t>
      </w:r>
      <w:r w:rsidRPr="00DE2327">
        <w:rPr>
          <w:rFonts w:ascii="Times New Roman" w:hAnsi="Times New Roman"/>
          <w:i/>
          <w:iCs/>
          <w:lang w:val="en-HK"/>
        </w:rPr>
        <w:t>Re Rose</w:t>
      </w:r>
      <w:r w:rsidRPr="00DE2327">
        <w:rPr>
          <w:rFonts w:ascii="Times New Roman" w:hAnsi="Times New Roman"/>
          <w:lang w:val="en-HK"/>
        </w:rPr>
        <w:t>, arise when the transferor’s conscience is affected by completing all formalities required of them.</w:t>
      </w:r>
    </w:p>
    <w:p w14:paraId="3D20A699"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Unconscionability:</w:t>
      </w:r>
      <w:r w:rsidRPr="00DE2327">
        <w:rPr>
          <w:rFonts w:ascii="Times New Roman" w:hAnsi="Times New Roman"/>
          <w:lang w:val="en-HK"/>
        </w:rPr>
        <w:t xml:space="preserve"> Introduced in </w:t>
      </w:r>
      <w:r w:rsidRPr="00DE2327">
        <w:rPr>
          <w:rFonts w:ascii="Times New Roman" w:hAnsi="Times New Roman"/>
          <w:i/>
          <w:iCs/>
          <w:lang w:val="en-HK"/>
        </w:rPr>
        <w:t>Pennington</w:t>
      </w:r>
      <w:r w:rsidRPr="00DE2327">
        <w:rPr>
          <w:rFonts w:ascii="Times New Roman" w:hAnsi="Times New Roman"/>
          <w:lang w:val="en-HK"/>
        </w:rPr>
        <w:t>, it enables equity to perfect gifts where denying the transfer would be inequitable, though it risks excessive judicial discretion.</w:t>
      </w:r>
    </w:p>
    <w:p w14:paraId="28A402FE"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7E5541B7">
          <v:rect id="_x0000_i1027" alt="" style="width:451.3pt;height:.05pt;mso-width-percent:0;mso-height-percent:0;mso-width-percent:0;mso-height-percent:0" o:hralign="center" o:hrstd="t" o:hr="t" fillcolor="#a0a0a0" stroked="f"/>
        </w:pict>
      </w:r>
    </w:p>
    <w:p w14:paraId="371381B9"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8. Reconciling Trust Mechanisms and Unconscionability</w:t>
      </w:r>
    </w:p>
    <w:p w14:paraId="02645992" w14:textId="79E19932" w:rsidR="00DE2327" w:rsidRPr="00DE2327" w:rsidRDefault="00015500" w:rsidP="00015500">
      <w:pPr>
        <w:spacing w:before="100" w:beforeAutospacing="1" w:after="240" w:line="360" w:lineRule="auto"/>
        <w:outlineLvl w:val="3"/>
        <w:rPr>
          <w:rFonts w:ascii="Times New Roman" w:hAnsi="Times New Roman"/>
          <w:b/>
          <w:bCs/>
          <w:lang w:val="en-HK"/>
        </w:rPr>
      </w:pPr>
      <w:r w:rsidRPr="00A73262">
        <w:rPr>
          <w:rFonts w:ascii="Times New Roman" w:hAnsi="Times New Roman"/>
          <w:b/>
          <w:bCs/>
          <w:lang w:val="en-HK"/>
        </w:rPr>
        <w:t xml:space="preserve">1. </w:t>
      </w:r>
      <w:r w:rsidR="00DE2327" w:rsidRPr="00DE2327">
        <w:rPr>
          <w:rFonts w:ascii="Times New Roman" w:hAnsi="Times New Roman"/>
          <w:b/>
          <w:bCs/>
          <w:lang w:val="en-HK"/>
        </w:rPr>
        <w:t xml:space="preserve">Proposed Recasting of </w:t>
      </w:r>
      <w:r w:rsidR="00DE2327" w:rsidRPr="00DE2327">
        <w:rPr>
          <w:rFonts w:ascii="Times New Roman" w:hAnsi="Times New Roman"/>
          <w:b/>
          <w:bCs/>
          <w:i/>
          <w:iCs/>
          <w:lang w:val="en-HK"/>
        </w:rPr>
        <w:t>Re Rose</w:t>
      </w:r>
    </w:p>
    <w:p w14:paraId="5ECCF4D4"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Focus on Unconscionability:</w:t>
      </w:r>
      <w:r w:rsidRPr="00DE2327">
        <w:rPr>
          <w:rFonts w:ascii="Times New Roman" w:hAnsi="Times New Roman"/>
          <w:lang w:val="en-HK"/>
        </w:rPr>
        <w:t xml:space="preserve"> Equity should intervene only if the transferor has irrevocably committed to the transfer.</w:t>
      </w:r>
    </w:p>
    <w:p w14:paraId="77D94B19"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Countervailing Factors:</w:t>
      </w:r>
      <w:r w:rsidRPr="00DE2327">
        <w:rPr>
          <w:rFonts w:ascii="Times New Roman" w:hAnsi="Times New Roman"/>
          <w:lang w:val="en-HK"/>
        </w:rPr>
        <w:t xml:space="preserve"> Courts should consider the transferee’s reliance and broader corporate interests.</w:t>
      </w:r>
    </w:p>
    <w:p w14:paraId="6622E601" w14:textId="43E33ACB" w:rsidR="00DE2327" w:rsidRPr="00DE2327" w:rsidRDefault="00015500" w:rsidP="00015500">
      <w:pPr>
        <w:spacing w:before="100" w:beforeAutospacing="1" w:after="240" w:line="360" w:lineRule="auto"/>
        <w:outlineLvl w:val="3"/>
        <w:rPr>
          <w:rFonts w:ascii="Times New Roman" w:hAnsi="Times New Roman"/>
          <w:b/>
          <w:bCs/>
          <w:lang w:val="en-HK"/>
        </w:rPr>
      </w:pPr>
      <w:r w:rsidRPr="00A73262">
        <w:rPr>
          <w:rFonts w:ascii="Times New Roman" w:hAnsi="Times New Roman"/>
          <w:b/>
          <w:bCs/>
          <w:lang w:val="en-HK"/>
        </w:rPr>
        <w:t xml:space="preserve">2. </w:t>
      </w:r>
      <w:r w:rsidR="00DE2327" w:rsidRPr="00DE2327">
        <w:rPr>
          <w:rFonts w:ascii="Times New Roman" w:hAnsi="Times New Roman"/>
          <w:b/>
          <w:bCs/>
          <w:lang w:val="en-HK"/>
        </w:rPr>
        <w:t>Alignment with Broader Principles</w:t>
      </w:r>
    </w:p>
    <w:p w14:paraId="63DEB22B"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Analogies to equitable estoppel (</w:t>
      </w:r>
      <w:r w:rsidRPr="00DE2327">
        <w:rPr>
          <w:rFonts w:ascii="Times New Roman" w:hAnsi="Times New Roman"/>
          <w:i/>
          <w:iCs/>
          <w:lang w:val="en-HK"/>
        </w:rPr>
        <w:t>e.g., Crabb v Arun District Council</w:t>
      </w:r>
      <w:r w:rsidRPr="00DE2327">
        <w:rPr>
          <w:rFonts w:ascii="Times New Roman" w:hAnsi="Times New Roman"/>
          <w:lang w:val="en-HK"/>
        </w:rPr>
        <w:t>) and land sale trusts (</w:t>
      </w:r>
      <w:r w:rsidRPr="00DE2327">
        <w:rPr>
          <w:rFonts w:ascii="Times New Roman" w:hAnsi="Times New Roman"/>
          <w:i/>
          <w:iCs/>
          <w:lang w:val="en-HK"/>
        </w:rPr>
        <w:t>Lysaght v Edwards</w:t>
      </w:r>
      <w:r w:rsidRPr="00DE2327">
        <w:rPr>
          <w:rFonts w:ascii="Times New Roman" w:hAnsi="Times New Roman"/>
          <w:lang w:val="en-HK"/>
        </w:rPr>
        <w:t>) highlight how fairness can coexist with formalities.</w:t>
      </w:r>
    </w:p>
    <w:p w14:paraId="7165F47C"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27C709AF">
          <v:rect id="_x0000_i1026" alt="" style="width:451.3pt;height:.05pt;mso-width-percent:0;mso-height-percent:0;mso-width-percent:0;mso-height-percent:0" o:hralign="center" o:hrstd="t" o:hr="t" fillcolor="#a0a0a0" stroked="f"/>
        </w:pict>
      </w:r>
    </w:p>
    <w:p w14:paraId="6F612338"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9. Proprietary Claims Without a Trust Mechanism</w:t>
      </w:r>
    </w:p>
    <w:p w14:paraId="7C910404"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t xml:space="preserve">Scholars </w:t>
      </w:r>
      <w:proofErr w:type="spellStart"/>
      <w:r w:rsidRPr="00DE2327">
        <w:rPr>
          <w:rFonts w:ascii="Times New Roman" w:hAnsi="Times New Roman"/>
          <w:lang w:val="en-HK"/>
        </w:rPr>
        <w:t>Lowrie</w:t>
      </w:r>
      <w:proofErr w:type="spellEnd"/>
      <w:r w:rsidRPr="00DE2327">
        <w:rPr>
          <w:rFonts w:ascii="Times New Roman" w:hAnsi="Times New Roman"/>
          <w:lang w:val="en-HK"/>
        </w:rPr>
        <w:t xml:space="preserve"> and Todd propose separating legal and equitable titles without imposing trust obligations, consistent with </w:t>
      </w:r>
      <w:proofErr w:type="spellStart"/>
      <w:r w:rsidRPr="00DE2327">
        <w:rPr>
          <w:rFonts w:ascii="Times New Roman" w:hAnsi="Times New Roman"/>
          <w:i/>
          <w:iCs/>
          <w:lang w:val="en-HK"/>
        </w:rPr>
        <w:t>Westdeutsche</w:t>
      </w:r>
      <w:proofErr w:type="spellEnd"/>
      <w:r w:rsidRPr="00DE2327">
        <w:rPr>
          <w:rFonts w:ascii="Times New Roman" w:hAnsi="Times New Roman"/>
          <w:i/>
          <w:iCs/>
          <w:lang w:val="en-HK"/>
        </w:rPr>
        <w:t xml:space="preserve"> </w:t>
      </w:r>
      <w:proofErr w:type="spellStart"/>
      <w:r w:rsidRPr="00DE2327">
        <w:rPr>
          <w:rFonts w:ascii="Times New Roman" w:hAnsi="Times New Roman"/>
          <w:i/>
          <w:iCs/>
          <w:lang w:val="en-HK"/>
        </w:rPr>
        <w:t>Landesbank</w:t>
      </w:r>
      <w:proofErr w:type="spellEnd"/>
      <w:r w:rsidRPr="00DE2327">
        <w:rPr>
          <w:rFonts w:ascii="Times New Roman" w:hAnsi="Times New Roman"/>
          <w:lang w:val="en-HK"/>
        </w:rPr>
        <w:t>.</w:t>
      </w:r>
    </w:p>
    <w:p w14:paraId="62540436"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Advantages:</w:t>
      </w:r>
    </w:p>
    <w:p w14:paraId="4C328813" w14:textId="2EB0C2DD"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1. </w:t>
      </w:r>
      <w:r w:rsidR="00DE2327" w:rsidRPr="00DE2327">
        <w:rPr>
          <w:rFonts w:ascii="Times New Roman" w:hAnsi="Times New Roman"/>
          <w:lang w:val="en-HK"/>
        </w:rPr>
        <w:t>Avoids unintended trustee liabilities.</w:t>
      </w:r>
    </w:p>
    <w:p w14:paraId="499B0F6D" w14:textId="656CF30B"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2. </w:t>
      </w:r>
      <w:r w:rsidR="00DE2327" w:rsidRPr="00DE2327">
        <w:rPr>
          <w:rFonts w:ascii="Times New Roman" w:hAnsi="Times New Roman"/>
          <w:lang w:val="en-HK"/>
        </w:rPr>
        <w:t>Anchors equity’s role in unconscionability.</w:t>
      </w:r>
    </w:p>
    <w:p w14:paraId="5CABB039" w14:textId="77777777" w:rsidR="00DE2327" w:rsidRPr="00DE2327" w:rsidRDefault="008126D8" w:rsidP="00015500">
      <w:pPr>
        <w:spacing w:after="240" w:line="360" w:lineRule="auto"/>
        <w:rPr>
          <w:rFonts w:ascii="Times New Roman" w:hAnsi="Times New Roman"/>
          <w:lang w:val="en-HK"/>
        </w:rPr>
      </w:pPr>
      <w:r w:rsidRPr="008126D8">
        <w:rPr>
          <w:rFonts w:ascii="Times New Roman" w:hAnsi="Times New Roman"/>
          <w:noProof/>
          <w:lang w:val="en-HK"/>
          <w14:ligatures w14:val="standardContextual"/>
        </w:rPr>
        <w:pict w14:anchorId="19CB5053">
          <v:rect id="_x0000_i1025" alt="" style="width:451.3pt;height:.05pt;mso-width-percent:0;mso-height-percent:0;mso-width-percent:0;mso-height-percent:0" o:hralign="center" o:hrstd="t" o:hr="t" fillcolor="#a0a0a0" stroked="f"/>
        </w:pict>
      </w:r>
    </w:p>
    <w:p w14:paraId="41945C90" w14:textId="77777777" w:rsidR="00DE2327" w:rsidRPr="00DE2327" w:rsidRDefault="00DE2327" w:rsidP="00015500">
      <w:pPr>
        <w:spacing w:before="100" w:beforeAutospacing="1" w:after="240" w:line="360" w:lineRule="auto"/>
        <w:outlineLvl w:val="2"/>
        <w:rPr>
          <w:rFonts w:ascii="Times New Roman" w:hAnsi="Times New Roman"/>
          <w:b/>
          <w:bCs/>
          <w:lang w:val="en-HK"/>
        </w:rPr>
      </w:pPr>
      <w:r w:rsidRPr="00DE2327">
        <w:rPr>
          <w:rFonts w:ascii="Times New Roman" w:hAnsi="Times New Roman"/>
          <w:b/>
          <w:bCs/>
          <w:lang w:val="en-HK"/>
        </w:rPr>
        <w:t>10. Giving Effect to the Transferor’s Wishes</w:t>
      </w:r>
    </w:p>
    <w:p w14:paraId="73AFE2B1"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lang w:val="en-HK"/>
        </w:rPr>
        <w:lastRenderedPageBreak/>
        <w:t xml:space="preserve">Courts could perfect gifts based on a transferor’s continuing intention, mirroring the </w:t>
      </w:r>
      <w:r w:rsidRPr="00DE2327">
        <w:rPr>
          <w:rFonts w:ascii="Times New Roman" w:hAnsi="Times New Roman"/>
          <w:i/>
          <w:iCs/>
          <w:lang w:val="en-HK"/>
        </w:rPr>
        <w:t>Strong v Bird</w:t>
      </w:r>
      <w:r w:rsidRPr="00DE2327">
        <w:rPr>
          <w:rFonts w:ascii="Times New Roman" w:hAnsi="Times New Roman"/>
          <w:lang w:val="en-HK"/>
        </w:rPr>
        <w:t xml:space="preserve"> principle.</w:t>
      </w:r>
    </w:p>
    <w:p w14:paraId="3D988D19" w14:textId="77777777" w:rsidR="00DE2327" w:rsidRPr="00DE2327" w:rsidRDefault="00DE2327" w:rsidP="00015500">
      <w:pPr>
        <w:spacing w:before="100" w:beforeAutospacing="1" w:after="240" w:line="360" w:lineRule="auto"/>
        <w:rPr>
          <w:rFonts w:ascii="Times New Roman" w:hAnsi="Times New Roman"/>
          <w:lang w:val="en-HK"/>
        </w:rPr>
      </w:pPr>
      <w:r w:rsidRPr="00DE2327">
        <w:rPr>
          <w:rFonts w:ascii="Times New Roman" w:hAnsi="Times New Roman"/>
          <w:b/>
          <w:bCs/>
          <w:lang w:val="en-HK"/>
        </w:rPr>
        <w:t>Challenges:</w:t>
      </w:r>
    </w:p>
    <w:p w14:paraId="2069C808" w14:textId="123B4596"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1. </w:t>
      </w:r>
      <w:r w:rsidR="00DE2327" w:rsidRPr="00DE2327">
        <w:rPr>
          <w:rFonts w:ascii="Times New Roman" w:hAnsi="Times New Roman"/>
          <w:lang w:val="en-HK"/>
        </w:rPr>
        <w:t>Risk of overreach, eroding formalities.</w:t>
      </w:r>
    </w:p>
    <w:p w14:paraId="152BAD7B" w14:textId="4125D6B2" w:rsidR="00DE2327" w:rsidRPr="00DE2327" w:rsidRDefault="00015500" w:rsidP="00015500">
      <w:pPr>
        <w:spacing w:before="100" w:beforeAutospacing="1" w:after="240" w:line="360" w:lineRule="auto"/>
        <w:rPr>
          <w:rFonts w:ascii="Times New Roman" w:hAnsi="Times New Roman"/>
          <w:lang w:val="en-HK"/>
        </w:rPr>
      </w:pPr>
      <w:r w:rsidRPr="00A73262">
        <w:rPr>
          <w:rFonts w:ascii="Times New Roman" w:hAnsi="Times New Roman"/>
          <w:lang w:val="en-HK"/>
        </w:rPr>
        <w:t xml:space="preserve">2. </w:t>
      </w:r>
      <w:r w:rsidR="00DE2327" w:rsidRPr="00DE2327">
        <w:rPr>
          <w:rFonts w:ascii="Times New Roman" w:hAnsi="Times New Roman"/>
          <w:lang w:val="en-HK"/>
        </w:rPr>
        <w:t>Complexity in assessing whether protections are redundant.</w:t>
      </w:r>
    </w:p>
    <w:p w14:paraId="6158A99A" w14:textId="77777777" w:rsidR="00CD39F1" w:rsidRPr="00A73262" w:rsidRDefault="00CD39F1" w:rsidP="00015500">
      <w:pPr>
        <w:spacing w:after="240" w:line="360" w:lineRule="auto"/>
      </w:pPr>
    </w:p>
    <w:sectPr w:rsidR="00CD39F1" w:rsidRPr="00A73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065D6"/>
    <w:multiLevelType w:val="multilevel"/>
    <w:tmpl w:val="12F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1F2D"/>
    <w:multiLevelType w:val="multilevel"/>
    <w:tmpl w:val="7D9410D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67F11E3"/>
    <w:multiLevelType w:val="multilevel"/>
    <w:tmpl w:val="DBC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32097"/>
    <w:multiLevelType w:val="multilevel"/>
    <w:tmpl w:val="0354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65968"/>
    <w:multiLevelType w:val="multilevel"/>
    <w:tmpl w:val="829E7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951F5"/>
    <w:multiLevelType w:val="multilevel"/>
    <w:tmpl w:val="EE48C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65EDB"/>
    <w:multiLevelType w:val="multilevel"/>
    <w:tmpl w:val="A1D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21B29"/>
    <w:multiLevelType w:val="multilevel"/>
    <w:tmpl w:val="3614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54935"/>
    <w:multiLevelType w:val="multilevel"/>
    <w:tmpl w:val="60C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A6A10"/>
    <w:multiLevelType w:val="multilevel"/>
    <w:tmpl w:val="7A1A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8622A"/>
    <w:multiLevelType w:val="multilevel"/>
    <w:tmpl w:val="6BE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13F17"/>
    <w:multiLevelType w:val="multilevel"/>
    <w:tmpl w:val="1A1861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7475B67"/>
    <w:multiLevelType w:val="multilevel"/>
    <w:tmpl w:val="8B6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20EA9"/>
    <w:multiLevelType w:val="multilevel"/>
    <w:tmpl w:val="3F2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A2037"/>
    <w:multiLevelType w:val="multilevel"/>
    <w:tmpl w:val="08FE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B2C23"/>
    <w:multiLevelType w:val="multilevel"/>
    <w:tmpl w:val="CD665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409669">
    <w:abstractNumId w:val="11"/>
  </w:num>
  <w:num w:numId="2" w16cid:durableId="295986959">
    <w:abstractNumId w:val="6"/>
  </w:num>
  <w:num w:numId="3" w16cid:durableId="1806391840">
    <w:abstractNumId w:val="15"/>
  </w:num>
  <w:num w:numId="4" w16cid:durableId="1546215804">
    <w:abstractNumId w:val="5"/>
  </w:num>
  <w:num w:numId="5" w16cid:durableId="684987469">
    <w:abstractNumId w:val="3"/>
  </w:num>
  <w:num w:numId="6" w16cid:durableId="703675017">
    <w:abstractNumId w:val="14"/>
  </w:num>
  <w:num w:numId="7" w16cid:durableId="850919733">
    <w:abstractNumId w:val="10"/>
  </w:num>
  <w:num w:numId="8" w16cid:durableId="350373448">
    <w:abstractNumId w:val="1"/>
  </w:num>
  <w:num w:numId="9" w16cid:durableId="2047486879">
    <w:abstractNumId w:val="0"/>
  </w:num>
  <w:num w:numId="10" w16cid:durableId="2140030329">
    <w:abstractNumId w:val="4"/>
  </w:num>
  <w:num w:numId="11" w16cid:durableId="577059649">
    <w:abstractNumId w:val="13"/>
  </w:num>
  <w:num w:numId="12" w16cid:durableId="454832850">
    <w:abstractNumId w:val="12"/>
  </w:num>
  <w:num w:numId="13" w16cid:durableId="1978144806">
    <w:abstractNumId w:val="8"/>
  </w:num>
  <w:num w:numId="14" w16cid:durableId="179467069">
    <w:abstractNumId w:val="2"/>
  </w:num>
  <w:num w:numId="15" w16cid:durableId="2143497931">
    <w:abstractNumId w:val="7"/>
  </w:num>
  <w:num w:numId="16" w16cid:durableId="1075513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94"/>
    <w:rsid w:val="000147A9"/>
    <w:rsid w:val="00015500"/>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B34ED"/>
    <w:rsid w:val="005C50B3"/>
    <w:rsid w:val="005D57DA"/>
    <w:rsid w:val="005E7702"/>
    <w:rsid w:val="005F67F5"/>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126D8"/>
    <w:rsid w:val="00830C88"/>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73262"/>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25F94"/>
    <w:rsid w:val="00C54722"/>
    <w:rsid w:val="00C65F70"/>
    <w:rsid w:val="00C96A36"/>
    <w:rsid w:val="00CA350B"/>
    <w:rsid w:val="00CA3F60"/>
    <w:rsid w:val="00CC2EFF"/>
    <w:rsid w:val="00CC4FEF"/>
    <w:rsid w:val="00CD39F1"/>
    <w:rsid w:val="00CF0C42"/>
    <w:rsid w:val="00CF74EF"/>
    <w:rsid w:val="00D02AC8"/>
    <w:rsid w:val="00D0623C"/>
    <w:rsid w:val="00D07271"/>
    <w:rsid w:val="00D16917"/>
    <w:rsid w:val="00DA31CB"/>
    <w:rsid w:val="00DA4488"/>
    <w:rsid w:val="00DC0040"/>
    <w:rsid w:val="00DC495B"/>
    <w:rsid w:val="00DC7181"/>
    <w:rsid w:val="00DD6F5C"/>
    <w:rsid w:val="00DE2327"/>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9F00"/>
  <w15:chartTrackingRefBased/>
  <w15:docId w15:val="{9B6166D0-3513-8241-B3BA-457BA1BC0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C25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5F9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25F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5F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5F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5F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5F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5F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F9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C25F9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C25F9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C25F9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C25F9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C25F9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C25F9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C25F9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C25F9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C25F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F9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C25F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F9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C25F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5F9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C25F94"/>
    <w:pPr>
      <w:ind w:left="720"/>
      <w:contextualSpacing/>
    </w:pPr>
  </w:style>
  <w:style w:type="character" w:styleId="IntenseEmphasis">
    <w:name w:val="Intense Emphasis"/>
    <w:basedOn w:val="DefaultParagraphFont"/>
    <w:uiPriority w:val="21"/>
    <w:qFormat/>
    <w:rsid w:val="00C25F94"/>
    <w:rPr>
      <w:i/>
      <w:iCs/>
      <w:color w:val="2F5496" w:themeColor="accent1" w:themeShade="BF"/>
    </w:rPr>
  </w:style>
  <w:style w:type="paragraph" w:styleId="IntenseQuote">
    <w:name w:val="Intense Quote"/>
    <w:basedOn w:val="Normal"/>
    <w:next w:val="Normal"/>
    <w:link w:val="IntenseQuoteChar"/>
    <w:uiPriority w:val="30"/>
    <w:qFormat/>
    <w:rsid w:val="00C25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F9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C25F94"/>
    <w:rPr>
      <w:b/>
      <w:bCs/>
      <w:smallCaps/>
      <w:color w:val="2F5496" w:themeColor="accent1" w:themeShade="BF"/>
      <w:spacing w:val="5"/>
    </w:rPr>
  </w:style>
  <w:style w:type="character" w:styleId="Strong">
    <w:name w:val="Strong"/>
    <w:basedOn w:val="DefaultParagraphFont"/>
    <w:uiPriority w:val="22"/>
    <w:qFormat/>
    <w:rsid w:val="00DE2327"/>
    <w:rPr>
      <w:b/>
      <w:bCs/>
    </w:rPr>
  </w:style>
  <w:style w:type="paragraph" w:styleId="NormalWeb">
    <w:name w:val="Normal (Web)"/>
    <w:basedOn w:val="Normal"/>
    <w:uiPriority w:val="99"/>
    <w:semiHidden/>
    <w:unhideWhenUsed/>
    <w:rsid w:val="00DE2327"/>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DE23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731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2024-12-01T11:35:00Z</dcterms:created>
  <dcterms:modified xsi:type="dcterms:W3CDTF">2024-12-01T15:05:00Z</dcterms:modified>
</cp:coreProperties>
</file>