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3BAD26" w14:textId="6A977695" w:rsidR="00F64998" w:rsidRP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 xml:space="preserve">1. </w:t>
      </w:r>
      <w:r w:rsidR="00F64998" w:rsidRPr="00ED0BCE">
        <w:rPr>
          <w:rFonts w:ascii="Times New Roman" w:eastAsiaTheme="minorEastAsia" w:hAnsi="Times New Roman"/>
          <w:b/>
          <w:bCs/>
          <w14:ligatures w14:val="standardContextual"/>
        </w:rPr>
        <w:t>Key Points of the Document</w:t>
      </w:r>
    </w:p>
    <w:p w14:paraId="586E6CBC" w14:textId="119766FB" w:rsidR="00F64998" w:rsidRPr="00893F09" w:rsidRDefault="00F64998" w:rsidP="00ED0BCE">
      <w:pPr>
        <w:autoSpaceDE w:val="0"/>
        <w:autoSpaceDN w:val="0"/>
        <w:adjustRightInd w:val="0"/>
        <w:spacing w:before="240" w:after="240" w:line="360" w:lineRule="auto"/>
        <w:rPr>
          <w:rFonts w:ascii="Times New Roman" w:eastAsiaTheme="minorEastAsia" w:hAnsi="Times New Roman"/>
          <w:b/>
          <w:bCs/>
          <w:color w:val="FF0000"/>
          <w14:ligatures w14:val="standardContextual"/>
        </w:rPr>
      </w:pPr>
      <w:r w:rsidRPr="00893F09">
        <w:rPr>
          <w:rFonts w:ascii="Times New Roman" w:eastAsiaTheme="minorEastAsia" w:hAnsi="Times New Roman"/>
          <w:b/>
          <w:bCs/>
          <w:color w:val="FF0000"/>
          <w14:ligatures w14:val="standardContextual"/>
        </w:rPr>
        <w:t>What is a Resulting Trust?</w:t>
      </w:r>
    </w:p>
    <w:p w14:paraId="1F4E51A6" w14:textId="77777777" w:rsidR="00F64998" w:rsidRPr="00ED0BCE" w:rsidRDefault="00F64998" w:rsidP="00ED0BCE">
      <w:pPr>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A resulting trust arises when the legal title to property is transferred, but equity presumes or requires that the beneficial interest "results" back to the person who made the transfer. This happens under two primary circumstances:</w:t>
      </w:r>
    </w:p>
    <w:p w14:paraId="1A9F0F9E" w14:textId="7ED0DC6F" w:rsidR="00F64998"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 xml:space="preserve">1. </w:t>
      </w:r>
      <w:r w:rsidR="00F64998" w:rsidRPr="00ED0BCE">
        <w:rPr>
          <w:rFonts w:ascii="Times New Roman" w:eastAsiaTheme="minorEastAsia" w:hAnsi="Times New Roman"/>
          <w:b/>
          <w:bCs/>
          <w14:ligatures w14:val="standardContextual"/>
        </w:rPr>
        <w:t>Presumed Intention</w:t>
      </w:r>
      <w:r w:rsidR="00F64998" w:rsidRPr="00ED0BCE">
        <w:rPr>
          <w:rFonts w:ascii="Times New Roman" w:eastAsiaTheme="minorEastAsia" w:hAnsi="Times New Roman"/>
          <w14:ligatures w14:val="standardContextual"/>
        </w:rPr>
        <w:t xml:space="preserve">: Equity presumes that the transferor did not intend to gift the property unless explicitly stated. </w:t>
      </w:r>
      <w:r w:rsidR="00F64998" w:rsidRPr="00AE7E93">
        <w:rPr>
          <w:rFonts w:ascii="Times New Roman" w:eastAsiaTheme="minorEastAsia" w:hAnsi="Times New Roman"/>
          <w:color w:val="FF0000"/>
          <w14:ligatures w14:val="standardContextual"/>
        </w:rPr>
        <w:t>This presumption can be rebutted by evidence</w:t>
      </w:r>
      <w:r w:rsidR="00F64998" w:rsidRPr="00ED0BCE">
        <w:rPr>
          <w:rFonts w:ascii="Times New Roman" w:eastAsiaTheme="minorEastAsia" w:hAnsi="Times New Roman"/>
          <w14:ligatures w14:val="standardContextual"/>
        </w:rPr>
        <w:t>.</w:t>
      </w:r>
    </w:p>
    <w:p w14:paraId="6326F0B8" w14:textId="15F0E233" w:rsidR="00F64998"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 xml:space="preserve">2. </w:t>
      </w:r>
      <w:r w:rsidR="00F64998" w:rsidRPr="00ED0BCE">
        <w:rPr>
          <w:rFonts w:ascii="Times New Roman" w:eastAsiaTheme="minorEastAsia" w:hAnsi="Times New Roman"/>
          <w:b/>
          <w:bCs/>
          <w14:ligatures w14:val="standardContextual"/>
        </w:rPr>
        <w:t>Operation of Law</w:t>
      </w:r>
      <w:r w:rsidR="00F64998" w:rsidRPr="00ED0BCE">
        <w:rPr>
          <w:rFonts w:ascii="Times New Roman" w:eastAsiaTheme="minorEastAsia" w:hAnsi="Times New Roman"/>
          <w14:ligatures w14:val="standardContextual"/>
        </w:rPr>
        <w:t>:</w:t>
      </w:r>
      <w:r w:rsidRPr="00ED0BCE">
        <w:rPr>
          <w:rFonts w:ascii="Times New Roman" w:eastAsiaTheme="minorEastAsia" w:hAnsi="Times New Roman"/>
          <w14:ligatures w14:val="standardContextual"/>
        </w:rPr>
        <w:t xml:space="preserve"> </w:t>
      </w:r>
      <w:r w:rsidR="00F64998" w:rsidRPr="00ED0BCE">
        <w:rPr>
          <w:rFonts w:ascii="Times New Roman" w:eastAsiaTheme="minorEastAsia" w:hAnsi="Times New Roman"/>
          <w14:ligatures w14:val="standardContextual"/>
        </w:rPr>
        <w:t>When a trust fails (e.g., due to uncertainty or illegality), equity</w:t>
      </w:r>
      <w:r w:rsidRPr="00ED0BCE">
        <w:rPr>
          <w:rFonts w:ascii="Times New Roman" w:eastAsiaTheme="minorEastAsia" w:hAnsi="Times New Roman"/>
          <w14:ligatures w14:val="standardContextual"/>
        </w:rPr>
        <w:t xml:space="preserve"> </w:t>
      </w:r>
      <w:r w:rsidR="00F64998" w:rsidRPr="00ED0BCE">
        <w:rPr>
          <w:rFonts w:ascii="Times New Roman" w:eastAsiaTheme="minorEastAsia" w:hAnsi="Times New Roman"/>
          <w14:ligatures w14:val="standardContextual"/>
        </w:rPr>
        <w:t>automatically returns the beneficial interest to the transferor.</w:t>
      </w:r>
    </w:p>
    <w:p w14:paraId="67EDB841" w14:textId="77777777" w:rsidR="00F64998" w:rsidRPr="00ED0BCE" w:rsidRDefault="00F64998" w:rsidP="00ED0BCE">
      <w:pPr>
        <w:autoSpaceDE w:val="0"/>
        <w:autoSpaceDN w:val="0"/>
        <w:adjustRightInd w:val="0"/>
        <w:spacing w:before="240" w:after="240" w:line="360" w:lineRule="auto"/>
        <w:rPr>
          <w:rFonts w:ascii="Times New Roman" w:eastAsiaTheme="minorEastAsia" w:hAnsi="Times New Roman"/>
          <w14:ligatures w14:val="standardContextual"/>
        </w:rPr>
      </w:pPr>
    </w:p>
    <w:p w14:paraId="25C287A8" w14:textId="01DB4345" w:rsidR="00F64998" w:rsidRPr="00ED0BCE" w:rsidRDefault="00F64998"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Types of Resulting Trusts</w:t>
      </w:r>
    </w:p>
    <w:p w14:paraId="32DAFD0B" w14:textId="73D619A0" w:rsidR="00F64998"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 xml:space="preserve">1. </w:t>
      </w:r>
      <w:r w:rsidR="00F64998" w:rsidRPr="00ED0BCE">
        <w:rPr>
          <w:rFonts w:ascii="Times New Roman" w:eastAsiaTheme="minorEastAsia" w:hAnsi="Times New Roman"/>
          <w:b/>
          <w:bCs/>
          <w14:ligatures w14:val="standardContextual"/>
        </w:rPr>
        <w:t>Voluntary Conveyance Resulting Trusts</w:t>
      </w:r>
      <w:r w:rsidR="00F64998" w:rsidRPr="00ED0BCE">
        <w:rPr>
          <w:rFonts w:ascii="Times New Roman" w:eastAsiaTheme="minorEastAsia" w:hAnsi="Times New Roman"/>
          <w14:ligatures w14:val="standardContextual"/>
        </w:rPr>
        <w:t>:</w:t>
      </w:r>
      <w:r w:rsidR="00B81AD2">
        <w:rPr>
          <w:rFonts w:ascii="Times New Roman" w:eastAsiaTheme="minorEastAsia" w:hAnsi="Times New Roman"/>
          <w14:ligatures w14:val="standardContextual"/>
        </w:rPr>
        <w:t xml:space="preserve"> (Transfer)</w:t>
      </w:r>
    </w:p>
    <w:p w14:paraId="1B426473" w14:textId="5D145802" w:rsidR="00ED0BCE"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Arise when property is voluntarily transferred without consideration. Equity presumes the transferee holds the property on trust for the transferor unless proven otherwise.</w:t>
      </w:r>
    </w:p>
    <w:p w14:paraId="6FF13A5B" w14:textId="045DBDAE" w:rsidR="00F64998"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Key Case</w:t>
      </w:r>
      <w:r w:rsidRPr="00ED0BCE">
        <w:rPr>
          <w:rFonts w:ascii="Times New Roman" w:eastAsiaTheme="minorEastAsia" w:hAnsi="Times New Roman"/>
          <w14:ligatures w14:val="standardContextual"/>
        </w:rPr>
        <w:t xml:space="preserve">: </w:t>
      </w:r>
      <w:r w:rsidRPr="00ED0BCE">
        <w:rPr>
          <w:rFonts w:ascii="Times New Roman" w:eastAsiaTheme="minorEastAsia" w:hAnsi="Times New Roman"/>
          <w:i/>
          <w:iCs/>
          <w14:ligatures w14:val="standardContextual"/>
        </w:rPr>
        <w:t>Dyer v Dyer (1788)</w:t>
      </w:r>
      <w:r w:rsidRPr="00ED0BCE">
        <w:rPr>
          <w:rFonts w:ascii="Times New Roman" w:eastAsiaTheme="minorEastAsia" w:hAnsi="Times New Roman"/>
          <w14:ligatures w14:val="standardContextual"/>
        </w:rPr>
        <w:t>—Presumption of resulting trust arose where a title was held by a party other than the purchaser.</w:t>
      </w:r>
    </w:p>
    <w:p w14:paraId="1458B497" w14:textId="4E0C60DD" w:rsidR="00F64998"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 xml:space="preserve">2. </w:t>
      </w:r>
      <w:r w:rsidR="00F64998" w:rsidRPr="00ED0BCE">
        <w:rPr>
          <w:rFonts w:ascii="Times New Roman" w:eastAsiaTheme="minorEastAsia" w:hAnsi="Times New Roman"/>
          <w:b/>
          <w:bCs/>
          <w14:ligatures w14:val="standardContextual"/>
        </w:rPr>
        <w:t>Purchase-Money Resulting Trusts</w:t>
      </w:r>
      <w:r w:rsidR="00F64998" w:rsidRPr="00ED0BCE">
        <w:rPr>
          <w:rFonts w:ascii="Times New Roman" w:eastAsiaTheme="minorEastAsia" w:hAnsi="Times New Roman"/>
          <w14:ligatures w14:val="standardContextual"/>
        </w:rPr>
        <w:t>:</w:t>
      </w:r>
      <w:r w:rsidR="00B81AD2">
        <w:rPr>
          <w:rFonts w:ascii="Times New Roman" w:eastAsiaTheme="minorEastAsia" w:hAnsi="Times New Roman"/>
          <w14:ligatures w14:val="standardContextual"/>
        </w:rPr>
        <w:t xml:space="preserve"> (Pay) </w:t>
      </w:r>
    </w:p>
    <w:p w14:paraId="2A14BE2D" w14:textId="77777777" w:rsidR="00F64998"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Occur when A pays for property, but the title is registered in B’s name. B holds the property on trust for A unless evidence proves otherwise (e.g., intent to gift).</w:t>
      </w:r>
    </w:p>
    <w:p w14:paraId="78D09C76" w14:textId="77777777" w:rsidR="00F64998"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Key Case</w:t>
      </w:r>
      <w:r w:rsidRPr="00ED0BCE">
        <w:rPr>
          <w:rFonts w:ascii="Times New Roman" w:eastAsiaTheme="minorEastAsia" w:hAnsi="Times New Roman"/>
          <w14:ligatures w14:val="standardContextual"/>
        </w:rPr>
        <w:t xml:space="preserve">: </w:t>
      </w:r>
      <w:proofErr w:type="spellStart"/>
      <w:r w:rsidRPr="00ED0BCE">
        <w:rPr>
          <w:rFonts w:ascii="Times New Roman" w:eastAsiaTheme="minorEastAsia" w:hAnsi="Times New Roman"/>
          <w:i/>
          <w:iCs/>
          <w14:ligatures w14:val="standardContextual"/>
        </w:rPr>
        <w:t>Fowkes</w:t>
      </w:r>
      <w:proofErr w:type="spellEnd"/>
      <w:r w:rsidRPr="00ED0BCE">
        <w:rPr>
          <w:rFonts w:ascii="Times New Roman" w:eastAsiaTheme="minorEastAsia" w:hAnsi="Times New Roman"/>
          <w:i/>
          <w:iCs/>
          <w14:ligatures w14:val="standardContextual"/>
        </w:rPr>
        <w:t xml:space="preserve"> v Pascoe (1875)</w:t>
      </w:r>
      <w:r w:rsidRPr="00ED0BCE">
        <w:rPr>
          <w:rFonts w:ascii="Times New Roman" w:eastAsiaTheme="minorEastAsia" w:hAnsi="Times New Roman"/>
          <w14:ligatures w14:val="standardContextual"/>
        </w:rPr>
        <w:t>—The presumption of resulting trust was rebutted by evidence of intent to gift.</w:t>
      </w:r>
    </w:p>
    <w:p w14:paraId="4094EC2E" w14:textId="77777777"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b/>
          <w:bCs/>
          <w14:ligatures w14:val="standardContextual"/>
        </w:rPr>
      </w:pPr>
    </w:p>
    <w:p w14:paraId="198EB1B3" w14:textId="77777777"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b/>
          <w:bCs/>
          <w14:ligatures w14:val="standardContextual"/>
        </w:rPr>
      </w:pPr>
    </w:p>
    <w:p w14:paraId="760F4C15" w14:textId="5C626E6C" w:rsidR="00F64998"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 xml:space="preserve">3. </w:t>
      </w:r>
      <w:r w:rsidR="00F64998" w:rsidRPr="00ED0BCE">
        <w:rPr>
          <w:rFonts w:ascii="Times New Roman" w:eastAsiaTheme="minorEastAsia" w:hAnsi="Times New Roman"/>
          <w:b/>
          <w:bCs/>
          <w14:ligatures w14:val="standardContextual"/>
        </w:rPr>
        <w:t>Failed Trust Resulting Trusts</w:t>
      </w:r>
      <w:r w:rsidR="00F64998" w:rsidRPr="00ED0BCE">
        <w:rPr>
          <w:rFonts w:ascii="Times New Roman" w:eastAsiaTheme="minorEastAsia" w:hAnsi="Times New Roman"/>
          <w14:ligatures w14:val="standardContextual"/>
        </w:rPr>
        <w:t>:</w:t>
      </w:r>
      <w:r w:rsidR="00B81AD2">
        <w:rPr>
          <w:rFonts w:ascii="Times New Roman" w:eastAsiaTheme="minorEastAsia" w:hAnsi="Times New Roman"/>
          <w14:ligatures w14:val="standardContextual"/>
        </w:rPr>
        <w:t xml:space="preserve"> (Uncertainty)</w:t>
      </w:r>
    </w:p>
    <w:p w14:paraId="43E6AD27" w14:textId="77777777" w:rsidR="00F64998"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Arise when an express trust fails (e.g., due to uncertainty, illegality, or perpetuities rules). The beneficial interest "springs back" to the transferor.</w:t>
      </w:r>
    </w:p>
    <w:p w14:paraId="038D7DD3" w14:textId="77777777" w:rsidR="00F64998"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Key Case</w:t>
      </w:r>
      <w:r w:rsidRPr="00ED0BCE">
        <w:rPr>
          <w:rFonts w:ascii="Times New Roman" w:eastAsiaTheme="minorEastAsia" w:hAnsi="Times New Roman"/>
          <w14:ligatures w14:val="standardContextual"/>
        </w:rPr>
        <w:t xml:space="preserve">: </w:t>
      </w:r>
      <w:proofErr w:type="spellStart"/>
      <w:r w:rsidRPr="00ED0BCE">
        <w:rPr>
          <w:rFonts w:ascii="Times New Roman" w:eastAsiaTheme="minorEastAsia" w:hAnsi="Times New Roman"/>
          <w:i/>
          <w:iCs/>
          <w14:ligatures w14:val="standardContextual"/>
        </w:rPr>
        <w:t>Morice</w:t>
      </w:r>
      <w:proofErr w:type="spellEnd"/>
      <w:r w:rsidRPr="00ED0BCE">
        <w:rPr>
          <w:rFonts w:ascii="Times New Roman" w:eastAsiaTheme="minorEastAsia" w:hAnsi="Times New Roman"/>
          <w:i/>
          <w:iCs/>
          <w14:ligatures w14:val="standardContextual"/>
        </w:rPr>
        <w:t xml:space="preserve"> v Bishop of Durham (1804)</w:t>
      </w:r>
      <w:r w:rsidRPr="00ED0BCE">
        <w:rPr>
          <w:rFonts w:ascii="Times New Roman" w:eastAsiaTheme="minorEastAsia" w:hAnsi="Times New Roman"/>
          <w14:ligatures w14:val="standardContextual"/>
        </w:rPr>
        <w:t>—A charitable trust failed for lack of defined objects, leading to a resulting trust for the estate.</w:t>
      </w:r>
    </w:p>
    <w:p w14:paraId="6620B428" w14:textId="77777777" w:rsidR="00F64998" w:rsidRPr="00ED0BCE" w:rsidRDefault="00F64998" w:rsidP="00ED0BCE">
      <w:pPr>
        <w:autoSpaceDE w:val="0"/>
        <w:autoSpaceDN w:val="0"/>
        <w:adjustRightInd w:val="0"/>
        <w:spacing w:before="240" w:after="240" w:line="360" w:lineRule="auto"/>
        <w:rPr>
          <w:rFonts w:ascii="Times New Roman" w:eastAsiaTheme="minorEastAsia" w:hAnsi="Times New Roman"/>
          <w14:ligatures w14:val="standardContextual"/>
        </w:rPr>
      </w:pPr>
    </w:p>
    <w:p w14:paraId="0FAC5EB1" w14:textId="77777777" w:rsidR="00F64998" w:rsidRPr="00ED0BCE" w:rsidRDefault="00F64998"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Why Do Resulting Trusts Arise?</w:t>
      </w:r>
    </w:p>
    <w:p w14:paraId="62B95EF3" w14:textId="7693F376" w:rsidR="00F64998"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 xml:space="preserve">1. </w:t>
      </w:r>
      <w:r w:rsidR="00F64998" w:rsidRPr="00ED0BCE">
        <w:rPr>
          <w:rFonts w:ascii="Times New Roman" w:eastAsiaTheme="minorEastAsia" w:hAnsi="Times New Roman"/>
          <w:b/>
          <w:bCs/>
          <w14:ligatures w14:val="standardContextual"/>
        </w:rPr>
        <w:t>Traditional View</w:t>
      </w:r>
      <w:r w:rsidR="00F64998" w:rsidRPr="00ED0BCE">
        <w:rPr>
          <w:rFonts w:ascii="Times New Roman" w:eastAsiaTheme="minorEastAsia" w:hAnsi="Times New Roman"/>
          <w14:ligatures w14:val="standardContextual"/>
        </w:rPr>
        <w:t>: Resulting trusts are presumed because the transferor did not intend to gift the property outright.</w:t>
      </w:r>
    </w:p>
    <w:p w14:paraId="7C7C8862" w14:textId="12427361" w:rsidR="00F64998"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 xml:space="preserve">2. </w:t>
      </w:r>
      <w:r w:rsidR="00F64998" w:rsidRPr="00ED0BCE">
        <w:rPr>
          <w:rFonts w:ascii="Times New Roman" w:eastAsiaTheme="minorEastAsia" w:hAnsi="Times New Roman"/>
          <w:b/>
          <w:bCs/>
          <w14:ligatures w14:val="standardContextual"/>
        </w:rPr>
        <w:t>Unjust Enrichment Critique</w:t>
      </w:r>
      <w:r w:rsidR="00F64998" w:rsidRPr="00ED0BCE">
        <w:rPr>
          <w:rFonts w:ascii="Times New Roman" w:eastAsiaTheme="minorEastAsia" w:hAnsi="Times New Roman"/>
          <w14:ligatures w14:val="standardContextual"/>
        </w:rPr>
        <w:t>: Scholars like Chambers argue that resulting trusts prevent transferees from unjustly benefiting when they were not intended to hold the property beneficially.</w:t>
      </w:r>
    </w:p>
    <w:p w14:paraId="50891E52" w14:textId="64C753E6" w:rsidR="00F64998"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 xml:space="preserve">3. </w:t>
      </w:r>
      <w:r w:rsidR="00F64998" w:rsidRPr="00ED0BCE">
        <w:rPr>
          <w:rFonts w:ascii="Times New Roman" w:eastAsiaTheme="minorEastAsia" w:hAnsi="Times New Roman"/>
          <w:b/>
          <w:bCs/>
          <w14:ligatures w14:val="standardContextual"/>
        </w:rPr>
        <w:t>Automatic vs. Presumed Trusts</w:t>
      </w:r>
      <w:r w:rsidR="00F64998" w:rsidRPr="00ED0BCE">
        <w:rPr>
          <w:rFonts w:ascii="Times New Roman" w:eastAsiaTheme="minorEastAsia" w:hAnsi="Times New Roman"/>
          <w14:ligatures w14:val="standardContextual"/>
        </w:rPr>
        <w:t>:</w:t>
      </w:r>
    </w:p>
    <w:p w14:paraId="375D2042" w14:textId="77777777" w:rsidR="00F64998"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Automatic</w:t>
      </w:r>
      <w:r w:rsidRPr="00ED0BCE">
        <w:rPr>
          <w:rFonts w:ascii="Times New Roman" w:eastAsiaTheme="minorEastAsia" w:hAnsi="Times New Roman"/>
          <w14:ligatures w14:val="standardContextual"/>
        </w:rPr>
        <w:t>: Triggered when a trust fails, irrespective of intention.</w:t>
      </w:r>
    </w:p>
    <w:p w14:paraId="0AAB501B" w14:textId="77777777" w:rsidR="00F64998"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Presumed</w:t>
      </w:r>
      <w:r w:rsidRPr="00ED0BCE">
        <w:rPr>
          <w:rFonts w:ascii="Times New Roman" w:eastAsiaTheme="minorEastAsia" w:hAnsi="Times New Roman"/>
          <w14:ligatures w14:val="standardContextual"/>
        </w:rPr>
        <w:t>: Based on evidentiary gaps regarding the transferor's intent.</w:t>
      </w:r>
    </w:p>
    <w:p w14:paraId="692CE443" w14:textId="77777777" w:rsidR="00F64998" w:rsidRPr="00ED0BCE" w:rsidRDefault="00F64998" w:rsidP="00ED0BCE">
      <w:pPr>
        <w:autoSpaceDE w:val="0"/>
        <w:autoSpaceDN w:val="0"/>
        <w:adjustRightInd w:val="0"/>
        <w:spacing w:before="240" w:after="240" w:line="360" w:lineRule="auto"/>
        <w:rPr>
          <w:rFonts w:ascii="Times New Roman" w:eastAsiaTheme="minorEastAsia" w:hAnsi="Times New Roman"/>
          <w14:ligatures w14:val="standardContextual"/>
        </w:rPr>
      </w:pPr>
    </w:p>
    <w:p w14:paraId="7A3DD0FA" w14:textId="77777777" w:rsidR="00F64998" w:rsidRPr="00ED0BCE" w:rsidRDefault="00F64998"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Role of Presumptions</w:t>
      </w:r>
    </w:p>
    <w:p w14:paraId="30870394" w14:textId="4FBD78D9" w:rsidR="00F64998"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 xml:space="preserve">1. </w:t>
      </w:r>
      <w:r w:rsidR="00F64998" w:rsidRPr="00ED0BCE">
        <w:rPr>
          <w:rFonts w:ascii="Times New Roman" w:eastAsiaTheme="minorEastAsia" w:hAnsi="Times New Roman"/>
          <w:b/>
          <w:bCs/>
          <w14:ligatures w14:val="standardContextual"/>
        </w:rPr>
        <w:t>True Presumptions</w:t>
      </w:r>
      <w:r w:rsidR="00F64998" w:rsidRPr="00ED0BCE">
        <w:rPr>
          <w:rFonts w:ascii="Times New Roman" w:eastAsiaTheme="minorEastAsia" w:hAnsi="Times New Roman"/>
          <w14:ligatures w14:val="standardContextual"/>
        </w:rPr>
        <w:t>:</w:t>
      </w:r>
    </w:p>
    <w:p w14:paraId="46A108E0" w14:textId="77777777" w:rsidR="00F64998"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Operate as evidentiary tools, shifting the burden of proof to the transferee to disprove the trust.</w:t>
      </w:r>
    </w:p>
    <w:p w14:paraId="2ADE577D" w14:textId="2A0D1B28" w:rsidR="00F64998"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 xml:space="preserve">2. </w:t>
      </w:r>
      <w:r w:rsidR="00F64998" w:rsidRPr="00ED0BCE">
        <w:rPr>
          <w:rFonts w:ascii="Times New Roman" w:eastAsiaTheme="minorEastAsia" w:hAnsi="Times New Roman"/>
          <w:b/>
          <w:bCs/>
          <w14:ligatures w14:val="standardContextual"/>
        </w:rPr>
        <w:t>Misused Presumptions</w:t>
      </w:r>
      <w:r w:rsidR="00F64998" w:rsidRPr="00ED0BCE">
        <w:rPr>
          <w:rFonts w:ascii="Times New Roman" w:eastAsiaTheme="minorEastAsia" w:hAnsi="Times New Roman"/>
          <w14:ligatures w14:val="standardContextual"/>
        </w:rPr>
        <w:t>:</w:t>
      </w:r>
    </w:p>
    <w:p w14:paraId="588A11D3" w14:textId="0FCF45FC" w:rsidR="00F64998"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lastRenderedPageBreak/>
        <w:t>Some "presumptions" are substantive legal rules, such as the presumption of advancement, rather than genuine evidentiary mechanisms.</w:t>
      </w:r>
    </w:p>
    <w:p w14:paraId="42812E73" w14:textId="77777777" w:rsid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p>
    <w:p w14:paraId="43DAAF3B" w14:textId="699CE16E" w:rsidR="00F64998" w:rsidRP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 xml:space="preserve">2. </w:t>
      </w:r>
      <w:proofErr w:type="spellStart"/>
      <w:r w:rsidR="00F64998" w:rsidRPr="00ED0BCE">
        <w:rPr>
          <w:rFonts w:ascii="Times New Roman" w:eastAsiaTheme="minorEastAsia" w:hAnsi="Times New Roman"/>
          <w:b/>
          <w:bCs/>
          <w14:ligatures w14:val="standardContextual"/>
        </w:rPr>
        <w:t>Vandervell</w:t>
      </w:r>
      <w:proofErr w:type="spellEnd"/>
      <w:r w:rsidR="00F64998" w:rsidRPr="00ED0BCE">
        <w:rPr>
          <w:rFonts w:ascii="Times New Roman" w:eastAsiaTheme="minorEastAsia" w:hAnsi="Times New Roman"/>
          <w:b/>
          <w:bCs/>
          <w14:ligatures w14:val="standardContextual"/>
        </w:rPr>
        <w:t xml:space="preserve"> v IRC</w:t>
      </w:r>
    </w:p>
    <w:p w14:paraId="4DFF8B45" w14:textId="77777777" w:rsidR="00ED0BCE" w:rsidRP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Case Overview</w:t>
      </w:r>
    </w:p>
    <w:p w14:paraId="5F8EBE71" w14:textId="77777777" w:rsidR="00ED0BCE" w:rsidRPr="00ED0BCE" w:rsidRDefault="00ED0BCE" w:rsidP="00ED0BCE">
      <w:pPr>
        <w:autoSpaceDE w:val="0"/>
        <w:autoSpaceDN w:val="0"/>
        <w:adjustRightInd w:val="0"/>
        <w:spacing w:before="240" w:after="240" w:line="360" w:lineRule="auto"/>
        <w:rPr>
          <w:rFonts w:ascii="Times New Roman" w:eastAsiaTheme="minorEastAsia" w:hAnsi="Times New Roman"/>
          <w14:ligatures w14:val="standardContextual"/>
        </w:rPr>
      </w:pPr>
      <w:proofErr w:type="spellStart"/>
      <w:r w:rsidRPr="00ED0BCE">
        <w:rPr>
          <w:rFonts w:ascii="Times New Roman" w:eastAsiaTheme="minorEastAsia" w:hAnsi="Times New Roman"/>
          <w:b/>
          <w:bCs/>
          <w14:ligatures w14:val="standardContextual"/>
        </w:rPr>
        <w:t>Vandervell</w:t>
      </w:r>
      <w:proofErr w:type="spellEnd"/>
      <w:r w:rsidRPr="00ED0BCE">
        <w:rPr>
          <w:rFonts w:ascii="Times New Roman" w:eastAsiaTheme="minorEastAsia" w:hAnsi="Times New Roman"/>
          <w:b/>
          <w:bCs/>
          <w14:ligatures w14:val="standardContextual"/>
        </w:rPr>
        <w:t xml:space="preserve"> v IRC</w:t>
      </w:r>
      <w:r w:rsidRPr="00ED0BCE">
        <w:rPr>
          <w:rFonts w:ascii="Times New Roman" w:eastAsiaTheme="minorEastAsia" w:hAnsi="Times New Roman"/>
          <w14:ligatures w14:val="standardContextual"/>
        </w:rPr>
        <w:t xml:space="preserve"> (1967) is a landmark case exploring the limits of resulting trusts, particularly in scenarios involving incomplete or failed dispositions of beneficial interests. The case arose from a complex transaction structure aimed at achieving tax efficiency while funding a charitable cause.</w:t>
      </w:r>
    </w:p>
    <w:p w14:paraId="15405B0A" w14:textId="77777777" w:rsidR="00ED0BCE" w:rsidRP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Facts</w:t>
      </w:r>
    </w:p>
    <w:p w14:paraId="23DD2A2F" w14:textId="77777777" w:rsidR="00ED0BCE" w:rsidRPr="00ED0BCE" w:rsidRDefault="00ED0BCE" w:rsidP="00ED0BCE">
      <w:pPr>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1. Charitable Donation</w:t>
      </w:r>
    </w:p>
    <w:p w14:paraId="0C2F30D2" w14:textId="3501DF38" w:rsidR="00ED0BCE" w:rsidRP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proofErr w:type="spellStart"/>
      <w:r w:rsidRPr="00ED0BCE">
        <w:rPr>
          <w:rFonts w:ascii="Times New Roman" w:eastAsiaTheme="minorEastAsia" w:hAnsi="Times New Roman"/>
          <w14:ligatures w14:val="standardContextual"/>
        </w:rPr>
        <w:t>Vandervell</w:t>
      </w:r>
      <w:proofErr w:type="spellEnd"/>
      <w:r w:rsidRPr="00ED0BCE">
        <w:rPr>
          <w:rFonts w:ascii="Times New Roman" w:eastAsiaTheme="minorEastAsia" w:hAnsi="Times New Roman"/>
          <w14:ligatures w14:val="standardContextual"/>
        </w:rPr>
        <w:t xml:space="preserve"> sought to donate shares in a private company (held on trust by National Provincial Bank) to the Royal College of Surgeons to establish a pharmacology chair.</w:t>
      </w:r>
    </w:p>
    <w:p w14:paraId="0970B279" w14:textId="00EBA5D2"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2. Tax Strategy</w:t>
      </w:r>
      <w:r w:rsidRPr="00ED0BCE">
        <w:rPr>
          <w:rFonts w:ascii="Times New Roman" w:eastAsiaTheme="minorEastAsia" w:hAnsi="Times New Roman"/>
          <w14:ligatures w14:val="standardContextual"/>
        </w:rPr>
        <w:t>:</w:t>
      </w:r>
    </w:p>
    <w:p w14:paraId="437B8FAF" w14:textId="52D4FEC4"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The plan was for the company to declare dividends on the shares, which the college would use to fund the chair.</w:t>
      </w:r>
    </w:p>
    <w:p w14:paraId="3E7C77A2" w14:textId="77777777" w:rsid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The charity would recover tax deducted at source, ensuring tax-efficient use of dividends.</w:t>
      </w:r>
    </w:p>
    <w:p w14:paraId="29988313" w14:textId="1008D913"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3. Retention of Control</w:t>
      </w:r>
      <w:r w:rsidRPr="00ED0BCE">
        <w:rPr>
          <w:rFonts w:ascii="Times New Roman" w:eastAsiaTheme="minorEastAsia" w:hAnsi="Times New Roman"/>
          <w14:ligatures w14:val="standardContextual"/>
        </w:rPr>
        <w:t>:</w:t>
      </w:r>
    </w:p>
    <w:p w14:paraId="6D5C4145" w14:textId="63CFE064"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proofErr w:type="spellStart"/>
      <w:r w:rsidRPr="00ED0BCE">
        <w:rPr>
          <w:rFonts w:ascii="Times New Roman" w:eastAsiaTheme="minorEastAsia" w:hAnsi="Times New Roman"/>
          <w14:ligatures w14:val="standardContextual"/>
        </w:rPr>
        <w:t>Vandervell</w:t>
      </w:r>
      <w:proofErr w:type="spellEnd"/>
      <w:r w:rsidRPr="00ED0BCE">
        <w:rPr>
          <w:rFonts w:ascii="Times New Roman" w:eastAsiaTheme="minorEastAsia" w:hAnsi="Times New Roman"/>
          <w14:ligatures w14:val="standardContextual"/>
        </w:rPr>
        <w:t xml:space="preserve"> arranged for the college to grant an option to buy back the shares to </w:t>
      </w:r>
      <w:proofErr w:type="spellStart"/>
      <w:r w:rsidRPr="00ED0BCE">
        <w:rPr>
          <w:rFonts w:ascii="Times New Roman" w:eastAsiaTheme="minorEastAsia" w:hAnsi="Times New Roman"/>
          <w14:ligatures w14:val="standardContextual"/>
        </w:rPr>
        <w:t>Vandervell</w:t>
      </w:r>
      <w:proofErr w:type="spellEnd"/>
      <w:r w:rsidRPr="00ED0BCE">
        <w:rPr>
          <w:rFonts w:ascii="Times New Roman" w:eastAsiaTheme="minorEastAsia" w:hAnsi="Times New Roman"/>
          <w14:ligatures w14:val="standardContextual"/>
        </w:rPr>
        <w:t xml:space="preserve"> Trustees Ltd (a trustee company for his children’s settlement). This arrangement was intended to provide flexibility for future use of the shares.</w:t>
      </w:r>
    </w:p>
    <w:p w14:paraId="411B2294" w14:textId="06F8B449"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4. Legal Challenge</w:t>
      </w:r>
      <w:r w:rsidRPr="00ED0BCE">
        <w:rPr>
          <w:rFonts w:ascii="Times New Roman" w:eastAsiaTheme="minorEastAsia" w:hAnsi="Times New Roman"/>
          <w14:ligatures w14:val="standardContextual"/>
        </w:rPr>
        <w:t>:</w:t>
      </w:r>
    </w:p>
    <w:p w14:paraId="490A5504" w14:textId="77777777"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lastRenderedPageBreak/>
        <w:t xml:space="preserve">The Inland Revenue argued that </w:t>
      </w:r>
      <w:proofErr w:type="spellStart"/>
      <w:r w:rsidRPr="00ED0BCE">
        <w:rPr>
          <w:rFonts w:ascii="Times New Roman" w:eastAsiaTheme="minorEastAsia" w:hAnsi="Times New Roman"/>
          <w14:ligatures w14:val="standardContextual"/>
        </w:rPr>
        <w:t>Vandervell</w:t>
      </w:r>
      <w:proofErr w:type="spellEnd"/>
      <w:r w:rsidRPr="00ED0BCE">
        <w:rPr>
          <w:rFonts w:ascii="Times New Roman" w:eastAsiaTheme="minorEastAsia" w:hAnsi="Times New Roman"/>
          <w14:ligatures w14:val="standardContextual"/>
        </w:rPr>
        <w:t xml:space="preserve"> </w:t>
      </w:r>
      <w:r w:rsidRPr="003C632C">
        <w:rPr>
          <w:rFonts w:ascii="Times New Roman" w:eastAsiaTheme="minorEastAsia" w:hAnsi="Times New Roman"/>
          <w:u w:val="single"/>
          <w14:ligatures w14:val="standardContextual"/>
        </w:rPr>
        <w:t>had not completely divested his beneficial interest</w:t>
      </w:r>
      <w:r w:rsidRPr="00ED0BCE">
        <w:rPr>
          <w:rFonts w:ascii="Times New Roman" w:eastAsiaTheme="minorEastAsia" w:hAnsi="Times New Roman"/>
          <w14:ligatures w14:val="standardContextual"/>
        </w:rPr>
        <w:t xml:space="preserve"> in the shares, making him liable for surtax on the dividends under </w:t>
      </w:r>
      <w:r w:rsidRPr="00ED0BCE">
        <w:rPr>
          <w:rFonts w:ascii="Times New Roman" w:eastAsiaTheme="minorEastAsia" w:hAnsi="Times New Roman"/>
          <w:b/>
          <w:bCs/>
          <w14:ligatures w14:val="standardContextual"/>
        </w:rPr>
        <w:t>s.415 of the Income Tax Act 1952</w:t>
      </w:r>
      <w:r w:rsidRPr="00ED0BCE">
        <w:rPr>
          <w:rFonts w:ascii="Times New Roman" w:eastAsiaTheme="minorEastAsia" w:hAnsi="Times New Roman"/>
          <w14:ligatures w14:val="standardContextual"/>
        </w:rPr>
        <w:t>.</w:t>
      </w:r>
    </w:p>
    <w:p w14:paraId="775F953C" w14:textId="77777777" w:rsidR="00ED0BCE" w:rsidRP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p>
    <w:p w14:paraId="547A20F1" w14:textId="1FAE28CA" w:rsidR="00ED0BCE" w:rsidRP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Key Legal Questions</w:t>
      </w:r>
    </w:p>
    <w:p w14:paraId="6C4E998F" w14:textId="5DA50B44"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1. Who was the grantor of the buyback option?</w:t>
      </w:r>
    </w:p>
    <w:p w14:paraId="1E660540" w14:textId="4E1FD70D"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 xml:space="preserve">2. In what capacity did </w:t>
      </w:r>
      <w:proofErr w:type="spellStart"/>
      <w:r w:rsidRPr="00ED0BCE">
        <w:rPr>
          <w:rFonts w:ascii="Times New Roman" w:eastAsiaTheme="minorEastAsia" w:hAnsi="Times New Roman"/>
          <w:b/>
          <w:bCs/>
          <w14:ligatures w14:val="standardContextual"/>
        </w:rPr>
        <w:t>Vandervell</w:t>
      </w:r>
      <w:proofErr w:type="spellEnd"/>
      <w:r w:rsidRPr="00ED0BCE">
        <w:rPr>
          <w:rFonts w:ascii="Times New Roman" w:eastAsiaTheme="minorEastAsia" w:hAnsi="Times New Roman"/>
          <w:b/>
          <w:bCs/>
          <w14:ligatures w14:val="standardContextual"/>
        </w:rPr>
        <w:t xml:space="preserve"> Trustees Ltd hold the option?</w:t>
      </w:r>
    </w:p>
    <w:p w14:paraId="4AE43D4B" w14:textId="753187BD"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 xml:space="preserve">3. Did </w:t>
      </w:r>
      <w:proofErr w:type="spellStart"/>
      <w:r w:rsidRPr="00ED0BCE">
        <w:rPr>
          <w:rFonts w:ascii="Times New Roman" w:eastAsiaTheme="minorEastAsia" w:hAnsi="Times New Roman"/>
          <w:b/>
          <w:bCs/>
          <w14:ligatures w14:val="standardContextual"/>
        </w:rPr>
        <w:t>Vandervell</w:t>
      </w:r>
      <w:proofErr w:type="spellEnd"/>
      <w:r w:rsidRPr="00ED0BCE">
        <w:rPr>
          <w:rFonts w:ascii="Times New Roman" w:eastAsiaTheme="minorEastAsia" w:hAnsi="Times New Roman"/>
          <w:b/>
          <w:bCs/>
          <w14:ligatures w14:val="standardContextual"/>
        </w:rPr>
        <w:t xml:space="preserve"> completely divest himself of the beneficial interest in the shares?</w:t>
      </w:r>
    </w:p>
    <w:p w14:paraId="690497CA" w14:textId="77777777" w:rsidR="00ED0BCE" w:rsidRP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p>
    <w:p w14:paraId="5865F2EE" w14:textId="08315E8A" w:rsidR="00ED0BCE" w:rsidRP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Court of Appeal Decision</w:t>
      </w:r>
    </w:p>
    <w:p w14:paraId="696FACDB" w14:textId="31409172" w:rsidR="00ED0BCE" w:rsidRDefault="00ED0BCE" w:rsidP="00ED0BCE">
      <w:pPr>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xml:space="preserve">The Court of Appeal found that the option to repurchase the shares was held by </w:t>
      </w:r>
      <w:proofErr w:type="spellStart"/>
      <w:r w:rsidRPr="00ED0BCE">
        <w:rPr>
          <w:rFonts w:ascii="Times New Roman" w:eastAsiaTheme="minorEastAsia" w:hAnsi="Times New Roman"/>
          <w14:ligatures w14:val="standardContextual"/>
        </w:rPr>
        <w:t>Vandervell</w:t>
      </w:r>
      <w:proofErr w:type="spellEnd"/>
      <w:r w:rsidRPr="00ED0BCE">
        <w:rPr>
          <w:rFonts w:ascii="Times New Roman" w:eastAsiaTheme="minorEastAsia" w:hAnsi="Times New Roman"/>
          <w14:ligatures w14:val="standardContextual"/>
        </w:rPr>
        <w:t xml:space="preserve"> Trustees Ltd on a </w:t>
      </w:r>
      <w:r w:rsidRPr="00ED0BCE">
        <w:rPr>
          <w:rFonts w:ascii="Times New Roman" w:eastAsiaTheme="minorEastAsia" w:hAnsi="Times New Roman"/>
          <w:b/>
          <w:bCs/>
          <w14:ligatures w14:val="standardContextual"/>
        </w:rPr>
        <w:t>resulting trust</w:t>
      </w:r>
      <w:r w:rsidRPr="00ED0BCE">
        <w:rPr>
          <w:rFonts w:ascii="Times New Roman" w:eastAsiaTheme="minorEastAsia" w:hAnsi="Times New Roman"/>
          <w14:ligatures w14:val="standardContextual"/>
        </w:rPr>
        <w:t xml:space="preserve"> for </w:t>
      </w:r>
      <w:proofErr w:type="spellStart"/>
      <w:r w:rsidRPr="00ED0BCE">
        <w:rPr>
          <w:rFonts w:ascii="Times New Roman" w:eastAsiaTheme="minorEastAsia" w:hAnsi="Times New Roman"/>
          <w14:ligatures w14:val="standardContextual"/>
        </w:rPr>
        <w:t>Vandervell</w:t>
      </w:r>
      <w:proofErr w:type="spellEnd"/>
      <w:r w:rsidRPr="00ED0BCE">
        <w:rPr>
          <w:rFonts w:ascii="Times New Roman" w:eastAsiaTheme="minorEastAsia" w:hAnsi="Times New Roman"/>
          <w14:ligatures w14:val="standardContextual"/>
        </w:rPr>
        <w:t xml:space="preserve">. This was based on the </w:t>
      </w:r>
      <w:r w:rsidRPr="00ED0BCE">
        <w:rPr>
          <w:rFonts w:ascii="Times New Roman" w:eastAsiaTheme="minorEastAsia" w:hAnsi="Times New Roman"/>
          <w:b/>
          <w:bCs/>
          <w14:ligatures w14:val="standardContextual"/>
        </w:rPr>
        <w:t>presumption of resulting trust</w:t>
      </w:r>
      <w:r w:rsidRPr="00ED0BCE">
        <w:rPr>
          <w:rFonts w:ascii="Times New Roman" w:eastAsiaTheme="minorEastAsia" w:hAnsi="Times New Roman"/>
          <w14:ligatures w14:val="standardContextual"/>
        </w:rPr>
        <w:t>, which applies in the absence of clear evidence of intention to gift.</w:t>
      </w:r>
    </w:p>
    <w:p w14:paraId="6CD5F3C8" w14:textId="77777777" w:rsidR="00ED0BCE" w:rsidRPr="00ED0BCE" w:rsidRDefault="00ED0BCE" w:rsidP="00ED0BCE">
      <w:pPr>
        <w:autoSpaceDE w:val="0"/>
        <w:autoSpaceDN w:val="0"/>
        <w:adjustRightInd w:val="0"/>
        <w:spacing w:before="240" w:after="240" w:line="360" w:lineRule="auto"/>
        <w:rPr>
          <w:rFonts w:ascii="Times New Roman" w:eastAsiaTheme="minorEastAsia" w:hAnsi="Times New Roman"/>
          <w14:ligatures w14:val="standardContextual"/>
        </w:rPr>
      </w:pPr>
    </w:p>
    <w:p w14:paraId="7C474E48" w14:textId="77777777" w:rsidR="00ED0BCE" w:rsidRP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House of Lords Decision</w:t>
      </w:r>
    </w:p>
    <w:p w14:paraId="5693229B" w14:textId="77777777" w:rsidR="00ED0BCE" w:rsidRPr="00ED0BCE" w:rsidRDefault="00ED0BCE" w:rsidP="00ED0BCE">
      <w:pPr>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The House of Lords overturned the Court of Appeal's reliance on a presumption of resulting trust, holding that:</w:t>
      </w:r>
    </w:p>
    <w:p w14:paraId="65A37749" w14:textId="77777777"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Presumption Not Applicable</w:t>
      </w:r>
      <w:r w:rsidRPr="00ED0BCE">
        <w:rPr>
          <w:rFonts w:ascii="Times New Roman" w:eastAsiaTheme="minorEastAsia" w:hAnsi="Times New Roman"/>
          <w14:ligatures w14:val="standardContextual"/>
        </w:rPr>
        <w:t>:</w:t>
      </w:r>
    </w:p>
    <w:p w14:paraId="674E8ABD" w14:textId="48065180"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xml:space="preserve">The presumption of resulting trust only arises when there is an evidentiary gap about the transferor’s intentions. In this case, all relevant facts about </w:t>
      </w:r>
      <w:proofErr w:type="spellStart"/>
      <w:r w:rsidRPr="00ED0BCE">
        <w:rPr>
          <w:rFonts w:ascii="Times New Roman" w:eastAsiaTheme="minorEastAsia" w:hAnsi="Times New Roman"/>
          <w14:ligatures w14:val="standardContextual"/>
        </w:rPr>
        <w:t>Vandervell's</w:t>
      </w:r>
      <w:proofErr w:type="spellEnd"/>
      <w:r w:rsidRPr="00ED0BCE">
        <w:rPr>
          <w:rFonts w:ascii="Times New Roman" w:eastAsiaTheme="minorEastAsia" w:hAnsi="Times New Roman"/>
          <w14:ligatures w14:val="standardContextual"/>
        </w:rPr>
        <w:t xml:space="preserve"> intention and the transaction were known.</w:t>
      </w:r>
    </w:p>
    <w:p w14:paraId="45608D5F" w14:textId="70402168"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Failed Trust</w:t>
      </w:r>
      <w:r w:rsidRPr="00ED0BCE">
        <w:rPr>
          <w:rFonts w:ascii="Times New Roman" w:eastAsiaTheme="minorEastAsia" w:hAnsi="Times New Roman"/>
          <w14:ligatures w14:val="standardContextual"/>
        </w:rPr>
        <w:t>:</w:t>
      </w:r>
    </w:p>
    <w:p w14:paraId="241C4B15" w14:textId="77777777"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proofErr w:type="spellStart"/>
      <w:r w:rsidRPr="00ED0BCE">
        <w:rPr>
          <w:rFonts w:ascii="Times New Roman" w:eastAsiaTheme="minorEastAsia" w:hAnsi="Times New Roman"/>
          <w14:ligatures w14:val="standardContextual"/>
        </w:rPr>
        <w:lastRenderedPageBreak/>
        <w:t>Vandervell</w:t>
      </w:r>
      <w:proofErr w:type="spellEnd"/>
      <w:r w:rsidRPr="00ED0BCE">
        <w:rPr>
          <w:rFonts w:ascii="Times New Roman" w:eastAsiaTheme="minorEastAsia" w:hAnsi="Times New Roman"/>
          <w14:ligatures w14:val="standardContextual"/>
        </w:rPr>
        <w:t xml:space="preserve"> failed to define the objects of the trust concerning the buyback option. As a result, the beneficial interest in the option could not be left "floating in the air" and instead reverted to him automatically under a </w:t>
      </w:r>
      <w:r w:rsidRPr="00ED0BCE">
        <w:rPr>
          <w:rFonts w:ascii="Times New Roman" w:eastAsiaTheme="minorEastAsia" w:hAnsi="Times New Roman"/>
          <w:b/>
          <w:bCs/>
          <w14:ligatures w14:val="standardContextual"/>
        </w:rPr>
        <w:t>failed trust resulting trust</w:t>
      </w:r>
      <w:r w:rsidRPr="00ED0BCE">
        <w:rPr>
          <w:rFonts w:ascii="Times New Roman" w:eastAsiaTheme="minorEastAsia" w:hAnsi="Times New Roman"/>
          <w14:ligatures w14:val="standardContextual"/>
        </w:rPr>
        <w:t>.</w:t>
      </w:r>
    </w:p>
    <w:p w14:paraId="28CF60A2" w14:textId="77777777"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p>
    <w:p w14:paraId="6C7928BD" w14:textId="3C4D780C"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xml:space="preserve">This was not a resulting trust based on intention but an automatic consequence of equity filling the gap left by </w:t>
      </w:r>
      <w:proofErr w:type="spellStart"/>
      <w:r w:rsidRPr="00ED0BCE">
        <w:rPr>
          <w:rFonts w:ascii="Times New Roman" w:eastAsiaTheme="minorEastAsia" w:hAnsi="Times New Roman"/>
          <w14:ligatures w14:val="standardContextual"/>
        </w:rPr>
        <w:t>Vandervell’s</w:t>
      </w:r>
      <w:proofErr w:type="spellEnd"/>
      <w:r w:rsidRPr="00ED0BCE">
        <w:rPr>
          <w:rFonts w:ascii="Times New Roman" w:eastAsiaTheme="minorEastAsia" w:hAnsi="Times New Roman"/>
          <w14:ligatures w14:val="standardContextual"/>
        </w:rPr>
        <w:t xml:space="preserve"> failure to dispose of the beneficial interest effectively.</w:t>
      </w:r>
    </w:p>
    <w:p w14:paraId="7F1CB8C4" w14:textId="77777777" w:rsidR="00ED0BCE" w:rsidRPr="00ED0BCE" w:rsidRDefault="00ED0BCE" w:rsidP="00ED0BCE">
      <w:pPr>
        <w:autoSpaceDE w:val="0"/>
        <w:autoSpaceDN w:val="0"/>
        <w:adjustRightInd w:val="0"/>
        <w:spacing w:before="240" w:after="240" w:line="360" w:lineRule="auto"/>
        <w:rPr>
          <w:rFonts w:ascii="Times New Roman" w:eastAsiaTheme="minorEastAsia" w:hAnsi="Times New Roman"/>
          <w14:ligatures w14:val="standardContextual"/>
        </w:rPr>
      </w:pPr>
    </w:p>
    <w:p w14:paraId="0BE93CCE" w14:textId="77777777" w:rsidR="00ED0BCE" w:rsidRP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Reasoning of the Lords</w:t>
      </w:r>
    </w:p>
    <w:p w14:paraId="0DCE5938" w14:textId="77777777"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Lord Upjohn</w:t>
      </w:r>
      <w:r w:rsidRPr="00ED0BCE">
        <w:rPr>
          <w:rFonts w:ascii="Times New Roman" w:eastAsiaTheme="minorEastAsia" w:hAnsi="Times New Roman"/>
          <w14:ligatures w14:val="standardContextual"/>
        </w:rPr>
        <w:t>:</w:t>
      </w:r>
    </w:p>
    <w:p w14:paraId="233ADB13" w14:textId="7AB1D708"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xml:space="preserve">Since </w:t>
      </w:r>
      <w:proofErr w:type="spellStart"/>
      <w:r w:rsidRPr="00ED0BCE">
        <w:rPr>
          <w:rFonts w:ascii="Times New Roman" w:eastAsiaTheme="minorEastAsia" w:hAnsi="Times New Roman"/>
          <w14:ligatures w14:val="standardContextual"/>
        </w:rPr>
        <w:t>Vandervell</w:t>
      </w:r>
      <w:proofErr w:type="spellEnd"/>
      <w:r w:rsidRPr="00ED0BCE">
        <w:rPr>
          <w:rFonts w:ascii="Times New Roman" w:eastAsiaTheme="minorEastAsia" w:hAnsi="Times New Roman"/>
          <w14:ligatures w14:val="standardContextual"/>
        </w:rPr>
        <w:t xml:space="preserve"> failed to declare a trust or gift the beneficial interest in the option outright, the interest returned to him by operation of law.</w:t>
      </w:r>
    </w:p>
    <w:p w14:paraId="708E455F" w14:textId="271672B2"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Lord Wilberforce</w:t>
      </w:r>
      <w:r w:rsidRPr="00ED0BCE">
        <w:rPr>
          <w:rFonts w:ascii="Times New Roman" w:eastAsiaTheme="minorEastAsia" w:hAnsi="Times New Roman"/>
          <w14:ligatures w14:val="standardContextual"/>
        </w:rPr>
        <w:t>:</w:t>
      </w:r>
    </w:p>
    <w:p w14:paraId="108C8AB4" w14:textId="5D2AF6B7"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Emphasized that beneficial interest cannot "float in the air." When no objects of the trust are defined, the interest automatically reverts to the settlor.</w:t>
      </w:r>
    </w:p>
    <w:p w14:paraId="61E23F81" w14:textId="65F55A0D"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Highlighted that this was not a matter of presumption but the inevitable legal consequence of failing to dispose of the interest.</w:t>
      </w:r>
    </w:p>
    <w:p w14:paraId="3FAB136D" w14:textId="77777777"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Lord Pearce</w:t>
      </w:r>
      <w:r w:rsidRPr="00ED0BCE">
        <w:rPr>
          <w:rFonts w:ascii="Times New Roman" w:eastAsiaTheme="minorEastAsia" w:hAnsi="Times New Roman"/>
          <w14:ligatures w14:val="standardContextual"/>
        </w:rPr>
        <w:t>:</w:t>
      </w:r>
    </w:p>
    <w:p w14:paraId="21151517" w14:textId="77777777"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xml:space="preserve">Agreed that the lack of clarity regarding the option’s purpose made it impossible for </w:t>
      </w:r>
      <w:proofErr w:type="spellStart"/>
      <w:r w:rsidRPr="00ED0BCE">
        <w:rPr>
          <w:rFonts w:ascii="Times New Roman" w:eastAsiaTheme="minorEastAsia" w:hAnsi="Times New Roman"/>
          <w14:ligatures w14:val="standardContextual"/>
        </w:rPr>
        <w:t>Vandervell</w:t>
      </w:r>
      <w:proofErr w:type="spellEnd"/>
      <w:r w:rsidRPr="00ED0BCE">
        <w:rPr>
          <w:rFonts w:ascii="Times New Roman" w:eastAsiaTheme="minorEastAsia" w:hAnsi="Times New Roman"/>
          <w14:ligatures w14:val="standardContextual"/>
        </w:rPr>
        <w:t xml:space="preserve"> to completely divest himself of the beneficial interest. This created a failed trust, not a presumed trust.</w:t>
      </w:r>
    </w:p>
    <w:p w14:paraId="40D6DAB0" w14:textId="77777777"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Lord Donovan</w:t>
      </w:r>
      <w:r w:rsidRPr="00ED0BCE">
        <w:rPr>
          <w:rFonts w:ascii="Times New Roman" w:eastAsiaTheme="minorEastAsia" w:hAnsi="Times New Roman"/>
          <w14:ligatures w14:val="standardContextual"/>
        </w:rPr>
        <w:t>:</w:t>
      </w:r>
    </w:p>
    <w:p w14:paraId="78108822" w14:textId="5447B27B" w:rsid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xml:space="preserve">Argued that </w:t>
      </w:r>
      <w:proofErr w:type="spellStart"/>
      <w:r w:rsidRPr="00ED0BCE">
        <w:rPr>
          <w:rFonts w:ascii="Times New Roman" w:eastAsiaTheme="minorEastAsia" w:hAnsi="Times New Roman"/>
          <w14:ligatures w14:val="standardContextual"/>
        </w:rPr>
        <w:t>Vandervell’s</w:t>
      </w:r>
      <w:proofErr w:type="spellEnd"/>
      <w:r w:rsidRPr="00ED0BCE">
        <w:rPr>
          <w:rFonts w:ascii="Times New Roman" w:eastAsiaTheme="minorEastAsia" w:hAnsi="Times New Roman"/>
          <w14:ligatures w14:val="standardContextual"/>
        </w:rPr>
        <w:t xml:space="preserve"> control over the trust company and lack of defined trust objects led to the inevitable conclusion that he retained beneficial interest.</w:t>
      </w:r>
    </w:p>
    <w:p w14:paraId="2D438B7F" w14:textId="77777777" w:rsidR="00ED0BCE" w:rsidRP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lastRenderedPageBreak/>
        <w:t>Why Was This Not a Resulting Trust?</w:t>
      </w:r>
    </w:p>
    <w:p w14:paraId="134B4674" w14:textId="3B04062D"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Lack of Evidentiary Gap</w:t>
      </w:r>
      <w:r w:rsidRPr="00ED0BCE">
        <w:rPr>
          <w:rFonts w:ascii="Times New Roman" w:eastAsiaTheme="minorEastAsia" w:hAnsi="Times New Roman"/>
          <w14:ligatures w14:val="standardContextual"/>
        </w:rPr>
        <w:t>:</w:t>
      </w:r>
    </w:p>
    <w:p w14:paraId="49DA9646" w14:textId="77777777"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The facts of the case were clear and did not require reliance on a presumption of intention. Resulting trusts arising from presumed intention are triggered by evidentiary ambiguities, which were absent here.</w:t>
      </w:r>
    </w:p>
    <w:p w14:paraId="61C3D5DE" w14:textId="77777777"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Failed Trust Mechanism</w:t>
      </w:r>
      <w:r w:rsidRPr="00ED0BCE">
        <w:rPr>
          <w:rFonts w:ascii="Times New Roman" w:eastAsiaTheme="minorEastAsia" w:hAnsi="Times New Roman"/>
          <w14:ligatures w14:val="standardContextual"/>
        </w:rPr>
        <w:t>:</w:t>
      </w:r>
    </w:p>
    <w:p w14:paraId="30F088B4" w14:textId="77777777"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xml:space="preserve">The failure to define objects for the trust caused the beneficial interest to revert to </w:t>
      </w:r>
      <w:proofErr w:type="spellStart"/>
      <w:r w:rsidRPr="00ED0BCE">
        <w:rPr>
          <w:rFonts w:ascii="Times New Roman" w:eastAsiaTheme="minorEastAsia" w:hAnsi="Times New Roman"/>
          <w14:ligatures w14:val="standardContextual"/>
        </w:rPr>
        <w:t>Vandervell</w:t>
      </w:r>
      <w:proofErr w:type="spellEnd"/>
      <w:r w:rsidRPr="00ED0BCE">
        <w:rPr>
          <w:rFonts w:ascii="Times New Roman" w:eastAsiaTheme="minorEastAsia" w:hAnsi="Times New Roman"/>
          <w14:ligatures w14:val="standardContextual"/>
        </w:rPr>
        <w:t xml:space="preserve"> automatically. This was an </w:t>
      </w:r>
      <w:r w:rsidRPr="00ED0BCE">
        <w:rPr>
          <w:rFonts w:ascii="Times New Roman" w:eastAsiaTheme="minorEastAsia" w:hAnsi="Times New Roman"/>
          <w:b/>
          <w:bCs/>
          <w14:ligatures w14:val="standardContextual"/>
        </w:rPr>
        <w:t>automatic resulting trust</w:t>
      </w:r>
      <w:r w:rsidRPr="00ED0BCE">
        <w:rPr>
          <w:rFonts w:ascii="Times New Roman" w:eastAsiaTheme="minorEastAsia" w:hAnsi="Times New Roman"/>
          <w14:ligatures w14:val="standardContextual"/>
        </w:rPr>
        <w:t>, which operates independently of any presumed intention.</w:t>
      </w:r>
    </w:p>
    <w:p w14:paraId="16B9402E" w14:textId="77777777"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Purpose of the Option</w:t>
      </w:r>
      <w:r w:rsidRPr="00ED0BCE">
        <w:rPr>
          <w:rFonts w:ascii="Times New Roman" w:eastAsiaTheme="minorEastAsia" w:hAnsi="Times New Roman"/>
          <w14:ligatures w14:val="standardContextual"/>
        </w:rPr>
        <w:t>:</w:t>
      </w:r>
    </w:p>
    <w:p w14:paraId="5BDFCF92" w14:textId="77777777"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The option was granted for potential future use but without a specific trust structure. This failure to define the disposition of the interest led to equity stepping in to prevent a "floating" beneficial interest.</w:t>
      </w:r>
    </w:p>
    <w:p w14:paraId="723A416D" w14:textId="77777777" w:rsidR="00ED0BCE" w:rsidRP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p>
    <w:p w14:paraId="6D5F2922" w14:textId="7B727D35" w:rsidR="00ED0BCE" w:rsidRP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Key Legal Principles from the Case</w:t>
      </w:r>
    </w:p>
    <w:p w14:paraId="76B9ED37" w14:textId="77777777"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Automatic vs. Presumed Resulting Trusts</w:t>
      </w:r>
      <w:r w:rsidRPr="00ED0BCE">
        <w:rPr>
          <w:rFonts w:ascii="Times New Roman" w:eastAsiaTheme="minorEastAsia" w:hAnsi="Times New Roman"/>
          <w14:ligatures w14:val="standardContextual"/>
        </w:rPr>
        <w:t>:</w:t>
      </w:r>
    </w:p>
    <w:p w14:paraId="00DDAC35" w14:textId="7596B23C"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Automatic resulting trusts arise by operation of law when there is a failure to dispose of the beneficial interest.</w:t>
      </w:r>
    </w:p>
    <w:p w14:paraId="690D2B25" w14:textId="6E54536E"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Presumed resulting trusts arise when evidentiary gaps exist regarding the transferor’s intent.</w:t>
      </w:r>
    </w:p>
    <w:p w14:paraId="393D1CEF" w14:textId="77777777"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Equity’s Rule Against Floating Beneficial Interests</w:t>
      </w:r>
      <w:r w:rsidRPr="00ED0BCE">
        <w:rPr>
          <w:rFonts w:ascii="Times New Roman" w:eastAsiaTheme="minorEastAsia" w:hAnsi="Times New Roman"/>
          <w14:ligatures w14:val="standardContextual"/>
        </w:rPr>
        <w:t>:</w:t>
      </w:r>
    </w:p>
    <w:p w14:paraId="788BC547" w14:textId="77777777"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Beneficial interests must always vest in someone. If a settlor fails to define objects or beneficiaries, equity returns the interest to the settlor.</w:t>
      </w:r>
    </w:p>
    <w:p w14:paraId="251C276F" w14:textId="77777777"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Limits of the Presumption of Resulting Trust</w:t>
      </w:r>
      <w:r w:rsidRPr="00ED0BCE">
        <w:rPr>
          <w:rFonts w:ascii="Times New Roman" w:eastAsiaTheme="minorEastAsia" w:hAnsi="Times New Roman"/>
          <w14:ligatures w14:val="standardContextual"/>
        </w:rPr>
        <w:t>:</w:t>
      </w:r>
    </w:p>
    <w:p w14:paraId="4421A3B7" w14:textId="77777777"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lastRenderedPageBreak/>
        <w:t>The presumption does not apply when the transferor’s intentions are clear, even if those intentions fail to dispose of the beneficial interest effectively.</w:t>
      </w:r>
    </w:p>
    <w:p w14:paraId="001B9895" w14:textId="77777777" w:rsidR="00ED0BCE" w:rsidRP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p>
    <w:p w14:paraId="6659C7E1" w14:textId="5F98B318" w:rsidR="00ED0BCE" w:rsidRP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Impact and Legacy</w:t>
      </w:r>
    </w:p>
    <w:p w14:paraId="1D55E618" w14:textId="77777777"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Clarification of Automatic Resulting Trusts</w:t>
      </w:r>
      <w:r w:rsidRPr="00ED0BCE">
        <w:rPr>
          <w:rFonts w:ascii="Times New Roman" w:eastAsiaTheme="minorEastAsia" w:hAnsi="Times New Roman"/>
          <w14:ligatures w14:val="standardContextual"/>
        </w:rPr>
        <w:t>:</w:t>
      </w:r>
    </w:p>
    <w:p w14:paraId="0368FB04" w14:textId="77777777"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proofErr w:type="spellStart"/>
      <w:r w:rsidRPr="00ED0BCE">
        <w:rPr>
          <w:rFonts w:ascii="Times New Roman" w:eastAsiaTheme="minorEastAsia" w:hAnsi="Times New Roman"/>
          <w14:ligatures w14:val="standardContextual"/>
        </w:rPr>
        <w:t>Vandervell</w:t>
      </w:r>
      <w:proofErr w:type="spellEnd"/>
      <w:r w:rsidRPr="00ED0BCE">
        <w:rPr>
          <w:rFonts w:ascii="Times New Roman" w:eastAsiaTheme="minorEastAsia" w:hAnsi="Times New Roman"/>
          <w14:ligatures w14:val="standardContextual"/>
        </w:rPr>
        <w:t xml:space="preserve"> v IRC clarified that failed trust resulting trusts are not based on intention but arise automatically to fill gaps left by incomplete dispositions.</w:t>
      </w:r>
    </w:p>
    <w:p w14:paraId="6D728930" w14:textId="77777777"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Separation of Presumptions from Automatic Trusts</w:t>
      </w:r>
      <w:r w:rsidRPr="00ED0BCE">
        <w:rPr>
          <w:rFonts w:ascii="Times New Roman" w:eastAsiaTheme="minorEastAsia" w:hAnsi="Times New Roman"/>
          <w14:ligatures w14:val="standardContextual"/>
        </w:rPr>
        <w:t>:</w:t>
      </w:r>
    </w:p>
    <w:p w14:paraId="5E05F43E" w14:textId="77777777"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The decision distinguished cases requiring evidentiary presumptions from those governed by legal necessity.</w:t>
      </w:r>
    </w:p>
    <w:p w14:paraId="2577C777" w14:textId="77777777" w:rsidR="00ED0BCE"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Tax Implications</w:t>
      </w:r>
      <w:r w:rsidRPr="00ED0BCE">
        <w:rPr>
          <w:rFonts w:ascii="Times New Roman" w:eastAsiaTheme="minorEastAsia" w:hAnsi="Times New Roman"/>
          <w14:ligatures w14:val="standardContextual"/>
        </w:rPr>
        <w:t>:</w:t>
      </w:r>
    </w:p>
    <w:p w14:paraId="7F2BEB01" w14:textId="77777777"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Highlighted the risks of failing to properly divest beneficial interests in tax-efficient schemes.</w:t>
      </w:r>
    </w:p>
    <w:p w14:paraId="0BDF947D" w14:textId="77777777"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p>
    <w:p w14:paraId="47514113" w14:textId="3B95D45D" w:rsidR="00F64998"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 xml:space="preserve">3. </w:t>
      </w:r>
      <w:r w:rsidR="00F64998" w:rsidRPr="00ED0BCE">
        <w:rPr>
          <w:rFonts w:ascii="Times New Roman" w:eastAsiaTheme="minorEastAsia" w:hAnsi="Times New Roman"/>
          <w:b/>
          <w:bCs/>
          <w14:ligatures w14:val="standardContextual"/>
        </w:rPr>
        <w:t>A Presumption of "Non-Beneficial Transfer"?</w:t>
      </w:r>
    </w:p>
    <w:p w14:paraId="58993638" w14:textId="7C71F1CB" w:rsidR="00B81AD2" w:rsidRPr="00B81AD2" w:rsidRDefault="00B81AD2" w:rsidP="00ED0BCE">
      <w:pPr>
        <w:autoSpaceDE w:val="0"/>
        <w:autoSpaceDN w:val="0"/>
        <w:adjustRightInd w:val="0"/>
        <w:spacing w:before="240"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Meaning: </w:t>
      </w:r>
      <w:r w:rsidRPr="00B81AD2">
        <w:rPr>
          <w:rFonts w:ascii="Times New Roman" w:eastAsiaTheme="minorEastAsia" w:hAnsi="Times New Roman"/>
          <w14:ligatures w14:val="standardContextual"/>
        </w:rPr>
        <w:t>The presumption of non-beneficial transfer, also known as Birks's resulting trust presumption, is a legal theory that assumes a transfer was not intended to benefit the recipient. This presumption can only be rebutted with evidence to the contrary.</w:t>
      </w:r>
    </w:p>
    <w:p w14:paraId="133A50CB" w14:textId="77777777" w:rsidR="00F64998" w:rsidRPr="00ED0BCE" w:rsidRDefault="00F64998"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Birks and Chambers’ Argument</w:t>
      </w:r>
    </w:p>
    <w:p w14:paraId="3F3A3BE3" w14:textId="77777777" w:rsidR="00F64998" w:rsidRPr="00ED0BCE" w:rsidRDefault="00F64998" w:rsidP="00ED0BCE">
      <w:pPr>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xml:space="preserve">Birks and Chambers posit that equity presumes gratuitous transfers are </w:t>
      </w:r>
      <w:r w:rsidRPr="00ED0BCE">
        <w:rPr>
          <w:rFonts w:ascii="Times New Roman" w:eastAsiaTheme="minorEastAsia" w:hAnsi="Times New Roman"/>
          <w:b/>
          <w:bCs/>
          <w14:ligatures w14:val="standardContextual"/>
        </w:rPr>
        <w:t>non-beneficial</w:t>
      </w:r>
      <w:r w:rsidRPr="00ED0BCE">
        <w:rPr>
          <w:rFonts w:ascii="Times New Roman" w:eastAsiaTheme="minorEastAsia" w:hAnsi="Times New Roman"/>
          <w14:ligatures w14:val="standardContextual"/>
        </w:rPr>
        <w:t>, meaning the transferor did not intend to gift the property outright. This presumption forms the basis of the resulting trust.</w:t>
      </w:r>
    </w:p>
    <w:p w14:paraId="38183986" w14:textId="5DADE493" w:rsidR="00F64998"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 xml:space="preserve">1. </w:t>
      </w:r>
      <w:r w:rsidR="00F64998" w:rsidRPr="00ED0BCE">
        <w:rPr>
          <w:rFonts w:ascii="Times New Roman" w:eastAsiaTheme="minorEastAsia" w:hAnsi="Times New Roman"/>
          <w:b/>
          <w:bCs/>
          <w14:ligatures w14:val="standardContextual"/>
        </w:rPr>
        <w:t>Key Propositions</w:t>
      </w:r>
      <w:r w:rsidR="00F64998" w:rsidRPr="00ED0BCE">
        <w:rPr>
          <w:rFonts w:ascii="Times New Roman" w:eastAsiaTheme="minorEastAsia" w:hAnsi="Times New Roman"/>
          <w14:ligatures w14:val="standardContextual"/>
        </w:rPr>
        <w:t>:</w:t>
      </w:r>
    </w:p>
    <w:p w14:paraId="14639D27" w14:textId="09DA1182" w:rsidR="00F64998"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lastRenderedPageBreak/>
        <w:t xml:space="preserve">1. </w:t>
      </w:r>
      <w:r w:rsidR="00F64998" w:rsidRPr="00ED0BCE">
        <w:rPr>
          <w:rFonts w:ascii="Times New Roman" w:eastAsiaTheme="minorEastAsia" w:hAnsi="Times New Roman"/>
          <w14:ligatures w14:val="standardContextual"/>
        </w:rPr>
        <w:t>Gratuitous transfers are treated as "apparent gifts."</w:t>
      </w:r>
    </w:p>
    <w:p w14:paraId="4C90A1FB" w14:textId="32B6824E" w:rsidR="00F64998"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xml:space="preserve">2. </w:t>
      </w:r>
      <w:r w:rsidR="00F64998" w:rsidRPr="00ED0BCE">
        <w:rPr>
          <w:rFonts w:ascii="Times New Roman" w:eastAsiaTheme="minorEastAsia" w:hAnsi="Times New Roman"/>
          <w14:ligatures w14:val="standardContextual"/>
        </w:rPr>
        <w:t>Equity is "suspicious" of such gifts and presumes they are not gifts.</w:t>
      </w:r>
    </w:p>
    <w:p w14:paraId="5ED940CC" w14:textId="5BB20030" w:rsidR="00ED0BCE" w:rsidRPr="00ED0BCE" w:rsidRDefault="00ED0BCE" w:rsidP="00ED0BCE">
      <w:pPr>
        <w:tabs>
          <w:tab w:val="left" w:pos="940"/>
          <w:tab w:val="left" w:pos="1440"/>
        </w:tabs>
        <w:autoSpaceDE w:val="0"/>
        <w:autoSpaceDN w:val="0"/>
        <w:adjustRightInd w:val="0"/>
        <w:spacing w:before="240" w:after="240" w:line="360" w:lineRule="auto"/>
        <w:rPr>
          <w:rFonts w:ascii="Times New Roman" w:hAnsi="Times New Roman"/>
        </w:rPr>
      </w:pPr>
      <w:r w:rsidRPr="00ED0BCE">
        <w:rPr>
          <w:rFonts w:ascii="Times New Roman" w:eastAsiaTheme="minorEastAsia" w:hAnsi="Times New Roman"/>
          <w14:ligatures w14:val="standardContextual"/>
        </w:rPr>
        <w:sym w:font="Wingdings" w:char="F0E0"/>
      </w:r>
      <w:r w:rsidRPr="00ED0BCE">
        <w:rPr>
          <w:rFonts w:ascii="Times New Roman" w:eastAsiaTheme="minorEastAsia" w:hAnsi="Times New Roman"/>
          <w14:ligatures w14:val="standardContextual"/>
        </w:rPr>
        <w:t xml:space="preserve"> </w:t>
      </w:r>
      <w:r w:rsidRPr="00ED0BCE">
        <w:rPr>
          <w:rFonts w:ascii="Times New Roman" w:hAnsi="Times New Roman"/>
        </w:rPr>
        <w:t>For gratuitous transfers, equity presumes the transferee holds the property on trust for the transferor unless there is clear evidence of an intention to gift.</w:t>
      </w:r>
    </w:p>
    <w:p w14:paraId="5DADB60C" w14:textId="77777777" w:rsidR="00ED0BCE" w:rsidRPr="00ED0BCE" w:rsidRDefault="00ED0BCE" w:rsidP="00ED0BCE">
      <w:pPr>
        <w:pStyle w:val="NormalWeb"/>
        <w:spacing w:before="240" w:beforeAutospacing="0" w:after="240" w:afterAutospacing="0" w:line="360" w:lineRule="auto"/>
      </w:pPr>
      <w:r w:rsidRPr="00ED0BCE">
        <w:sym w:font="Wingdings" w:char="F0E0"/>
      </w:r>
      <w:r w:rsidRPr="00ED0BCE">
        <w:t xml:space="preserve"> </w:t>
      </w:r>
      <w:proofErr w:type="spellStart"/>
      <w:r w:rsidRPr="00ED0BCE">
        <w:rPr>
          <w:b/>
          <w:bCs/>
        </w:rPr>
        <w:t>Fowkes</w:t>
      </w:r>
      <w:proofErr w:type="spellEnd"/>
      <w:r w:rsidRPr="00ED0BCE">
        <w:rPr>
          <w:b/>
          <w:bCs/>
        </w:rPr>
        <w:t xml:space="preserve"> v Pascoe (1875)</w:t>
      </w:r>
      <w:r w:rsidRPr="00ED0BCE">
        <w:t>:</w:t>
      </w:r>
    </w:p>
    <w:p w14:paraId="6C2DC518" w14:textId="77777777" w:rsidR="00ED0BCE" w:rsidRPr="00ED0BCE" w:rsidRDefault="00ED0BCE" w:rsidP="00ED0BCE">
      <w:pPr>
        <w:spacing w:before="240" w:after="240" w:line="360" w:lineRule="auto"/>
        <w:rPr>
          <w:rFonts w:ascii="Times New Roman" w:hAnsi="Times New Roman"/>
          <w:lang w:val="en-HK"/>
        </w:rPr>
      </w:pPr>
      <w:r w:rsidRPr="00ED0BCE">
        <w:rPr>
          <w:rFonts w:ascii="Times New Roman" w:hAnsi="Times New Roman"/>
          <w:b/>
          <w:bCs/>
          <w:lang w:val="en-HK"/>
        </w:rPr>
        <w:t>Facts</w:t>
      </w:r>
      <w:r w:rsidRPr="00ED0BCE">
        <w:rPr>
          <w:rFonts w:ascii="Times New Roman" w:hAnsi="Times New Roman"/>
          <w:lang w:val="en-HK"/>
        </w:rPr>
        <w:t>: A grandmother transferred funds into a joint account with her grandson.</w:t>
      </w:r>
    </w:p>
    <w:p w14:paraId="32EF28A6" w14:textId="77777777" w:rsidR="00ED0BCE" w:rsidRPr="00ED0BCE" w:rsidRDefault="00ED0BCE" w:rsidP="00ED0BCE">
      <w:pPr>
        <w:spacing w:before="240" w:after="240" w:line="360" w:lineRule="auto"/>
        <w:rPr>
          <w:rFonts w:ascii="Times New Roman" w:hAnsi="Times New Roman"/>
          <w:lang w:val="en-HK"/>
        </w:rPr>
      </w:pPr>
      <w:r w:rsidRPr="00ED0BCE">
        <w:rPr>
          <w:rFonts w:ascii="Times New Roman" w:hAnsi="Times New Roman"/>
          <w:b/>
          <w:bCs/>
          <w:lang w:val="en-HK"/>
        </w:rPr>
        <w:t>Held</w:t>
      </w:r>
      <w:r w:rsidRPr="00ED0BCE">
        <w:rPr>
          <w:rFonts w:ascii="Times New Roman" w:hAnsi="Times New Roman"/>
          <w:lang w:val="en-HK"/>
        </w:rPr>
        <w:t>: The presumption of resulting trust was rebutted by evidence that the grandmother intended the transfer as a gift.</w:t>
      </w:r>
    </w:p>
    <w:p w14:paraId="74A573B6" w14:textId="3E405B07" w:rsidR="00ED0BCE" w:rsidRPr="00ED0BCE" w:rsidRDefault="00ED0BCE" w:rsidP="00ED0BCE">
      <w:pPr>
        <w:spacing w:before="240" w:after="240" w:line="360" w:lineRule="auto"/>
        <w:rPr>
          <w:rFonts w:ascii="Times New Roman" w:hAnsi="Times New Roman"/>
          <w:lang w:val="en-HK"/>
        </w:rPr>
      </w:pPr>
      <w:r w:rsidRPr="00ED0BCE">
        <w:rPr>
          <w:rFonts w:ascii="Times New Roman" w:hAnsi="Times New Roman"/>
          <w:b/>
          <w:bCs/>
          <w:lang w:val="en-HK"/>
        </w:rPr>
        <w:t>Reasoning</w:t>
      </w:r>
      <w:r w:rsidRPr="00ED0BCE">
        <w:rPr>
          <w:rFonts w:ascii="Times New Roman" w:hAnsi="Times New Roman"/>
          <w:lang w:val="en-HK"/>
        </w:rPr>
        <w:t>: Equity prioritizes evidence of intent over its general suspicion of gifts.</w:t>
      </w:r>
    </w:p>
    <w:p w14:paraId="63A2F897" w14:textId="7C38CD47" w:rsidR="00F64998"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xml:space="preserve">3. </w:t>
      </w:r>
      <w:r w:rsidR="00F64998" w:rsidRPr="00ED0BCE">
        <w:rPr>
          <w:rFonts w:ascii="Times New Roman" w:eastAsiaTheme="minorEastAsia" w:hAnsi="Times New Roman"/>
          <w14:ligatures w14:val="standardContextual"/>
        </w:rPr>
        <w:t>This "non-beneficial transfer" triggers a resulting trust in favo</w:t>
      </w:r>
      <w:r w:rsidRPr="00ED0BCE">
        <w:rPr>
          <w:rFonts w:ascii="Times New Roman" w:eastAsiaTheme="minorEastAsia" w:hAnsi="Times New Roman"/>
          <w14:ligatures w14:val="standardContextual"/>
        </w:rPr>
        <w:t>u</w:t>
      </w:r>
      <w:r w:rsidR="00F64998" w:rsidRPr="00ED0BCE">
        <w:rPr>
          <w:rFonts w:ascii="Times New Roman" w:eastAsiaTheme="minorEastAsia" w:hAnsi="Times New Roman"/>
          <w14:ligatures w14:val="standardContextual"/>
        </w:rPr>
        <w:t>r of the transferor.</w:t>
      </w:r>
    </w:p>
    <w:p w14:paraId="7E27B3F6" w14:textId="2ABC5929" w:rsidR="00F64998"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 xml:space="preserve">2. </w:t>
      </w:r>
      <w:r w:rsidR="00F64998" w:rsidRPr="00ED0BCE">
        <w:rPr>
          <w:rFonts w:ascii="Times New Roman" w:eastAsiaTheme="minorEastAsia" w:hAnsi="Times New Roman"/>
          <w:b/>
          <w:bCs/>
          <w14:ligatures w14:val="standardContextual"/>
        </w:rPr>
        <w:t>Critique of Birks and Chambers</w:t>
      </w:r>
      <w:r w:rsidR="00F64998" w:rsidRPr="00ED0BCE">
        <w:rPr>
          <w:rFonts w:ascii="Times New Roman" w:eastAsiaTheme="minorEastAsia" w:hAnsi="Times New Roman"/>
          <w14:ligatures w14:val="standardContextual"/>
        </w:rPr>
        <w:t>:</w:t>
      </w:r>
    </w:p>
    <w:p w14:paraId="542FCEEA" w14:textId="21F1B3B8" w:rsidR="00F64998"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xml:space="preserve">1. </w:t>
      </w:r>
      <w:r w:rsidR="00F64998" w:rsidRPr="00ED0BCE">
        <w:rPr>
          <w:rFonts w:ascii="Times New Roman" w:eastAsiaTheme="minorEastAsia" w:hAnsi="Times New Roman"/>
          <w14:ligatures w14:val="standardContextual"/>
        </w:rPr>
        <w:t>The term "apparent gift" is ambiguous and not synonymous with "presumed trust."</w:t>
      </w:r>
    </w:p>
    <w:p w14:paraId="4921CC16" w14:textId="501526ED" w:rsidR="00F64998"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xml:space="preserve">2. </w:t>
      </w:r>
      <w:r w:rsidR="00F64998" w:rsidRPr="00ED0BCE">
        <w:rPr>
          <w:rFonts w:ascii="Times New Roman" w:eastAsiaTheme="minorEastAsia" w:hAnsi="Times New Roman"/>
          <w14:ligatures w14:val="standardContextual"/>
        </w:rPr>
        <w:t>Equity’s suspicion of gifts is not uniform (e.g., advancement relationships or post-mortem gifts are exceptions).</w:t>
      </w:r>
    </w:p>
    <w:p w14:paraId="309F431B" w14:textId="4B0E8C8E" w:rsidR="00F64998"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xml:space="preserve">3. </w:t>
      </w:r>
      <w:r w:rsidR="00F64998" w:rsidRPr="00ED0BCE">
        <w:rPr>
          <w:rFonts w:ascii="Times New Roman" w:eastAsiaTheme="minorEastAsia" w:hAnsi="Times New Roman"/>
          <w14:ligatures w14:val="standardContextual"/>
        </w:rPr>
        <w:t>Presumptions are evidentiary, not factual conclusions, making it incorrect to equate them with suspicion.</w:t>
      </w:r>
    </w:p>
    <w:p w14:paraId="68DE37DA" w14:textId="7367A8F6" w:rsidR="00F64998" w:rsidRP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 xml:space="preserve">3. </w:t>
      </w:r>
      <w:r w:rsidR="00F64998" w:rsidRPr="00ED0BCE">
        <w:rPr>
          <w:rFonts w:ascii="Times New Roman" w:eastAsiaTheme="minorEastAsia" w:hAnsi="Times New Roman"/>
          <w:b/>
          <w:bCs/>
          <w14:ligatures w14:val="standardContextual"/>
        </w:rPr>
        <w:t>Chambers on Failed Trusts:</w:t>
      </w:r>
    </w:p>
    <w:p w14:paraId="30118641" w14:textId="77777777" w:rsidR="00F64998" w:rsidRPr="00ED0BCE" w:rsidRDefault="00F64998"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Chambers extends the presumption to failed trusts, arguing that "non-beneficial transfers" correspond with unjust enrichment scenarios.</w:t>
      </w:r>
    </w:p>
    <w:p w14:paraId="2B584035" w14:textId="77777777" w:rsidR="00F64998" w:rsidRPr="00ED0BCE" w:rsidRDefault="00F64998"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Critique</w:t>
      </w:r>
      <w:r w:rsidRPr="00ED0BCE">
        <w:rPr>
          <w:rFonts w:ascii="Times New Roman" w:eastAsiaTheme="minorEastAsia" w:hAnsi="Times New Roman"/>
          <w14:ligatures w14:val="standardContextual"/>
        </w:rPr>
        <w:t>: This reasoning conflates legal inferences (trust creation) with evidentiary facts (intent).</w:t>
      </w:r>
    </w:p>
    <w:p w14:paraId="183EA8A4" w14:textId="77777777" w:rsidR="00ED0BCE" w:rsidRPr="00ED0BCE" w:rsidRDefault="00ED0BCE" w:rsidP="00ED0BCE">
      <w:pPr>
        <w:autoSpaceDE w:val="0"/>
        <w:autoSpaceDN w:val="0"/>
        <w:adjustRightInd w:val="0"/>
        <w:spacing w:before="240" w:after="240" w:line="360" w:lineRule="auto"/>
        <w:rPr>
          <w:rFonts w:ascii="Times New Roman" w:eastAsiaTheme="minorEastAsia" w:hAnsi="Times New Roman"/>
          <w14:ligatures w14:val="standardContextual"/>
        </w:rPr>
      </w:pPr>
    </w:p>
    <w:p w14:paraId="77B4C49A" w14:textId="7B737AE5" w:rsidR="00F64998" w:rsidRPr="00ED0BCE" w:rsidRDefault="00ED0BCE" w:rsidP="00ED0BCE">
      <w:pPr>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4.</w:t>
      </w:r>
      <w:r w:rsidRPr="00ED0BCE">
        <w:rPr>
          <w:rFonts w:ascii="Times New Roman" w:eastAsiaTheme="minorEastAsia" w:hAnsi="Times New Roman"/>
          <w14:ligatures w14:val="standardContextual"/>
        </w:rPr>
        <w:t xml:space="preserve"> </w:t>
      </w:r>
      <w:r w:rsidR="00F64998" w:rsidRPr="00ED0BCE">
        <w:rPr>
          <w:rFonts w:ascii="Times New Roman" w:eastAsiaTheme="minorEastAsia" w:hAnsi="Times New Roman"/>
          <w:b/>
          <w:bCs/>
          <w14:ligatures w14:val="standardContextual"/>
        </w:rPr>
        <w:t>Types of Presumed Trusts</w:t>
      </w:r>
    </w:p>
    <w:p w14:paraId="6CE748BF" w14:textId="7C70ACA7" w:rsidR="00F64998"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lastRenderedPageBreak/>
        <w:t xml:space="preserve">1. </w:t>
      </w:r>
      <w:r w:rsidR="00F64998" w:rsidRPr="00ED0BCE">
        <w:rPr>
          <w:rFonts w:ascii="Times New Roman" w:eastAsiaTheme="minorEastAsia" w:hAnsi="Times New Roman"/>
          <w:b/>
          <w:bCs/>
          <w14:ligatures w14:val="standardContextual"/>
        </w:rPr>
        <w:t>Presumed Resulting Trusts</w:t>
      </w:r>
      <w:r w:rsidR="00F64998" w:rsidRPr="00ED0BCE">
        <w:rPr>
          <w:rFonts w:ascii="Times New Roman" w:eastAsiaTheme="minorEastAsia" w:hAnsi="Times New Roman"/>
          <w14:ligatures w14:val="standardContextual"/>
        </w:rPr>
        <w:t>:</w:t>
      </w:r>
    </w:p>
    <w:p w14:paraId="7FDEAA83" w14:textId="77777777" w:rsidR="00F64998"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Triggered by ambiguous evidence of the transferor’s intent.</w:t>
      </w:r>
    </w:p>
    <w:p w14:paraId="1C406FC8" w14:textId="77777777" w:rsidR="00F64998"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Examples: Voluntary conveyance and purchase-money resulting trusts.</w:t>
      </w:r>
    </w:p>
    <w:p w14:paraId="6F0D1FCC" w14:textId="3E3EDAD4" w:rsidR="00F64998"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 xml:space="preserve">2. </w:t>
      </w:r>
      <w:r w:rsidR="00F64998" w:rsidRPr="00ED0BCE">
        <w:rPr>
          <w:rFonts w:ascii="Times New Roman" w:eastAsiaTheme="minorEastAsia" w:hAnsi="Times New Roman"/>
          <w:b/>
          <w:bCs/>
          <w14:ligatures w14:val="standardContextual"/>
        </w:rPr>
        <w:t>Automatic Resulting Trusts</w:t>
      </w:r>
      <w:r w:rsidR="00F64998" w:rsidRPr="00ED0BCE">
        <w:rPr>
          <w:rFonts w:ascii="Times New Roman" w:eastAsiaTheme="minorEastAsia" w:hAnsi="Times New Roman"/>
          <w14:ligatures w14:val="standardContextual"/>
        </w:rPr>
        <w:t>:</w:t>
      </w:r>
    </w:p>
    <w:p w14:paraId="6589D4A3" w14:textId="77777777" w:rsidR="00F64998"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Operate without presumption, arising from failed trusts or incomplete dispositions.</w:t>
      </w:r>
    </w:p>
    <w:p w14:paraId="73AF50E5" w14:textId="77777777" w:rsidR="00F64998"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xml:space="preserve">Example: </w:t>
      </w:r>
      <w:proofErr w:type="spellStart"/>
      <w:r w:rsidRPr="00ED0BCE">
        <w:rPr>
          <w:rFonts w:ascii="Times New Roman" w:eastAsiaTheme="minorEastAsia" w:hAnsi="Times New Roman"/>
          <w:i/>
          <w:iCs/>
          <w14:ligatures w14:val="standardContextual"/>
        </w:rPr>
        <w:t>Vandervell</w:t>
      </w:r>
      <w:proofErr w:type="spellEnd"/>
      <w:r w:rsidRPr="00ED0BCE">
        <w:rPr>
          <w:rFonts w:ascii="Times New Roman" w:eastAsiaTheme="minorEastAsia" w:hAnsi="Times New Roman"/>
          <w:i/>
          <w:iCs/>
          <w14:ligatures w14:val="standardContextual"/>
        </w:rPr>
        <w:t xml:space="preserve"> v IRC</w:t>
      </w:r>
      <w:r w:rsidRPr="00ED0BCE">
        <w:rPr>
          <w:rFonts w:ascii="Times New Roman" w:eastAsiaTheme="minorEastAsia" w:hAnsi="Times New Roman"/>
          <w14:ligatures w14:val="standardContextual"/>
        </w:rPr>
        <w:t>.</w:t>
      </w:r>
    </w:p>
    <w:p w14:paraId="27BF5FAC" w14:textId="2A45E412" w:rsidR="00F64998" w:rsidRPr="00ED0BCE" w:rsidRDefault="00ED0BCE"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 xml:space="preserve">3. </w:t>
      </w:r>
      <w:r w:rsidR="00F64998" w:rsidRPr="00ED0BCE">
        <w:rPr>
          <w:rFonts w:ascii="Times New Roman" w:eastAsiaTheme="minorEastAsia" w:hAnsi="Times New Roman"/>
          <w:b/>
          <w:bCs/>
          <w14:ligatures w14:val="standardContextual"/>
        </w:rPr>
        <w:t>Presumption of Advancement</w:t>
      </w:r>
      <w:r w:rsidR="00F64998" w:rsidRPr="00ED0BCE">
        <w:rPr>
          <w:rFonts w:ascii="Times New Roman" w:eastAsiaTheme="minorEastAsia" w:hAnsi="Times New Roman"/>
          <w14:ligatures w14:val="standardContextual"/>
        </w:rPr>
        <w:t>:</w:t>
      </w:r>
    </w:p>
    <w:p w14:paraId="73C61456" w14:textId="18B3DE3B" w:rsidR="00F64998"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Opposes the presumption of resulting trust, applicable in specific familial relationships (e.g.</w:t>
      </w:r>
      <w:r w:rsidR="00ED0BCE" w:rsidRPr="00ED0BCE">
        <w:rPr>
          <w:rFonts w:ascii="Times New Roman" w:eastAsiaTheme="minorEastAsia" w:hAnsi="Times New Roman"/>
          <w14:ligatures w14:val="standardContextual"/>
        </w:rPr>
        <w:t xml:space="preserve"> </w:t>
      </w:r>
      <w:r w:rsidRPr="00ED0BCE">
        <w:rPr>
          <w:rFonts w:ascii="Times New Roman" w:eastAsiaTheme="minorEastAsia" w:hAnsi="Times New Roman"/>
          <w14:ligatures w14:val="standardContextual"/>
        </w:rPr>
        <w:t>father to child).</w:t>
      </w:r>
    </w:p>
    <w:p w14:paraId="110712B1" w14:textId="77777777" w:rsidR="00F64998"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 xml:space="preserve">Example: </w:t>
      </w:r>
      <w:r w:rsidRPr="00ED0BCE">
        <w:rPr>
          <w:rFonts w:ascii="Times New Roman" w:eastAsiaTheme="minorEastAsia" w:hAnsi="Times New Roman"/>
          <w:i/>
          <w:iCs/>
          <w14:ligatures w14:val="standardContextual"/>
        </w:rPr>
        <w:t>Pettitt v Pettitt</w:t>
      </w:r>
      <w:r w:rsidRPr="00ED0BCE">
        <w:rPr>
          <w:rFonts w:ascii="Times New Roman" w:eastAsiaTheme="minorEastAsia" w:hAnsi="Times New Roman"/>
          <w14:ligatures w14:val="standardContextual"/>
        </w:rPr>
        <w:t>.</w:t>
      </w:r>
    </w:p>
    <w:p w14:paraId="5764D5E8" w14:textId="77777777" w:rsidR="00F64998" w:rsidRPr="00ED0BCE" w:rsidRDefault="00F64998" w:rsidP="00ED0BCE">
      <w:pPr>
        <w:autoSpaceDE w:val="0"/>
        <w:autoSpaceDN w:val="0"/>
        <w:adjustRightInd w:val="0"/>
        <w:spacing w:before="240" w:after="240" w:line="360" w:lineRule="auto"/>
        <w:rPr>
          <w:rFonts w:ascii="Times New Roman" w:eastAsiaTheme="minorEastAsia" w:hAnsi="Times New Roman"/>
          <w14:ligatures w14:val="standardContextual"/>
        </w:rPr>
      </w:pPr>
    </w:p>
    <w:p w14:paraId="526F1BAB" w14:textId="55C25CCC" w:rsidR="00F64998" w:rsidRPr="00ED0BCE" w:rsidRDefault="00ED0BCE"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 xml:space="preserve">5. </w:t>
      </w:r>
      <w:r w:rsidR="00F64998" w:rsidRPr="00ED0BCE">
        <w:rPr>
          <w:rFonts w:ascii="Times New Roman" w:eastAsiaTheme="minorEastAsia" w:hAnsi="Times New Roman"/>
          <w:b/>
          <w:bCs/>
          <w14:ligatures w14:val="standardContextual"/>
        </w:rPr>
        <w:t>Additional Cases and Statutes</w:t>
      </w:r>
    </w:p>
    <w:p w14:paraId="0B8548AA" w14:textId="77777777" w:rsidR="00F64998" w:rsidRPr="00ED0BCE" w:rsidRDefault="00F64998"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Cases</w:t>
      </w:r>
      <w:r w:rsidRPr="00ED0BCE">
        <w:rPr>
          <w:rFonts w:ascii="Times New Roman" w:eastAsiaTheme="minorEastAsia" w:hAnsi="Times New Roman"/>
          <w14:ligatures w14:val="standardContextual"/>
        </w:rPr>
        <w:t>:</w:t>
      </w:r>
    </w:p>
    <w:p w14:paraId="1341578F" w14:textId="2A196A5C" w:rsidR="00F64998"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1.</w:t>
      </w:r>
      <w:r w:rsidRPr="00ED0BCE">
        <w:rPr>
          <w:rFonts w:ascii="Times New Roman" w:eastAsiaTheme="minorEastAsia" w:hAnsi="Times New Roman"/>
          <w:i/>
          <w:iCs/>
          <w14:ligatures w14:val="standardContextual"/>
        </w:rPr>
        <w:t xml:space="preserve"> </w:t>
      </w:r>
      <w:r w:rsidR="00F64998" w:rsidRPr="00ED0BCE">
        <w:rPr>
          <w:rFonts w:ascii="Times New Roman" w:eastAsiaTheme="minorEastAsia" w:hAnsi="Times New Roman"/>
          <w:i/>
          <w:iCs/>
          <w14:ligatures w14:val="standardContextual"/>
        </w:rPr>
        <w:t>Dyer v Dyer (1788)</w:t>
      </w:r>
      <w:r w:rsidR="00F64998" w:rsidRPr="00ED0BCE">
        <w:rPr>
          <w:rFonts w:ascii="Times New Roman" w:eastAsiaTheme="minorEastAsia" w:hAnsi="Times New Roman"/>
          <w14:ligatures w14:val="standardContextual"/>
        </w:rPr>
        <w:t xml:space="preserve">: Established the principle that </w:t>
      </w:r>
      <w:r w:rsidR="00F64998" w:rsidRPr="00B81AD2">
        <w:rPr>
          <w:rFonts w:ascii="Times New Roman" w:eastAsiaTheme="minorEastAsia" w:hAnsi="Times New Roman"/>
          <w:u w:val="single"/>
          <w14:ligatures w14:val="standardContextual"/>
        </w:rPr>
        <w:t>purchase-money resulting trusts</w:t>
      </w:r>
      <w:r w:rsidR="00F64998" w:rsidRPr="00ED0BCE">
        <w:rPr>
          <w:rFonts w:ascii="Times New Roman" w:eastAsiaTheme="minorEastAsia" w:hAnsi="Times New Roman"/>
          <w14:ligatures w14:val="standardContextual"/>
        </w:rPr>
        <w:t xml:space="preserve"> arise from contributions to property acquisition.</w:t>
      </w:r>
    </w:p>
    <w:p w14:paraId="4CC8CC76" w14:textId="28A6EBDF" w:rsidR="00F64998"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2.</w:t>
      </w:r>
      <w:r w:rsidRPr="00ED0BCE">
        <w:rPr>
          <w:rFonts w:ascii="Times New Roman" w:eastAsiaTheme="minorEastAsia" w:hAnsi="Times New Roman"/>
          <w:i/>
          <w:iCs/>
          <w14:ligatures w14:val="standardContextual"/>
        </w:rPr>
        <w:t xml:space="preserve"> </w:t>
      </w:r>
      <w:proofErr w:type="spellStart"/>
      <w:r w:rsidR="00F64998" w:rsidRPr="00ED0BCE">
        <w:rPr>
          <w:rFonts w:ascii="Times New Roman" w:eastAsiaTheme="minorEastAsia" w:hAnsi="Times New Roman"/>
          <w:i/>
          <w:iCs/>
          <w14:ligatures w14:val="standardContextual"/>
        </w:rPr>
        <w:t>Fowkes</w:t>
      </w:r>
      <w:proofErr w:type="spellEnd"/>
      <w:r w:rsidR="00F64998" w:rsidRPr="00ED0BCE">
        <w:rPr>
          <w:rFonts w:ascii="Times New Roman" w:eastAsiaTheme="minorEastAsia" w:hAnsi="Times New Roman"/>
          <w:i/>
          <w:iCs/>
          <w14:ligatures w14:val="standardContextual"/>
        </w:rPr>
        <w:t xml:space="preserve"> v Pascoe (1875)</w:t>
      </w:r>
      <w:r w:rsidR="00F64998" w:rsidRPr="00ED0BCE">
        <w:rPr>
          <w:rFonts w:ascii="Times New Roman" w:eastAsiaTheme="minorEastAsia" w:hAnsi="Times New Roman"/>
          <w14:ligatures w14:val="standardContextual"/>
        </w:rPr>
        <w:t>: Rebutted a presumed trust by proving intent to gift.</w:t>
      </w:r>
    </w:p>
    <w:p w14:paraId="4E589798" w14:textId="293E47F2" w:rsidR="00F64998"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3.</w:t>
      </w:r>
      <w:r w:rsidRPr="00ED0BCE">
        <w:rPr>
          <w:rFonts w:ascii="Times New Roman" w:eastAsiaTheme="minorEastAsia" w:hAnsi="Times New Roman"/>
          <w:i/>
          <w:iCs/>
          <w14:ligatures w14:val="standardContextual"/>
        </w:rPr>
        <w:t xml:space="preserve"> </w:t>
      </w:r>
      <w:r w:rsidR="00F64998" w:rsidRPr="00ED0BCE">
        <w:rPr>
          <w:rFonts w:ascii="Times New Roman" w:eastAsiaTheme="minorEastAsia" w:hAnsi="Times New Roman"/>
          <w:i/>
          <w:iCs/>
          <w14:ligatures w14:val="standardContextual"/>
        </w:rPr>
        <w:t xml:space="preserve">Re </w:t>
      </w:r>
      <w:proofErr w:type="spellStart"/>
      <w:r w:rsidR="00F64998" w:rsidRPr="00ED0BCE">
        <w:rPr>
          <w:rFonts w:ascii="Times New Roman" w:eastAsiaTheme="minorEastAsia" w:hAnsi="Times New Roman"/>
          <w:i/>
          <w:iCs/>
          <w14:ligatures w14:val="standardContextual"/>
        </w:rPr>
        <w:t>Vandervell’s</w:t>
      </w:r>
      <w:proofErr w:type="spellEnd"/>
      <w:r w:rsidR="00F64998" w:rsidRPr="00ED0BCE">
        <w:rPr>
          <w:rFonts w:ascii="Times New Roman" w:eastAsiaTheme="minorEastAsia" w:hAnsi="Times New Roman"/>
          <w:i/>
          <w:iCs/>
          <w14:ligatures w14:val="standardContextual"/>
        </w:rPr>
        <w:t xml:space="preserve"> Trusts (No. 2) (1974)</w:t>
      </w:r>
      <w:r w:rsidR="00F64998" w:rsidRPr="00ED0BCE">
        <w:rPr>
          <w:rFonts w:ascii="Times New Roman" w:eastAsiaTheme="minorEastAsia" w:hAnsi="Times New Roman"/>
          <w14:ligatures w14:val="standardContextual"/>
        </w:rPr>
        <w:t>: Confirmed that automatic trusts arise due to undefined objects in a trust.</w:t>
      </w:r>
    </w:p>
    <w:p w14:paraId="37BC7C0F" w14:textId="77777777" w:rsidR="00F64998" w:rsidRPr="00ED0BCE" w:rsidRDefault="00F64998"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Statutes</w:t>
      </w:r>
      <w:r w:rsidRPr="00ED0BCE">
        <w:rPr>
          <w:rFonts w:ascii="Times New Roman" w:eastAsiaTheme="minorEastAsia" w:hAnsi="Times New Roman"/>
          <w14:ligatures w14:val="standardContextual"/>
        </w:rPr>
        <w:t>:</w:t>
      </w:r>
    </w:p>
    <w:p w14:paraId="54F01D1F" w14:textId="2A295AE4" w:rsidR="00F64998"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 xml:space="preserve">1. </w:t>
      </w:r>
      <w:r w:rsidR="00F64998" w:rsidRPr="00ED0BCE">
        <w:rPr>
          <w:rFonts w:ascii="Times New Roman" w:eastAsiaTheme="minorEastAsia" w:hAnsi="Times New Roman"/>
          <w:b/>
          <w:bCs/>
          <w14:ligatures w14:val="standardContextual"/>
        </w:rPr>
        <w:t>Income Tax Act 1952</w:t>
      </w:r>
      <w:r w:rsidR="00F64998" w:rsidRPr="00ED0BCE">
        <w:rPr>
          <w:rFonts w:ascii="Times New Roman" w:eastAsiaTheme="minorEastAsia" w:hAnsi="Times New Roman"/>
          <w14:ligatures w14:val="standardContextual"/>
        </w:rPr>
        <w:t xml:space="preserve">: Central to </w:t>
      </w:r>
      <w:proofErr w:type="spellStart"/>
      <w:r w:rsidR="00F64998" w:rsidRPr="00ED0BCE">
        <w:rPr>
          <w:rFonts w:ascii="Times New Roman" w:eastAsiaTheme="minorEastAsia" w:hAnsi="Times New Roman"/>
          <w:i/>
          <w:iCs/>
          <w14:ligatures w14:val="standardContextual"/>
        </w:rPr>
        <w:t>Vandervell</w:t>
      </w:r>
      <w:proofErr w:type="spellEnd"/>
      <w:r w:rsidR="00F64998" w:rsidRPr="00ED0BCE">
        <w:rPr>
          <w:rFonts w:ascii="Times New Roman" w:eastAsiaTheme="minorEastAsia" w:hAnsi="Times New Roman"/>
          <w:i/>
          <w:iCs/>
          <w14:ligatures w14:val="standardContextual"/>
        </w:rPr>
        <w:t xml:space="preserve"> v IRC</w:t>
      </w:r>
      <w:r w:rsidR="00F64998" w:rsidRPr="00ED0BCE">
        <w:rPr>
          <w:rFonts w:ascii="Times New Roman" w:eastAsiaTheme="minorEastAsia" w:hAnsi="Times New Roman"/>
          <w14:ligatures w14:val="standardContextual"/>
        </w:rPr>
        <w:t xml:space="preserve"> as it governed surtax liabilities for retained beneficial interests.</w:t>
      </w:r>
    </w:p>
    <w:p w14:paraId="1A9A07A7" w14:textId="727BE5BA" w:rsidR="00F64998" w:rsidRPr="00ED0BCE" w:rsidRDefault="00ED0BCE"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lastRenderedPageBreak/>
        <w:t xml:space="preserve">2. </w:t>
      </w:r>
      <w:r w:rsidR="00F64998" w:rsidRPr="00ED0BCE">
        <w:rPr>
          <w:rFonts w:ascii="Times New Roman" w:eastAsiaTheme="minorEastAsia" w:hAnsi="Times New Roman"/>
          <w:b/>
          <w:bCs/>
          <w14:ligatures w14:val="standardContextual"/>
        </w:rPr>
        <w:t>Wills Act 1540</w:t>
      </w:r>
      <w:r w:rsidR="00F64998" w:rsidRPr="00ED0BCE">
        <w:rPr>
          <w:rFonts w:ascii="Times New Roman" w:eastAsiaTheme="minorEastAsia" w:hAnsi="Times New Roman"/>
          <w14:ligatures w14:val="standardContextual"/>
        </w:rPr>
        <w:t>: Influenced the development of trust principles by allowing property disposition through wills.</w:t>
      </w:r>
    </w:p>
    <w:p w14:paraId="22245FE5" w14:textId="77777777" w:rsidR="00F64998" w:rsidRPr="00ED0BCE" w:rsidRDefault="00F64998" w:rsidP="00ED0BCE">
      <w:pPr>
        <w:autoSpaceDE w:val="0"/>
        <w:autoSpaceDN w:val="0"/>
        <w:adjustRightInd w:val="0"/>
        <w:spacing w:before="240" w:after="240" w:line="360" w:lineRule="auto"/>
        <w:rPr>
          <w:rFonts w:ascii="Times New Roman" w:eastAsiaTheme="minorEastAsia" w:hAnsi="Times New Roman"/>
          <w14:ligatures w14:val="standardContextual"/>
        </w:rPr>
      </w:pPr>
    </w:p>
    <w:p w14:paraId="687F9FF1" w14:textId="43854662" w:rsidR="00F64998" w:rsidRPr="00ED0BCE" w:rsidRDefault="00F64998" w:rsidP="00ED0BCE">
      <w:pPr>
        <w:autoSpaceDE w:val="0"/>
        <w:autoSpaceDN w:val="0"/>
        <w:adjustRightInd w:val="0"/>
        <w:spacing w:before="240" w:after="240" w:line="360" w:lineRule="auto"/>
        <w:rPr>
          <w:rFonts w:ascii="Times New Roman" w:eastAsiaTheme="minorEastAsia" w:hAnsi="Times New Roman"/>
          <w:b/>
          <w:bCs/>
          <w14:ligatures w14:val="standardContextual"/>
        </w:rPr>
      </w:pPr>
      <w:r w:rsidRPr="00ED0BCE">
        <w:rPr>
          <w:rFonts w:ascii="Times New Roman" w:eastAsiaTheme="minorEastAsia" w:hAnsi="Times New Roman"/>
          <w:b/>
          <w:bCs/>
          <w14:ligatures w14:val="standardContextual"/>
        </w:rPr>
        <w:t>Scholarly Perspectives</w:t>
      </w:r>
    </w:p>
    <w:p w14:paraId="0327D2E5" w14:textId="77777777" w:rsidR="00F64998" w:rsidRPr="00ED0BCE" w:rsidRDefault="00F64998"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Lord Browne-Wilkinson</w:t>
      </w:r>
      <w:r w:rsidRPr="00ED0BCE">
        <w:rPr>
          <w:rFonts w:ascii="Times New Roman" w:eastAsiaTheme="minorEastAsia" w:hAnsi="Times New Roman"/>
          <w14:ligatures w14:val="standardContextual"/>
        </w:rPr>
        <w:t>:</w:t>
      </w:r>
    </w:p>
    <w:p w14:paraId="29D255B6" w14:textId="77777777" w:rsidR="00F64998"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Differentiates resulting and constructive trusts. He supports the view that automatic resulting trusts do not depend on intent.</w:t>
      </w:r>
    </w:p>
    <w:p w14:paraId="052EFBA4" w14:textId="77777777" w:rsidR="00F64998" w:rsidRPr="00ED0BCE" w:rsidRDefault="00F64998"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 xml:space="preserve">William </w:t>
      </w:r>
      <w:proofErr w:type="spellStart"/>
      <w:r w:rsidRPr="00ED0BCE">
        <w:rPr>
          <w:rFonts w:ascii="Times New Roman" w:eastAsiaTheme="minorEastAsia" w:hAnsi="Times New Roman"/>
          <w:b/>
          <w:bCs/>
          <w14:ligatures w14:val="standardContextual"/>
        </w:rPr>
        <w:t>Swadling</w:t>
      </w:r>
      <w:proofErr w:type="spellEnd"/>
      <w:r w:rsidRPr="00ED0BCE">
        <w:rPr>
          <w:rFonts w:ascii="Times New Roman" w:eastAsiaTheme="minorEastAsia" w:hAnsi="Times New Roman"/>
          <w14:ligatures w14:val="standardContextual"/>
        </w:rPr>
        <w:t>:</w:t>
      </w:r>
    </w:p>
    <w:p w14:paraId="767888DC" w14:textId="77777777" w:rsidR="00F64998"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Critiques both the presumed intention and unjust enrichment theories, arguing for a distinction between presumed and automatic resulting trusts.</w:t>
      </w:r>
    </w:p>
    <w:p w14:paraId="0927484D" w14:textId="77777777" w:rsidR="00F64998" w:rsidRPr="00ED0BCE" w:rsidRDefault="00F64998" w:rsidP="00ED0BCE">
      <w:pPr>
        <w:tabs>
          <w:tab w:val="left" w:pos="220"/>
          <w:tab w:val="left" w:pos="72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b/>
          <w:bCs/>
          <w14:ligatures w14:val="standardContextual"/>
        </w:rPr>
        <w:t>Birks and Chambers</w:t>
      </w:r>
      <w:r w:rsidRPr="00ED0BCE">
        <w:rPr>
          <w:rFonts w:ascii="Times New Roman" w:eastAsiaTheme="minorEastAsia" w:hAnsi="Times New Roman"/>
          <w14:ligatures w14:val="standardContextual"/>
        </w:rPr>
        <w:t>:</w:t>
      </w:r>
    </w:p>
    <w:p w14:paraId="430D667F" w14:textId="77777777" w:rsidR="00F64998" w:rsidRPr="00ED0BCE" w:rsidRDefault="00F64998" w:rsidP="00ED0BCE">
      <w:pPr>
        <w:tabs>
          <w:tab w:val="left" w:pos="940"/>
          <w:tab w:val="left" w:pos="1440"/>
        </w:tabs>
        <w:autoSpaceDE w:val="0"/>
        <w:autoSpaceDN w:val="0"/>
        <w:adjustRightInd w:val="0"/>
        <w:spacing w:before="240" w:after="240" w:line="360" w:lineRule="auto"/>
        <w:rPr>
          <w:rFonts w:ascii="Times New Roman" w:eastAsiaTheme="minorEastAsia" w:hAnsi="Times New Roman"/>
          <w14:ligatures w14:val="standardContextual"/>
        </w:rPr>
      </w:pPr>
      <w:r w:rsidRPr="00ED0BCE">
        <w:rPr>
          <w:rFonts w:ascii="Times New Roman" w:eastAsiaTheme="minorEastAsia" w:hAnsi="Times New Roman"/>
          <w14:ligatures w14:val="standardContextual"/>
        </w:rPr>
        <w:t>Advocate for unjust enrichment as the rationale for resulting trusts, linking them to non-beneficial transfers.</w:t>
      </w:r>
    </w:p>
    <w:p w14:paraId="73887477" w14:textId="77777777" w:rsidR="00CD39F1" w:rsidRPr="00ED0BCE" w:rsidRDefault="00CD39F1" w:rsidP="00ED0BCE">
      <w:pPr>
        <w:spacing w:before="240" w:after="240" w:line="360" w:lineRule="auto"/>
        <w:rPr>
          <w:rFonts w:ascii="Times New Roman" w:hAnsi="Times New Roman"/>
        </w:rPr>
      </w:pPr>
    </w:p>
    <w:sectPr w:rsidR="00CD39F1" w:rsidRPr="00ED0BCE" w:rsidSect="00F6499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000001F6">
      <w:start w:val="1"/>
      <w:numFmt w:val="bullet"/>
      <w:lvlText w:val="◦"/>
      <w:lvlJc w:val="left"/>
      <w:pPr>
        <w:ind w:left="1440" w:hanging="360"/>
      </w:pPr>
    </w:lvl>
    <w:lvl w:ilvl="2" w:tplc="000001F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000002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decimal"/>
      <w:lvlText w:val="%1"/>
      <w:lvlJc w:val="left"/>
      <w:pPr>
        <w:ind w:left="720" w:hanging="360"/>
      </w:pPr>
    </w:lvl>
    <w:lvl w:ilvl="1" w:tplc="0000032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decimal"/>
      <w:lvlText w:val="%1"/>
      <w:lvlJc w:val="left"/>
      <w:pPr>
        <w:ind w:left="720" w:hanging="360"/>
      </w:pPr>
    </w:lvl>
    <w:lvl w:ilvl="1" w:tplc="0000038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decimal"/>
      <w:lvlText w:val="%1"/>
      <w:lvlJc w:val="left"/>
      <w:pPr>
        <w:ind w:left="720" w:hanging="360"/>
      </w:pPr>
    </w:lvl>
    <w:lvl w:ilvl="1" w:tplc="000003E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6C019C0"/>
    <w:multiLevelType w:val="hybridMultilevel"/>
    <w:tmpl w:val="06B257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AF918B7"/>
    <w:multiLevelType w:val="hybridMultilevel"/>
    <w:tmpl w:val="1674A322"/>
    <w:lvl w:ilvl="0" w:tplc="6866AD3A">
      <w:start w:val="3"/>
      <w:numFmt w:val="bullet"/>
      <w:lvlText w:val="-"/>
      <w:lvlJc w:val="left"/>
      <w:pPr>
        <w:ind w:left="720" w:hanging="360"/>
      </w:pPr>
      <w:rPr>
        <w:rFonts w:ascii="Times-Roman" w:eastAsiaTheme="minorEastAsia" w:hAnsi="Times-Roman" w:cs="Times-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2DA5DB8"/>
    <w:multiLevelType w:val="hybridMultilevel"/>
    <w:tmpl w:val="5082E2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F936B1"/>
    <w:multiLevelType w:val="hybridMultilevel"/>
    <w:tmpl w:val="CC4E8854"/>
    <w:lvl w:ilvl="0" w:tplc="C6508F2A">
      <w:start w:val="3"/>
      <w:numFmt w:val="bullet"/>
      <w:lvlText w:val="-"/>
      <w:lvlJc w:val="left"/>
      <w:pPr>
        <w:ind w:left="720" w:hanging="360"/>
      </w:pPr>
      <w:rPr>
        <w:rFonts w:ascii="Times-Roman" w:eastAsiaTheme="minorEastAsia" w:hAnsi="Times-Roman" w:cs="Times-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DD739D9"/>
    <w:multiLevelType w:val="hybridMultilevel"/>
    <w:tmpl w:val="D7A46E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B429E3"/>
    <w:multiLevelType w:val="multilevel"/>
    <w:tmpl w:val="6B18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247327">
    <w:abstractNumId w:val="0"/>
  </w:num>
  <w:num w:numId="2" w16cid:durableId="299893249">
    <w:abstractNumId w:val="1"/>
  </w:num>
  <w:num w:numId="3" w16cid:durableId="329796646">
    <w:abstractNumId w:val="2"/>
  </w:num>
  <w:num w:numId="4" w16cid:durableId="112485167">
    <w:abstractNumId w:val="3"/>
  </w:num>
  <w:num w:numId="5" w16cid:durableId="1250887876">
    <w:abstractNumId w:val="4"/>
  </w:num>
  <w:num w:numId="6" w16cid:durableId="1871795704">
    <w:abstractNumId w:val="5"/>
  </w:num>
  <w:num w:numId="7" w16cid:durableId="1450971889">
    <w:abstractNumId w:val="6"/>
  </w:num>
  <w:num w:numId="8" w16cid:durableId="1286766183">
    <w:abstractNumId w:val="7"/>
  </w:num>
  <w:num w:numId="9" w16cid:durableId="290285548">
    <w:abstractNumId w:val="8"/>
  </w:num>
  <w:num w:numId="10" w16cid:durableId="352657663">
    <w:abstractNumId w:val="9"/>
  </w:num>
  <w:num w:numId="11" w16cid:durableId="160463911">
    <w:abstractNumId w:val="10"/>
  </w:num>
  <w:num w:numId="12" w16cid:durableId="1295019811">
    <w:abstractNumId w:val="15"/>
  </w:num>
  <w:num w:numId="13" w16cid:durableId="2081097994">
    <w:abstractNumId w:val="11"/>
  </w:num>
  <w:num w:numId="14" w16cid:durableId="1799757947">
    <w:abstractNumId w:val="16"/>
  </w:num>
  <w:num w:numId="15" w16cid:durableId="400059199">
    <w:abstractNumId w:val="13"/>
  </w:num>
  <w:num w:numId="16" w16cid:durableId="1770200303">
    <w:abstractNumId w:val="12"/>
  </w:num>
  <w:num w:numId="17" w16cid:durableId="12782902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879"/>
    <w:rsid w:val="000147A9"/>
    <w:rsid w:val="00042755"/>
    <w:rsid w:val="0006107D"/>
    <w:rsid w:val="000623A3"/>
    <w:rsid w:val="00094D65"/>
    <w:rsid w:val="000A2074"/>
    <w:rsid w:val="000A3F4D"/>
    <w:rsid w:val="000C4ABC"/>
    <w:rsid w:val="000C58D7"/>
    <w:rsid w:val="000E15ED"/>
    <w:rsid w:val="00101CCF"/>
    <w:rsid w:val="0019260C"/>
    <w:rsid w:val="001B0E31"/>
    <w:rsid w:val="001D360C"/>
    <w:rsid w:val="001E2584"/>
    <w:rsid w:val="00223837"/>
    <w:rsid w:val="00243CED"/>
    <w:rsid w:val="00257540"/>
    <w:rsid w:val="0026510F"/>
    <w:rsid w:val="002D715D"/>
    <w:rsid w:val="002E46F2"/>
    <w:rsid w:val="002F1DB1"/>
    <w:rsid w:val="002F53C9"/>
    <w:rsid w:val="003048A0"/>
    <w:rsid w:val="0031138E"/>
    <w:rsid w:val="0031474F"/>
    <w:rsid w:val="00315815"/>
    <w:rsid w:val="003278F5"/>
    <w:rsid w:val="00330665"/>
    <w:rsid w:val="00330879"/>
    <w:rsid w:val="00361975"/>
    <w:rsid w:val="00376E23"/>
    <w:rsid w:val="0039416B"/>
    <w:rsid w:val="003A1271"/>
    <w:rsid w:val="003A5DF7"/>
    <w:rsid w:val="003C632C"/>
    <w:rsid w:val="003E1CAA"/>
    <w:rsid w:val="0040210F"/>
    <w:rsid w:val="004222FD"/>
    <w:rsid w:val="004319FA"/>
    <w:rsid w:val="0048097D"/>
    <w:rsid w:val="0048175B"/>
    <w:rsid w:val="004845CE"/>
    <w:rsid w:val="004B1048"/>
    <w:rsid w:val="004D01FE"/>
    <w:rsid w:val="004E458E"/>
    <w:rsid w:val="004F0E12"/>
    <w:rsid w:val="004F5A36"/>
    <w:rsid w:val="00542B57"/>
    <w:rsid w:val="00557B52"/>
    <w:rsid w:val="0058416B"/>
    <w:rsid w:val="00595357"/>
    <w:rsid w:val="005C50B3"/>
    <w:rsid w:val="005D57DA"/>
    <w:rsid w:val="005E7702"/>
    <w:rsid w:val="00605F8E"/>
    <w:rsid w:val="00650543"/>
    <w:rsid w:val="00654D8B"/>
    <w:rsid w:val="00661136"/>
    <w:rsid w:val="0068027B"/>
    <w:rsid w:val="006C42B8"/>
    <w:rsid w:val="006C50C7"/>
    <w:rsid w:val="00713CA9"/>
    <w:rsid w:val="007455C6"/>
    <w:rsid w:val="007475C7"/>
    <w:rsid w:val="0075265A"/>
    <w:rsid w:val="0075498E"/>
    <w:rsid w:val="00757BE5"/>
    <w:rsid w:val="00760E46"/>
    <w:rsid w:val="007643D2"/>
    <w:rsid w:val="007678B2"/>
    <w:rsid w:val="0078776B"/>
    <w:rsid w:val="00796A93"/>
    <w:rsid w:val="007E1559"/>
    <w:rsid w:val="007F776E"/>
    <w:rsid w:val="00830C88"/>
    <w:rsid w:val="00861B11"/>
    <w:rsid w:val="008829C2"/>
    <w:rsid w:val="00893F09"/>
    <w:rsid w:val="008A54BE"/>
    <w:rsid w:val="008C7B0A"/>
    <w:rsid w:val="008D0642"/>
    <w:rsid w:val="008E745B"/>
    <w:rsid w:val="008F4EA7"/>
    <w:rsid w:val="008F5A10"/>
    <w:rsid w:val="00905ED0"/>
    <w:rsid w:val="0093405B"/>
    <w:rsid w:val="00966189"/>
    <w:rsid w:val="00974434"/>
    <w:rsid w:val="00977514"/>
    <w:rsid w:val="009A48B0"/>
    <w:rsid w:val="009B24D6"/>
    <w:rsid w:val="009B2F21"/>
    <w:rsid w:val="009C6498"/>
    <w:rsid w:val="009E62AF"/>
    <w:rsid w:val="00A03BBD"/>
    <w:rsid w:val="00A37AB0"/>
    <w:rsid w:val="00A4085F"/>
    <w:rsid w:val="00A45953"/>
    <w:rsid w:val="00A93FBA"/>
    <w:rsid w:val="00A95C7E"/>
    <w:rsid w:val="00AA259D"/>
    <w:rsid w:val="00AB609D"/>
    <w:rsid w:val="00AC3AB8"/>
    <w:rsid w:val="00AE4348"/>
    <w:rsid w:val="00AE4BAF"/>
    <w:rsid w:val="00AE7E93"/>
    <w:rsid w:val="00B02007"/>
    <w:rsid w:val="00B03D5A"/>
    <w:rsid w:val="00B23297"/>
    <w:rsid w:val="00B360EE"/>
    <w:rsid w:val="00B53B6F"/>
    <w:rsid w:val="00B651D9"/>
    <w:rsid w:val="00B67231"/>
    <w:rsid w:val="00B73742"/>
    <w:rsid w:val="00B81AD2"/>
    <w:rsid w:val="00B914E6"/>
    <w:rsid w:val="00BC4186"/>
    <w:rsid w:val="00BC5F25"/>
    <w:rsid w:val="00BD7714"/>
    <w:rsid w:val="00BD7C9B"/>
    <w:rsid w:val="00C072F8"/>
    <w:rsid w:val="00C17D79"/>
    <w:rsid w:val="00C24A8A"/>
    <w:rsid w:val="00C54722"/>
    <w:rsid w:val="00C65F70"/>
    <w:rsid w:val="00C96A36"/>
    <w:rsid w:val="00CA350B"/>
    <w:rsid w:val="00CA3F60"/>
    <w:rsid w:val="00CC2EFF"/>
    <w:rsid w:val="00CC4FEF"/>
    <w:rsid w:val="00CD39F1"/>
    <w:rsid w:val="00CF74EF"/>
    <w:rsid w:val="00D02AC8"/>
    <w:rsid w:val="00D0623C"/>
    <w:rsid w:val="00D07271"/>
    <w:rsid w:val="00D16917"/>
    <w:rsid w:val="00DA31CB"/>
    <w:rsid w:val="00DA4488"/>
    <w:rsid w:val="00DC0040"/>
    <w:rsid w:val="00DC495B"/>
    <w:rsid w:val="00DC7181"/>
    <w:rsid w:val="00DD6F5C"/>
    <w:rsid w:val="00DE6C87"/>
    <w:rsid w:val="00E14A1A"/>
    <w:rsid w:val="00E14E1F"/>
    <w:rsid w:val="00E2730E"/>
    <w:rsid w:val="00E438AC"/>
    <w:rsid w:val="00E60DF5"/>
    <w:rsid w:val="00E80D33"/>
    <w:rsid w:val="00EA6ED5"/>
    <w:rsid w:val="00EB7051"/>
    <w:rsid w:val="00EC68EB"/>
    <w:rsid w:val="00EC7C43"/>
    <w:rsid w:val="00ED0BCE"/>
    <w:rsid w:val="00EE4F6A"/>
    <w:rsid w:val="00F012E4"/>
    <w:rsid w:val="00F248D2"/>
    <w:rsid w:val="00F27F00"/>
    <w:rsid w:val="00F64998"/>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07A2F6"/>
  <w15:chartTrackingRefBased/>
  <w15:docId w15:val="{2CD3463B-C130-6446-B834-41FD18350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3308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8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87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87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3087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3087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087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087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087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879"/>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330879"/>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330879"/>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330879"/>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330879"/>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330879"/>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330879"/>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330879"/>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330879"/>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3308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879"/>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33087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879"/>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3308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0879"/>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330879"/>
    <w:pPr>
      <w:ind w:left="720"/>
      <w:contextualSpacing/>
    </w:pPr>
  </w:style>
  <w:style w:type="character" w:styleId="IntenseEmphasis">
    <w:name w:val="Intense Emphasis"/>
    <w:basedOn w:val="DefaultParagraphFont"/>
    <w:uiPriority w:val="21"/>
    <w:qFormat/>
    <w:rsid w:val="00330879"/>
    <w:rPr>
      <w:i/>
      <w:iCs/>
      <w:color w:val="2F5496" w:themeColor="accent1" w:themeShade="BF"/>
    </w:rPr>
  </w:style>
  <w:style w:type="paragraph" w:styleId="IntenseQuote">
    <w:name w:val="Intense Quote"/>
    <w:basedOn w:val="Normal"/>
    <w:next w:val="Normal"/>
    <w:link w:val="IntenseQuoteChar"/>
    <w:uiPriority w:val="30"/>
    <w:qFormat/>
    <w:rsid w:val="003308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879"/>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330879"/>
    <w:rPr>
      <w:b/>
      <w:bCs/>
      <w:smallCaps/>
      <w:color w:val="2F5496" w:themeColor="accent1" w:themeShade="BF"/>
      <w:spacing w:val="5"/>
    </w:rPr>
  </w:style>
  <w:style w:type="paragraph" w:styleId="NormalWeb">
    <w:name w:val="Normal (Web)"/>
    <w:basedOn w:val="Normal"/>
    <w:uiPriority w:val="99"/>
    <w:semiHidden/>
    <w:unhideWhenUsed/>
    <w:rsid w:val="00ED0BCE"/>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ED0B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7454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1690</Words>
  <Characters>9639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6</cp:revision>
  <dcterms:created xsi:type="dcterms:W3CDTF">2024-11-25T11:52:00Z</dcterms:created>
  <dcterms:modified xsi:type="dcterms:W3CDTF">2024-12-17T11:51:00Z</dcterms:modified>
</cp:coreProperties>
</file>