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CE52F" w14:textId="09DBBF6A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Introduction: The Debate on Resulting Trusts</w:t>
      </w:r>
    </w:p>
    <w:p w14:paraId="534112D7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Context</w:t>
      </w:r>
      <w:r w:rsidRPr="00E372A3">
        <w:rPr>
          <w:rFonts w:ascii="Times New Roman" w:eastAsiaTheme="minorEastAsia" w:hAnsi="Times New Roman"/>
          <w14:ligatures w14:val="standardContextual"/>
        </w:rPr>
        <w:t>: Resulting trusts have long been debated.</w:t>
      </w:r>
    </w:p>
    <w:p w14:paraId="027CA8FC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proofErr w:type="spellStart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>Swadling</w:t>
      </w:r>
      <w:proofErr w:type="spellEnd"/>
      <w:r w:rsidRPr="00E372A3">
        <w:rPr>
          <w:rFonts w:ascii="Times New Roman" w:eastAsiaTheme="minorEastAsia" w:hAnsi="Times New Roman"/>
          <w14:ligatures w14:val="standardContextual"/>
        </w:rPr>
        <w:t>: Argues that resulting trusts imply an express declaration of trust proven through presumption.</w:t>
      </w:r>
    </w:p>
    <w:p w14:paraId="036B8E16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Chambers</w:t>
      </w:r>
      <w:r w:rsidRPr="00E372A3">
        <w:rPr>
          <w:rFonts w:ascii="Times New Roman" w:eastAsiaTheme="minorEastAsia" w:hAnsi="Times New Roman"/>
          <w14:ligatures w14:val="standardContextual"/>
        </w:rPr>
        <w:t>: Advocates that resulting trusts address unjust enrichment where there’s no intention to benefit the transferee.</w:t>
      </w:r>
    </w:p>
    <w:p w14:paraId="5036A0DC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Mee’s Position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: Contrasts both, suggesting resulting trusts arise from the </w:t>
      </w:r>
      <w:r w:rsidRPr="00E372A3">
        <w:rPr>
          <w:rFonts w:ascii="Times New Roman" w:eastAsiaTheme="minorEastAsia" w:hAnsi="Times New Roman"/>
          <w:i/>
          <w:iCs/>
          <w14:ligatures w14:val="standardContextual"/>
        </w:rPr>
        <w:t>intention of the transferor</w:t>
      </w:r>
      <w:r w:rsidRPr="00E372A3">
        <w:rPr>
          <w:rFonts w:ascii="Times New Roman" w:eastAsiaTheme="minorEastAsia" w:hAnsi="Times New Roman"/>
          <w14:ligatures w14:val="standardContextual"/>
        </w:rPr>
        <w:t>, rooted in ancient doctrines of resulting use.</w:t>
      </w:r>
    </w:p>
    <w:p w14:paraId="7317C5E4" w14:textId="77777777" w:rsidR="00D6545D" w:rsidRDefault="00D6545D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76D2A9C3" w14:textId="32B8B580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Historical Foundations of Resulting Trusts</w:t>
      </w:r>
    </w:p>
    <w:p w14:paraId="0AC7919C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Origins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2529B337" w14:textId="6DC60336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Derived from </w:t>
      </w:r>
      <w:r w:rsidRPr="00E372A3">
        <w:rPr>
          <w:rFonts w:ascii="Times New Roman" w:eastAsiaTheme="minorEastAsia" w:hAnsi="Times New Roman"/>
          <w:i/>
          <w:iCs/>
          <w14:ligatures w14:val="standardContextual"/>
        </w:rPr>
        <w:t>uses</w:t>
      </w:r>
      <w:r w:rsidRPr="00E372A3">
        <w:rPr>
          <w:rFonts w:ascii="Times New Roman" w:eastAsiaTheme="minorEastAsia" w:hAnsi="Times New Roman"/>
          <w14:ligatures w14:val="standardContextual"/>
        </w:rPr>
        <w:t>, a medieval equitable concept.</w:t>
      </w:r>
    </w:p>
    <w:p w14:paraId="4BCCF888" w14:textId="25C7F115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Pr="00E372A3">
        <w:rPr>
          <w:rFonts w:ascii="Times New Roman" w:eastAsiaTheme="minorEastAsia" w:hAnsi="Times New Roman"/>
          <w14:ligatures w14:val="standardContextual"/>
        </w:rPr>
        <w:t>When land was voluntarily transferred without valuable consideration, courts presumed the transferor retained beneficial interest unless clear intention showed otherwise.</w:t>
      </w:r>
    </w:p>
    <w:p w14:paraId="1167520D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Sir Edward Coke</w:t>
      </w:r>
      <w:r w:rsidRPr="00E372A3">
        <w:rPr>
          <w:rFonts w:ascii="Times New Roman" w:eastAsiaTheme="minorEastAsia" w:hAnsi="Times New Roman"/>
          <w14:ligatures w14:val="standardContextual"/>
        </w:rPr>
        <w:t>: Explained resulting uses as a form of implied retention of rights by the transferor.</w:t>
      </w:r>
    </w:p>
    <w:p w14:paraId="43C36BA1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Key Historical Rule</w:t>
      </w:r>
      <w:r w:rsidRPr="00E372A3">
        <w:rPr>
          <w:rFonts w:ascii="Times New Roman" w:eastAsiaTheme="minorEastAsia" w:hAnsi="Times New Roman"/>
          <w14:ligatures w14:val="standardContextual"/>
        </w:rPr>
        <w:t>: Resulting trusts ask, “What is the effect of this conveyance on beneficial ownership?”</w:t>
      </w:r>
    </w:p>
    <w:p w14:paraId="3B04CE17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Significance:</w:t>
      </w:r>
    </w:p>
    <w:p w14:paraId="42631096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>The doctrine historically assumed intention (or the lack of it) dictated the outcome of property transfers.</w:t>
      </w:r>
    </w:p>
    <w:p w14:paraId="6D80283A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8941BD3" w14:textId="2042D1B9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Competing Theories</w:t>
      </w:r>
    </w:p>
    <w:p w14:paraId="14FC56EE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proofErr w:type="spellStart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>Swadling’s</w:t>
      </w:r>
      <w:proofErr w:type="spellEnd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 xml:space="preserve"> Declaratory Model</w:t>
      </w:r>
    </w:p>
    <w:p w14:paraId="2F9FA3CE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 xml:space="preserve">Resulting trusts involve </w:t>
      </w:r>
      <w:r w:rsidRPr="00D6545D">
        <w:rPr>
          <w:rFonts w:ascii="Times New Roman" w:eastAsiaTheme="minorEastAsia" w:hAnsi="Times New Roman"/>
          <w:u w:val="single"/>
          <w14:ligatures w14:val="standardContextual"/>
        </w:rPr>
        <w:t>an express declaration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 of trust proven through a presumption.</w:t>
      </w:r>
    </w:p>
    <w:p w14:paraId="1A5BEA48" w14:textId="0C1781D5" w:rsidR="00E372A3" w:rsidRPr="00E372A3" w:rsidRDefault="00E372A3" w:rsidP="00E372A3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i/>
          <w:iCs/>
          <w14:ligatures w14:val="standardContextual"/>
        </w:rPr>
        <w:t>Cook v Fountain (1676)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: </w:t>
      </w:r>
      <w:proofErr w:type="spellStart"/>
      <w:r w:rsidRPr="00E372A3">
        <w:rPr>
          <w:rFonts w:ascii="Times New Roman" w:eastAsiaTheme="minorEastAsia" w:hAnsi="Times New Roman"/>
          <w14:ligatures w14:val="standardContextual"/>
        </w:rPr>
        <w:t>Swadling</w:t>
      </w:r>
      <w:proofErr w:type="spellEnd"/>
      <w:r w:rsidRPr="00E372A3">
        <w:rPr>
          <w:rFonts w:ascii="Times New Roman" w:eastAsiaTheme="minorEastAsia" w:hAnsi="Times New Roman"/>
          <w14:ligatures w14:val="standardContextual"/>
        </w:rPr>
        <w:t xml:space="preserve"> cites this case to argue that resulting trusts reflect a presumed declaration of trust. However, Mee argues this case involved inference based on circumstantial evidence, not a true presumption of declaration.</w:t>
      </w:r>
    </w:p>
    <w:p w14:paraId="53379AD5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 xml:space="preserve">Chambers’ </w:t>
      </w:r>
      <w:proofErr w:type="spellStart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Restitutionary</w:t>
      </w:r>
      <w:proofErr w:type="spellEnd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 xml:space="preserve"> Model</w:t>
      </w:r>
    </w:p>
    <w:p w14:paraId="173BAC95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 xml:space="preserve">Resulting trusts arise to </w:t>
      </w:r>
      <w:r w:rsidRPr="00D6545D">
        <w:rPr>
          <w:rFonts w:ascii="Times New Roman" w:eastAsiaTheme="minorEastAsia" w:hAnsi="Times New Roman"/>
          <w:u w:val="single"/>
          <w14:ligatures w14:val="standardContextual"/>
        </w:rPr>
        <w:t>prevent unjust enrichment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 when the transferor lacks the intent to benefit the transferee.</w:t>
      </w:r>
    </w:p>
    <w:p w14:paraId="67588361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>Supported by:</w:t>
      </w:r>
    </w:p>
    <w:p w14:paraId="49B5035E" w14:textId="2628E1EF" w:rsidR="00E372A3" w:rsidRPr="00E372A3" w:rsidRDefault="00E372A3" w:rsidP="00E372A3">
      <w:pPr>
        <w:pStyle w:val="ListParagraph"/>
        <w:numPr>
          <w:ilvl w:val="0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proofErr w:type="spellStart"/>
      <w:r w:rsidRPr="00E372A3">
        <w:rPr>
          <w:rFonts w:ascii="Times New Roman" w:eastAsiaTheme="minorEastAsia" w:hAnsi="Times New Roman"/>
          <w:i/>
          <w:iCs/>
          <w14:ligatures w14:val="standardContextual"/>
        </w:rPr>
        <w:t>Westdeutsche</w:t>
      </w:r>
      <w:proofErr w:type="spellEnd"/>
      <w:r w:rsidRPr="00E372A3">
        <w:rPr>
          <w:rFonts w:ascii="Times New Roman" w:eastAsiaTheme="minorEastAsia" w:hAnsi="Times New Roman"/>
          <w:i/>
          <w:iCs/>
          <w14:ligatures w14:val="standardContextual"/>
        </w:rPr>
        <w:t xml:space="preserve"> </w:t>
      </w:r>
      <w:proofErr w:type="spellStart"/>
      <w:r w:rsidRPr="00E372A3">
        <w:rPr>
          <w:rFonts w:ascii="Times New Roman" w:eastAsiaTheme="minorEastAsia" w:hAnsi="Times New Roman"/>
          <w:i/>
          <w:iCs/>
          <w14:ligatures w14:val="standardContextual"/>
        </w:rPr>
        <w:t>Landesbank</w:t>
      </w:r>
      <w:proofErr w:type="spellEnd"/>
      <w:r w:rsidRPr="00E372A3">
        <w:rPr>
          <w:rFonts w:ascii="Times New Roman" w:eastAsiaTheme="minorEastAsia" w:hAnsi="Times New Roman"/>
          <w:i/>
          <w:iCs/>
          <w14:ligatures w14:val="standardContextual"/>
        </w:rPr>
        <w:t xml:space="preserve"> </w:t>
      </w:r>
      <w:proofErr w:type="spellStart"/>
      <w:r w:rsidRPr="00E372A3">
        <w:rPr>
          <w:rFonts w:ascii="Times New Roman" w:eastAsiaTheme="minorEastAsia" w:hAnsi="Times New Roman"/>
          <w:i/>
          <w:iCs/>
          <w14:ligatures w14:val="standardContextual"/>
        </w:rPr>
        <w:t>Girozentrale</w:t>
      </w:r>
      <w:proofErr w:type="spellEnd"/>
      <w:r w:rsidRPr="00E372A3">
        <w:rPr>
          <w:rFonts w:ascii="Times New Roman" w:eastAsiaTheme="minorEastAsia" w:hAnsi="Times New Roman"/>
          <w:i/>
          <w:iCs/>
          <w14:ligatures w14:val="standardContextual"/>
        </w:rPr>
        <w:t xml:space="preserve"> v Islington LBC</w:t>
      </w:r>
      <w:r w:rsidRPr="00E372A3">
        <w:rPr>
          <w:rFonts w:ascii="Times New Roman" w:eastAsiaTheme="minorEastAsia" w:hAnsi="Times New Roman"/>
          <w14:ligatures w14:val="standardContextual"/>
        </w:rPr>
        <w:t>: Lord Browne-Wilkinson noted that resulting trusts respond to the absence of intention to gift property.</w:t>
      </w:r>
    </w:p>
    <w:p w14:paraId="404F12E7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Mee’s Critique:</w:t>
      </w:r>
    </w:p>
    <w:p w14:paraId="3494F505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proofErr w:type="spellStart"/>
      <w:r w:rsidRPr="00E372A3">
        <w:rPr>
          <w:rFonts w:ascii="Times New Roman" w:eastAsiaTheme="minorEastAsia" w:hAnsi="Times New Roman"/>
          <w14:ligatures w14:val="standardContextual"/>
        </w:rPr>
        <w:t>Swadling’s</w:t>
      </w:r>
      <w:proofErr w:type="spellEnd"/>
      <w:r w:rsidRPr="00E372A3">
        <w:rPr>
          <w:rFonts w:ascii="Times New Roman" w:eastAsiaTheme="minorEastAsia" w:hAnsi="Times New Roman"/>
          <w14:ligatures w14:val="standardContextual"/>
        </w:rPr>
        <w:t xml:space="preserve"> theory lacks direct judicial support; his reliance on </w:t>
      </w:r>
      <w:r w:rsidRPr="00E372A3">
        <w:rPr>
          <w:rFonts w:ascii="Times New Roman" w:eastAsiaTheme="minorEastAsia" w:hAnsi="Times New Roman"/>
          <w:i/>
          <w:iCs/>
          <w14:ligatures w14:val="standardContextual"/>
        </w:rPr>
        <w:t>Cook v Fountain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 is misinterpreted.</w:t>
      </w:r>
    </w:p>
    <w:p w14:paraId="51889722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 xml:space="preserve">Chambers’ </w:t>
      </w:r>
      <w:proofErr w:type="spellStart"/>
      <w:r w:rsidRPr="00E372A3">
        <w:rPr>
          <w:rFonts w:ascii="Times New Roman" w:eastAsiaTheme="minorEastAsia" w:hAnsi="Times New Roman"/>
          <w14:ligatures w14:val="standardContextual"/>
        </w:rPr>
        <w:t>restitutionary</w:t>
      </w:r>
      <w:proofErr w:type="spellEnd"/>
      <w:r w:rsidRPr="00E372A3">
        <w:rPr>
          <w:rFonts w:ascii="Times New Roman" w:eastAsiaTheme="minorEastAsia" w:hAnsi="Times New Roman"/>
          <w14:ligatures w14:val="standardContextual"/>
        </w:rPr>
        <w:t xml:space="preserve"> focus oversimplifies resulting trusts by framing them solely as responses to unjust enrichment.</w:t>
      </w:r>
    </w:p>
    <w:p w14:paraId="001AD6C9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0AE91EC" w14:textId="111C05F2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The Basis of Resulting Trusts: Intention</w:t>
      </w:r>
    </w:p>
    <w:p w14:paraId="6420C75A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Mee’s Argument:</w:t>
      </w:r>
    </w:p>
    <w:p w14:paraId="588CADE5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>Resulting trusts reflect the transferor's intent at the time of transfer, whether phrased positively (intention to create a trust) or negatively (absence of intent to gift).</w:t>
      </w:r>
    </w:p>
    <w:p w14:paraId="27F8211B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Key Cases:</w:t>
      </w:r>
    </w:p>
    <w:p w14:paraId="751AC666" w14:textId="18F6E13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proofErr w:type="spellStart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>Vandervell</w:t>
      </w:r>
      <w:proofErr w:type="spellEnd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 xml:space="preserve"> v IRC (1967)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1F3A1CBC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: </w:t>
      </w:r>
      <w:proofErr w:type="spellStart"/>
      <w:r w:rsidRPr="00E372A3">
        <w:rPr>
          <w:rFonts w:ascii="Times New Roman" w:eastAsiaTheme="minorEastAsia" w:hAnsi="Times New Roman"/>
          <w14:ligatures w14:val="standardContextual"/>
        </w:rPr>
        <w:t>Vandervell</w:t>
      </w:r>
      <w:proofErr w:type="spellEnd"/>
      <w:r w:rsidRPr="00E372A3">
        <w:rPr>
          <w:rFonts w:ascii="Times New Roman" w:eastAsiaTheme="minorEastAsia" w:hAnsi="Times New Roman"/>
          <w14:ligatures w14:val="standardContextual"/>
        </w:rPr>
        <w:t xml:space="preserve"> directed his bank to transfer shares to a charity without specifying the fate of beneficial interest.</w:t>
      </w:r>
    </w:p>
    <w:p w14:paraId="136D1E82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: The transfer triggered a resulting trust because </w:t>
      </w:r>
      <w:proofErr w:type="spellStart"/>
      <w:r w:rsidRPr="00E372A3">
        <w:rPr>
          <w:rFonts w:ascii="Times New Roman" w:eastAsiaTheme="minorEastAsia" w:hAnsi="Times New Roman"/>
          <w14:ligatures w14:val="standardContextual"/>
        </w:rPr>
        <w:t>Vandervell</w:t>
      </w:r>
      <w:proofErr w:type="spellEnd"/>
      <w:r w:rsidRPr="00E372A3">
        <w:rPr>
          <w:rFonts w:ascii="Times New Roman" w:eastAsiaTheme="minorEastAsia" w:hAnsi="Times New Roman"/>
          <w14:ligatures w14:val="standardContextual"/>
        </w:rPr>
        <w:t xml:space="preserve"> retained beneficial ownership due to the lack of intention to gift.</w:t>
      </w:r>
    </w:p>
    <w:p w14:paraId="5C381C45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372A3">
        <w:rPr>
          <w:rFonts w:ascii="Times New Roman" w:eastAsiaTheme="minorEastAsia" w:hAnsi="Times New Roman"/>
          <w14:ligatures w14:val="standardContextual"/>
        </w:rPr>
        <w:t>: Lord Upjohn emphasized the transferor’s intention as the primary determinant.</w:t>
      </w:r>
    </w:p>
    <w:p w14:paraId="6FA161FF" w14:textId="28B78023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Jones v Kernott (2011)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1D397929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372A3">
        <w:rPr>
          <w:rFonts w:ascii="Times New Roman" w:eastAsiaTheme="minorEastAsia" w:hAnsi="Times New Roman"/>
          <w14:ligatures w14:val="standardContextual"/>
        </w:rPr>
        <w:t>: A couple separated after jointly purchasing property; disputes arose over ownership shares.</w:t>
      </w:r>
    </w:p>
    <w:p w14:paraId="40E9E798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372A3">
        <w:rPr>
          <w:rFonts w:ascii="Times New Roman" w:eastAsiaTheme="minorEastAsia" w:hAnsi="Times New Roman"/>
          <w14:ligatures w14:val="standardContextual"/>
        </w:rPr>
        <w:t>: The court clarified that resulting trusts arise from the presumption of intent when financial contributions are made without explicit agreement on ownership.</w:t>
      </w:r>
    </w:p>
    <w:p w14:paraId="686699EB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372A3">
        <w:rPr>
          <w:rFonts w:ascii="Times New Roman" w:eastAsiaTheme="minorEastAsia" w:hAnsi="Times New Roman"/>
          <w14:ligatures w14:val="standardContextual"/>
        </w:rPr>
        <w:t>: Focused on inferred intent from conduct.</w:t>
      </w:r>
    </w:p>
    <w:p w14:paraId="432BB532" w14:textId="17D37743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Shephard v Cartwright (1955)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7ED31D6C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372A3">
        <w:rPr>
          <w:rFonts w:ascii="Times New Roman" w:eastAsiaTheme="minorEastAsia" w:hAnsi="Times New Roman"/>
          <w14:ligatures w14:val="standardContextual"/>
        </w:rPr>
        <w:t>: Shares purchased by a father in the names of his children; later disputes arose over whether they were gifts or held on trust.</w:t>
      </w:r>
    </w:p>
    <w:p w14:paraId="041CA569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372A3">
        <w:rPr>
          <w:rFonts w:ascii="Times New Roman" w:eastAsiaTheme="minorEastAsia" w:hAnsi="Times New Roman"/>
          <w14:ligatures w14:val="standardContextual"/>
        </w:rPr>
        <w:t>: Presumption of resulting trust applied unless clear evidence of a gift existed.</w:t>
      </w:r>
    </w:p>
    <w:p w14:paraId="5A025348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372A3">
        <w:rPr>
          <w:rFonts w:ascii="Times New Roman" w:eastAsiaTheme="minorEastAsia" w:hAnsi="Times New Roman"/>
          <w14:ligatures w14:val="standardContextual"/>
        </w:rPr>
        <w:t>: Transferor’s intention must fall into one of two categories: gift or trust.</w:t>
      </w:r>
    </w:p>
    <w:p w14:paraId="2641DC75" w14:textId="77777777" w:rsid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380E1D0" w14:textId="77777777" w:rsid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39C96849" w14:textId="77777777" w:rsid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0B1A71C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7B32C2D" w14:textId="3B236FC1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Purchase Money Resulting Trusts</w:t>
      </w:r>
    </w:p>
    <w:p w14:paraId="3FB2929D" w14:textId="422EB975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Dyer v Dyer (1788)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40AF69D3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372A3">
        <w:rPr>
          <w:rFonts w:ascii="Times New Roman" w:eastAsiaTheme="minorEastAsia" w:hAnsi="Times New Roman"/>
          <w14:ligatures w14:val="standardContextual"/>
        </w:rPr>
        <w:t xml:space="preserve">: A man provided funds to purchase </w:t>
      </w:r>
      <w:proofErr w:type="gramStart"/>
      <w:r w:rsidRPr="00E372A3">
        <w:rPr>
          <w:rFonts w:ascii="Times New Roman" w:eastAsiaTheme="minorEastAsia" w:hAnsi="Times New Roman"/>
          <w14:ligatures w14:val="standardContextual"/>
        </w:rPr>
        <w:t>property</w:t>
      </w:r>
      <w:proofErr w:type="gramEnd"/>
      <w:r w:rsidRPr="00E372A3">
        <w:rPr>
          <w:rFonts w:ascii="Times New Roman" w:eastAsiaTheme="minorEastAsia" w:hAnsi="Times New Roman"/>
          <w14:ligatures w14:val="standardContextual"/>
        </w:rPr>
        <w:t xml:space="preserve"> but had it registered in another’s name.</w:t>
      </w:r>
    </w:p>
    <w:p w14:paraId="247BA6DC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372A3">
        <w:rPr>
          <w:rFonts w:ascii="Times New Roman" w:eastAsiaTheme="minorEastAsia" w:hAnsi="Times New Roman"/>
          <w14:ligatures w14:val="standardContextual"/>
        </w:rPr>
        <w:t>: The legal owner held the property on resulting trust for the funder.</w:t>
      </w:r>
    </w:p>
    <w:p w14:paraId="36BD0C48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372A3">
        <w:rPr>
          <w:rFonts w:ascii="Times New Roman" w:eastAsiaTheme="minorEastAsia" w:hAnsi="Times New Roman"/>
          <w14:ligatures w14:val="standardContextual"/>
        </w:rPr>
        <w:t>: Where purchase money is advanced, equity presumes the funder’s intent to retain beneficial interest unless rebutted.</w:t>
      </w:r>
    </w:p>
    <w:p w14:paraId="0D8CEF24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2BEE867" w14:textId="62ABDB7F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Rebuttal of Presumptions</w:t>
      </w:r>
    </w:p>
    <w:p w14:paraId="20E6BDB1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proofErr w:type="spellStart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>Fowkes</w:t>
      </w:r>
      <w:proofErr w:type="spellEnd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 xml:space="preserve"> v Pascoe (1875)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4F07F5F5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372A3">
        <w:rPr>
          <w:rFonts w:ascii="Times New Roman" w:eastAsiaTheme="minorEastAsia" w:hAnsi="Times New Roman"/>
          <w14:ligatures w14:val="standardContextual"/>
        </w:rPr>
        <w:t>: A woman purchased stock in her name and her grandson's name.</w:t>
      </w:r>
    </w:p>
    <w:p w14:paraId="7F739CDB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372A3">
        <w:rPr>
          <w:rFonts w:ascii="Times New Roman" w:eastAsiaTheme="minorEastAsia" w:hAnsi="Times New Roman"/>
          <w14:ligatures w14:val="standardContextual"/>
        </w:rPr>
        <w:t>: Presumption of resulting trust rebutted because evidence showed an intention to gift.</w:t>
      </w:r>
    </w:p>
    <w:p w14:paraId="11556A22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372A3">
        <w:rPr>
          <w:rFonts w:ascii="Times New Roman" w:eastAsiaTheme="minorEastAsia" w:hAnsi="Times New Roman"/>
          <w14:ligatures w14:val="standardContextual"/>
        </w:rPr>
        <w:t>: Courts rely on surrounding circumstances to infer the transferor’s intention.</w:t>
      </w:r>
    </w:p>
    <w:p w14:paraId="14D55579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73CC27F" w14:textId="4ECA07DD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The Role of Statutes</w:t>
      </w:r>
    </w:p>
    <w:p w14:paraId="50FE5D2D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Law of Property Act 1925, Section 53:</w:t>
      </w:r>
    </w:p>
    <w:p w14:paraId="4949556C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>Requires declarations of trust involving land to be in writing.</w:t>
      </w:r>
    </w:p>
    <w:p w14:paraId="1D5EF46A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Exemptions:</w:t>
      </w:r>
    </w:p>
    <w:p w14:paraId="5ED35ABA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Resulting trusts fall under Section 53(2), meaning they do not require written evidence to be enforceable.</w:t>
      </w:r>
    </w:p>
    <w:p w14:paraId="0FAC239A" w14:textId="77777777" w:rsid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4634D776" w14:textId="77777777" w:rsid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6D4C71B3" w14:textId="59DE74D4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Hodgson v Marks (1971):</w:t>
      </w:r>
    </w:p>
    <w:p w14:paraId="28B2E1F4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372A3">
        <w:rPr>
          <w:rFonts w:ascii="Times New Roman" w:eastAsiaTheme="minorEastAsia" w:hAnsi="Times New Roman"/>
          <w14:ligatures w14:val="standardContextual"/>
        </w:rPr>
        <w:t>: An elderly woman transferred her house to a lodger orally, believing it was held on trust. The lodger sold it to an innocent purchaser.</w:t>
      </w:r>
    </w:p>
    <w:p w14:paraId="71932621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372A3">
        <w:rPr>
          <w:rFonts w:ascii="Times New Roman" w:eastAsiaTheme="minorEastAsia" w:hAnsi="Times New Roman"/>
          <w14:ligatures w14:val="standardContextual"/>
        </w:rPr>
        <w:t>: A resulting trust arose because the transferor did not intend to gift the property, despite the absence of written evidence.</w:t>
      </w:r>
    </w:p>
    <w:p w14:paraId="352AADAF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372A3">
        <w:rPr>
          <w:rFonts w:ascii="Times New Roman" w:eastAsiaTheme="minorEastAsia" w:hAnsi="Times New Roman"/>
          <w14:ligatures w14:val="standardContextual"/>
        </w:rPr>
        <w:t>: The presumption of resulting trust bypassed statutory formalities.</w:t>
      </w:r>
    </w:p>
    <w:p w14:paraId="4155E96B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17E8755B" w14:textId="1240481A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Positive and Negative Formulations of Intention</w:t>
      </w:r>
    </w:p>
    <w:p w14:paraId="4BEAE279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Chambers’ View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32B7507A" w14:textId="77777777" w:rsidR="00E372A3" w:rsidRPr="00E372A3" w:rsidRDefault="00E372A3" w:rsidP="00E372A3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>Positive: Transferor intended to create a trust.</w:t>
      </w:r>
    </w:p>
    <w:p w14:paraId="3D9736E1" w14:textId="77777777" w:rsidR="00E372A3" w:rsidRPr="00E372A3" w:rsidRDefault="00E372A3" w:rsidP="00E372A3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>Negative: Transferor lacked intent to gift.</w:t>
      </w:r>
    </w:p>
    <w:p w14:paraId="6D21386B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Mee’s Rebuttal</w:t>
      </w:r>
      <w:r w:rsidRPr="00E372A3">
        <w:rPr>
          <w:rFonts w:ascii="Times New Roman" w:eastAsiaTheme="minorEastAsia" w:hAnsi="Times New Roman"/>
          <w14:ligatures w14:val="standardContextual"/>
        </w:rPr>
        <w:t>:</w:t>
      </w:r>
    </w:p>
    <w:p w14:paraId="2E7E432E" w14:textId="77777777" w:rsidR="00E372A3" w:rsidRPr="00E372A3" w:rsidRDefault="00E372A3" w:rsidP="00E372A3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14:ligatures w14:val="standardContextual"/>
        </w:rPr>
        <w:t>Positive and negative formulations are interchangeable. Courts use both to determine intention without suggesting doctrinal inconsistency.</w:t>
      </w:r>
    </w:p>
    <w:p w14:paraId="3CE3FB2D" w14:textId="77777777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1127C16C" w14:textId="3D63DE86" w:rsidR="00E372A3" w:rsidRPr="00E372A3" w:rsidRDefault="00E372A3" w:rsidP="00E372A3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Scholarly Insights</w:t>
      </w:r>
    </w:p>
    <w:p w14:paraId="3D33F811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Mee</w:t>
      </w:r>
      <w:r w:rsidRPr="00E372A3">
        <w:rPr>
          <w:rFonts w:ascii="Times New Roman" w:eastAsiaTheme="minorEastAsia" w:hAnsi="Times New Roman"/>
          <w14:ligatures w14:val="standardContextual"/>
        </w:rPr>
        <w:t>: Supports intention-based resulting trusts, rooted in historical doctrines and modern case law.</w:t>
      </w:r>
    </w:p>
    <w:p w14:paraId="0DC087FC" w14:textId="77777777" w:rsidR="00E372A3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proofErr w:type="spellStart"/>
      <w:r w:rsidRPr="00E372A3">
        <w:rPr>
          <w:rFonts w:ascii="Times New Roman" w:eastAsiaTheme="minorEastAsia" w:hAnsi="Times New Roman"/>
          <w:b/>
          <w:bCs/>
          <w14:ligatures w14:val="standardContextual"/>
        </w:rPr>
        <w:t>Swadling</w:t>
      </w:r>
      <w:proofErr w:type="spellEnd"/>
      <w:r w:rsidRPr="00E372A3">
        <w:rPr>
          <w:rFonts w:ascii="Times New Roman" w:eastAsiaTheme="minorEastAsia" w:hAnsi="Times New Roman"/>
          <w14:ligatures w14:val="standardContextual"/>
        </w:rPr>
        <w:t>: Criticized for over-relying on presumptions of declaration unsupported by judicial evidence.</w:t>
      </w:r>
    </w:p>
    <w:p w14:paraId="7A624FB1" w14:textId="47B48D13" w:rsidR="00CD39F1" w:rsidRPr="00E372A3" w:rsidRDefault="00E372A3" w:rsidP="00E372A3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372A3">
        <w:rPr>
          <w:rFonts w:ascii="Times New Roman" w:eastAsiaTheme="minorEastAsia" w:hAnsi="Times New Roman"/>
          <w:b/>
          <w:bCs/>
          <w14:ligatures w14:val="standardContextual"/>
        </w:rPr>
        <w:t>Chambers</w:t>
      </w:r>
      <w:r w:rsidRPr="00E372A3">
        <w:rPr>
          <w:rFonts w:ascii="Times New Roman" w:eastAsiaTheme="minorEastAsia" w:hAnsi="Times New Roman"/>
          <w14:ligatures w14:val="standardContextual"/>
        </w:rPr>
        <w:t>: Accused of ignoring historical context and overstating unjust enrichment.</w:t>
      </w:r>
    </w:p>
    <w:sectPr w:rsidR="00CD39F1" w:rsidRPr="00E372A3" w:rsidSect="00E372A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000003E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000004B2">
      <w:start w:val="1"/>
      <w:numFmt w:val="bullet"/>
      <w:lvlText w:val="◦"/>
      <w:lvlJc w:val="left"/>
      <w:pPr>
        <w:ind w:left="1440" w:hanging="360"/>
      </w:pPr>
    </w:lvl>
    <w:lvl w:ilvl="2" w:tplc="000004B3">
      <w:start w:val="1"/>
      <w:numFmt w:val="decimal"/>
      <w:lvlText w:val="%3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78E0969"/>
    <w:multiLevelType w:val="hybridMultilevel"/>
    <w:tmpl w:val="5EF8CF08"/>
    <w:lvl w:ilvl="0" w:tplc="EFBA32B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75531"/>
    <w:multiLevelType w:val="hybridMultilevel"/>
    <w:tmpl w:val="645EF7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A4914"/>
    <w:multiLevelType w:val="hybridMultilevel"/>
    <w:tmpl w:val="8050F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D4423"/>
    <w:multiLevelType w:val="hybridMultilevel"/>
    <w:tmpl w:val="5BD44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965844">
    <w:abstractNumId w:val="0"/>
  </w:num>
  <w:num w:numId="2" w16cid:durableId="631446832">
    <w:abstractNumId w:val="1"/>
  </w:num>
  <w:num w:numId="3" w16cid:durableId="1838612746">
    <w:abstractNumId w:val="2"/>
  </w:num>
  <w:num w:numId="4" w16cid:durableId="12462234">
    <w:abstractNumId w:val="3"/>
  </w:num>
  <w:num w:numId="5" w16cid:durableId="1473599756">
    <w:abstractNumId w:val="4"/>
  </w:num>
  <w:num w:numId="6" w16cid:durableId="1732001391">
    <w:abstractNumId w:val="5"/>
  </w:num>
  <w:num w:numId="7" w16cid:durableId="1944608258">
    <w:abstractNumId w:val="6"/>
  </w:num>
  <w:num w:numId="8" w16cid:durableId="1175263077">
    <w:abstractNumId w:val="7"/>
  </w:num>
  <w:num w:numId="9" w16cid:durableId="692879274">
    <w:abstractNumId w:val="8"/>
  </w:num>
  <w:num w:numId="10" w16cid:durableId="1634363596">
    <w:abstractNumId w:val="9"/>
  </w:num>
  <w:num w:numId="11" w16cid:durableId="594674000">
    <w:abstractNumId w:val="10"/>
  </w:num>
  <w:num w:numId="12" w16cid:durableId="143277506">
    <w:abstractNumId w:val="11"/>
  </w:num>
  <w:num w:numId="13" w16cid:durableId="1964771786">
    <w:abstractNumId w:val="12"/>
  </w:num>
  <w:num w:numId="14" w16cid:durableId="823160805">
    <w:abstractNumId w:val="13"/>
  </w:num>
  <w:num w:numId="15" w16cid:durableId="1432554641">
    <w:abstractNumId w:val="16"/>
  </w:num>
  <w:num w:numId="16" w16cid:durableId="1071149688">
    <w:abstractNumId w:val="15"/>
  </w:num>
  <w:num w:numId="17" w16cid:durableId="867990902">
    <w:abstractNumId w:val="17"/>
  </w:num>
  <w:num w:numId="18" w16cid:durableId="10064412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2C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3322C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2007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6545D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372A3"/>
    <w:rsid w:val="00E438AC"/>
    <w:rsid w:val="00E60DF5"/>
    <w:rsid w:val="00E80D33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E596D"/>
  <w15:chartTrackingRefBased/>
  <w15:docId w15:val="{25506A90-E91E-7547-B052-89F127FD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2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2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2C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2C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2C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2C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2C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2C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2C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332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2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332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2C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83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2C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33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2024-11-25T14:41:00Z</dcterms:created>
  <dcterms:modified xsi:type="dcterms:W3CDTF">2024-11-25T14:50:00Z</dcterms:modified>
</cp:coreProperties>
</file>