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392228" w14:textId="77777777" w:rsidR="00AB0EAA" w:rsidRPr="00AB0EAA" w:rsidRDefault="00AB0EAA" w:rsidP="00AB0EAA">
      <w:pPr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Key Points and Cases Discussed:</w:t>
      </w:r>
    </w:p>
    <w:p w14:paraId="4FE04F24" w14:textId="57061E64" w:rsidR="00AB0EAA" w:rsidRPr="00AB0EAA" w:rsidRDefault="00AB0EAA" w:rsidP="00AB0EAA">
      <w:pPr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Presumption of Resulting Trusts</w:t>
      </w:r>
    </w:p>
    <w:p w14:paraId="6B490685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Definition</w:t>
      </w:r>
      <w:r w:rsidRPr="00AB0EAA">
        <w:rPr>
          <w:rFonts w:ascii="Times New Roman" w:eastAsiaTheme="minorEastAsia" w:hAnsi="Times New Roman"/>
          <w14:ligatures w14:val="standardContextual"/>
        </w:rPr>
        <w:t>: A resulting trust arises when property is transferred without clear intent for the transferee to take beneficial ownership. The presumption is that the transferor retains the beneficial interest.</w:t>
      </w:r>
    </w:p>
    <w:p w14:paraId="6B8C127A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Historical Basis</w:t>
      </w:r>
      <w:r w:rsidRPr="00AB0EAA">
        <w:rPr>
          <w:rFonts w:ascii="Times New Roman" w:eastAsiaTheme="minorEastAsia" w:hAnsi="Times New Roman"/>
          <w14:ligatures w14:val="standardContextual"/>
        </w:rPr>
        <w:t>:</w:t>
      </w:r>
    </w:p>
    <w:p w14:paraId="77ADBD64" w14:textId="70FDBAB5" w:rsidR="00AB0EAA" w:rsidRPr="00AB0EAA" w:rsidRDefault="00AB0EAA" w:rsidP="00AB0EAA">
      <w:pPr>
        <w:pStyle w:val="ListParagraph"/>
        <w:numPr>
          <w:ilvl w:val="0"/>
          <w:numId w:val="12"/>
        </w:numPr>
        <w:tabs>
          <w:tab w:val="left" w:pos="940"/>
          <w:tab w:val="left" w:pos="144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14:ligatures w14:val="standardContextual"/>
        </w:rPr>
        <w:t>Resulting trusts evolved from "resulting uses" under medieval common law, where land transferred without consideration presumed the grantor retained beneficial ownership.</w:t>
      </w:r>
    </w:p>
    <w:p w14:paraId="5F4794E5" w14:textId="202AAD41" w:rsidR="00AB0EAA" w:rsidRPr="00AB0EAA" w:rsidRDefault="00AB0EAA" w:rsidP="00AB0EAA">
      <w:pPr>
        <w:pStyle w:val="ListParagraph"/>
        <w:numPr>
          <w:ilvl w:val="0"/>
          <w:numId w:val="12"/>
        </w:numPr>
        <w:tabs>
          <w:tab w:val="left" w:pos="940"/>
          <w:tab w:val="left" w:pos="144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i/>
          <w:iCs/>
          <w14:ligatures w14:val="standardContextual"/>
        </w:rPr>
        <w:t xml:space="preserve">Lloyd v. </w:t>
      </w:r>
      <w:proofErr w:type="spellStart"/>
      <w:r w:rsidRPr="00AB0EAA">
        <w:rPr>
          <w:rFonts w:ascii="Times New Roman" w:eastAsiaTheme="minorEastAsia" w:hAnsi="Times New Roman"/>
          <w:i/>
          <w:iCs/>
          <w14:ligatures w14:val="standardContextual"/>
        </w:rPr>
        <w:t>Spillet</w:t>
      </w:r>
      <w:proofErr w:type="spellEnd"/>
      <w:r w:rsidRPr="00AB0EAA">
        <w:rPr>
          <w:rFonts w:ascii="Times New Roman" w:eastAsiaTheme="minorEastAsia" w:hAnsi="Times New Roman"/>
          <w:i/>
          <w:iCs/>
          <w14:ligatures w14:val="standardContextual"/>
        </w:rPr>
        <w:t xml:space="preserve"> (1740)</w:t>
      </w:r>
      <w:r w:rsidRPr="00AB0EAA">
        <w:rPr>
          <w:rFonts w:ascii="Times New Roman" w:eastAsiaTheme="minorEastAsia" w:hAnsi="Times New Roman"/>
          <w14:ligatures w14:val="standardContextual"/>
        </w:rPr>
        <w:t>: Established that resulting trusts arise when an intention to retain beneficial interest is implied from circumstances.</w:t>
      </w:r>
    </w:p>
    <w:p w14:paraId="582800DD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Burden of Proof</w:t>
      </w:r>
      <w:r w:rsidRPr="00AB0EAA">
        <w:rPr>
          <w:rFonts w:ascii="Times New Roman" w:eastAsiaTheme="minorEastAsia" w:hAnsi="Times New Roman"/>
          <w14:ligatures w14:val="standardContextual"/>
        </w:rPr>
        <w:t>: Courts presume a resulting trust unless evidence proves the transfer was intended as a gift.</w:t>
      </w:r>
    </w:p>
    <w:p w14:paraId="11B5F8CD" w14:textId="77777777" w:rsidR="00AB0EAA" w:rsidRPr="00AB0EAA" w:rsidRDefault="00AB0EAA" w:rsidP="00AB0EAA">
      <w:pPr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0D169423" w14:textId="4E8A1492" w:rsidR="00AB0EAA" w:rsidRPr="00AB0EAA" w:rsidRDefault="00AB0EAA" w:rsidP="00AB0EAA">
      <w:pPr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Statute of Frauds and Its Impact</w:t>
      </w:r>
    </w:p>
    <w:p w14:paraId="363DB704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Statutory Requirements</w:t>
      </w:r>
      <w:r w:rsidRPr="00AB0EAA">
        <w:rPr>
          <w:rFonts w:ascii="Times New Roman" w:eastAsiaTheme="minorEastAsia" w:hAnsi="Times New Roman"/>
          <w14:ligatures w14:val="standardContextual"/>
        </w:rPr>
        <w:t>:</w:t>
      </w:r>
    </w:p>
    <w:p w14:paraId="78A2E60C" w14:textId="5D24ACF5" w:rsidR="00AB0EAA" w:rsidRPr="00AB0EAA" w:rsidRDefault="00AB0EAA" w:rsidP="00AB0EAA">
      <w:pPr>
        <w:pStyle w:val="ListParagraph"/>
        <w:numPr>
          <w:ilvl w:val="0"/>
          <w:numId w:val="12"/>
        </w:numPr>
        <w:tabs>
          <w:tab w:val="left" w:pos="940"/>
          <w:tab w:val="left" w:pos="144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14:ligatures w14:val="standardContextual"/>
        </w:rPr>
        <w:t>Section 7 of the Statute of Frauds (29 Charles II c. 3) requires written evidence for express trusts, but exempts trusts "arising by operation of law," including resulting trusts.</w:t>
      </w:r>
    </w:p>
    <w:p w14:paraId="1C605325" w14:textId="099C06DB" w:rsidR="00AB0EAA" w:rsidRPr="00AB0EAA" w:rsidRDefault="00AB0EAA" w:rsidP="00AB0EAA">
      <w:pPr>
        <w:pStyle w:val="ListParagraph"/>
        <w:numPr>
          <w:ilvl w:val="0"/>
          <w:numId w:val="12"/>
        </w:numPr>
        <w:tabs>
          <w:tab w:val="left" w:pos="940"/>
          <w:tab w:val="left" w:pos="144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14:ligatures w14:val="standardContextual"/>
        </w:rPr>
        <w:t>Despite this, some jurisdictions misclassify resulting trusts as express trusts, barring their enforcement under the statute.</w:t>
      </w:r>
    </w:p>
    <w:p w14:paraId="366284CA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Criticism of Judicial Interpretation</w:t>
      </w:r>
      <w:r w:rsidRPr="00AB0EAA">
        <w:rPr>
          <w:rFonts w:ascii="Times New Roman" w:eastAsiaTheme="minorEastAsia" w:hAnsi="Times New Roman"/>
          <w14:ligatures w14:val="standardContextual"/>
        </w:rPr>
        <w:t>:</w:t>
      </w:r>
    </w:p>
    <w:p w14:paraId="7C8D04C2" w14:textId="77777777" w:rsidR="00AB0EAA" w:rsidRPr="00AB0EAA" w:rsidRDefault="00AB0EAA" w:rsidP="00AB0EAA">
      <w:pPr>
        <w:tabs>
          <w:tab w:val="left" w:pos="940"/>
          <w:tab w:val="left" w:pos="144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14:ligatures w14:val="standardContextual"/>
        </w:rPr>
        <w:t>Misclassification of resulting trusts as "constructive trusts" causes confusion and unjustly limits their enforceability under equity.</w:t>
      </w:r>
    </w:p>
    <w:p w14:paraId="48FC7C57" w14:textId="77777777" w:rsidR="00AB0EAA" w:rsidRDefault="00AB0EAA" w:rsidP="00AB0EAA">
      <w:pPr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5992455B" w14:textId="77777777" w:rsidR="00AB0EAA" w:rsidRPr="00AB0EAA" w:rsidRDefault="00AB0EAA" w:rsidP="00AB0EAA">
      <w:pPr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193AE4CF" w14:textId="440471DF" w:rsidR="00AB0EAA" w:rsidRPr="00AB0EAA" w:rsidRDefault="00AB0EAA" w:rsidP="00AB0EAA">
      <w:pPr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Case Analysis</w:t>
      </w:r>
    </w:p>
    <w:p w14:paraId="03688C74" w14:textId="293F119A" w:rsidR="00AB0EAA" w:rsidRPr="00AB0EAA" w:rsidRDefault="00AB0EAA" w:rsidP="00AB0EAA">
      <w:pPr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Hutchins v. Lee (1737):</w:t>
      </w:r>
    </w:p>
    <w:p w14:paraId="5CE0FAE8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Facts</w:t>
      </w:r>
      <w:r w:rsidRPr="00AB0EAA">
        <w:rPr>
          <w:rFonts w:ascii="Times New Roman" w:eastAsiaTheme="minorEastAsia" w:hAnsi="Times New Roman"/>
          <w14:ligatures w14:val="standardContextual"/>
        </w:rPr>
        <w:t xml:space="preserve">: A conveyed land to B under a </w:t>
      </w:r>
      <w:proofErr w:type="spellStart"/>
      <w:r w:rsidRPr="00AB0EAA">
        <w:rPr>
          <w:rFonts w:ascii="Times New Roman" w:eastAsiaTheme="minorEastAsia" w:hAnsi="Times New Roman"/>
          <w14:ligatures w14:val="standardContextual"/>
        </w:rPr>
        <w:t>parol</w:t>
      </w:r>
      <w:proofErr w:type="spellEnd"/>
      <w:r w:rsidRPr="00AB0EAA">
        <w:rPr>
          <w:rFonts w:ascii="Times New Roman" w:eastAsiaTheme="minorEastAsia" w:hAnsi="Times New Roman"/>
          <w14:ligatures w14:val="standardContextual"/>
        </w:rPr>
        <w:t xml:space="preserve"> (oral) agreement that B would hold it in trust for A.</w:t>
      </w:r>
    </w:p>
    <w:p w14:paraId="3E067C09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Held</w:t>
      </w:r>
      <w:r w:rsidRPr="00AB0EAA">
        <w:rPr>
          <w:rFonts w:ascii="Times New Roman" w:eastAsiaTheme="minorEastAsia" w:hAnsi="Times New Roman"/>
          <w14:ligatures w14:val="standardContextual"/>
        </w:rPr>
        <w:t>: The Statute of Frauds barred enforcement of the trust because it was not in writing.</w:t>
      </w:r>
    </w:p>
    <w:p w14:paraId="19D13260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Reasoning</w:t>
      </w:r>
      <w:r w:rsidRPr="00AB0EAA">
        <w:rPr>
          <w:rFonts w:ascii="Times New Roman" w:eastAsiaTheme="minorEastAsia" w:hAnsi="Times New Roman"/>
          <w14:ligatures w14:val="standardContextual"/>
        </w:rPr>
        <w:t>: The court conflated resulting and express trusts, treating them as equally subject to the statute's formalities.</w:t>
      </w:r>
    </w:p>
    <w:p w14:paraId="09863CD5" w14:textId="632371A6" w:rsidR="00AB0EAA" w:rsidRPr="00AB0EAA" w:rsidRDefault="00AB0EAA" w:rsidP="00AB0EAA">
      <w:pPr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Rochefoucauld v. Boustead (1897):</w:t>
      </w:r>
    </w:p>
    <w:p w14:paraId="7DD87471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Facts</w:t>
      </w:r>
      <w:r w:rsidRPr="00AB0EAA">
        <w:rPr>
          <w:rFonts w:ascii="Times New Roman" w:eastAsiaTheme="minorEastAsia" w:hAnsi="Times New Roman"/>
          <w14:ligatures w14:val="standardContextual"/>
        </w:rPr>
        <w:t>: A trustee refused to reconvey land held under an oral trust for the transferor.</w:t>
      </w:r>
    </w:p>
    <w:p w14:paraId="73F814AD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Held</w:t>
      </w:r>
      <w:r w:rsidRPr="00AB0EAA">
        <w:rPr>
          <w:rFonts w:ascii="Times New Roman" w:eastAsiaTheme="minorEastAsia" w:hAnsi="Times New Roman"/>
          <w14:ligatures w14:val="standardContextual"/>
        </w:rPr>
        <w:t>: Equity enforced the trust, ruling that the Statute of Frauds could not be used to perpetrate fraud.</w:t>
      </w:r>
    </w:p>
    <w:p w14:paraId="0F3E13D5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Significance</w:t>
      </w:r>
      <w:r w:rsidRPr="00AB0EAA">
        <w:rPr>
          <w:rFonts w:ascii="Times New Roman" w:eastAsiaTheme="minorEastAsia" w:hAnsi="Times New Roman"/>
          <w14:ligatures w14:val="standardContextual"/>
        </w:rPr>
        <w:t>: Demonstrates equity’s flexibility in addressing fraudulent conduct, even when formal requirements are unmet.</w:t>
      </w:r>
    </w:p>
    <w:p w14:paraId="5B8B83E8" w14:textId="28ACE610" w:rsidR="00AB0EAA" w:rsidRPr="00AB0EAA" w:rsidRDefault="00AB0EAA" w:rsidP="00AB0EAA">
      <w:pPr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3. </w:t>
      </w: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Dyer v. Dyer (1788):</w:t>
      </w:r>
    </w:p>
    <w:p w14:paraId="12503799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Facts</w:t>
      </w:r>
      <w:r w:rsidRPr="00AB0EAA">
        <w:rPr>
          <w:rFonts w:ascii="Times New Roman" w:eastAsiaTheme="minorEastAsia" w:hAnsi="Times New Roman"/>
          <w14:ligatures w14:val="standardContextual"/>
        </w:rPr>
        <w:t>: A purchased property in B’s name without written trust terms.</w:t>
      </w:r>
    </w:p>
    <w:p w14:paraId="2A7193AB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Held</w:t>
      </w:r>
      <w:r w:rsidRPr="00AB0EAA">
        <w:rPr>
          <w:rFonts w:ascii="Times New Roman" w:eastAsiaTheme="minorEastAsia" w:hAnsi="Times New Roman"/>
          <w14:ligatures w14:val="standardContextual"/>
        </w:rPr>
        <w:t xml:space="preserve">: A resulting trust was presumed in </w:t>
      </w:r>
      <w:proofErr w:type="spellStart"/>
      <w:r w:rsidRPr="00AB0EAA">
        <w:rPr>
          <w:rFonts w:ascii="Times New Roman" w:eastAsiaTheme="minorEastAsia" w:hAnsi="Times New Roman"/>
          <w14:ligatures w14:val="standardContextual"/>
        </w:rPr>
        <w:t>favor</w:t>
      </w:r>
      <w:proofErr w:type="spellEnd"/>
      <w:r w:rsidRPr="00AB0EAA">
        <w:rPr>
          <w:rFonts w:ascii="Times New Roman" w:eastAsiaTheme="minorEastAsia" w:hAnsi="Times New Roman"/>
          <w14:ligatures w14:val="standardContextual"/>
        </w:rPr>
        <w:t xml:space="preserve"> of A.</w:t>
      </w:r>
    </w:p>
    <w:p w14:paraId="623ACB9B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Reasoning</w:t>
      </w:r>
      <w:r w:rsidRPr="00AB0EAA">
        <w:rPr>
          <w:rFonts w:ascii="Times New Roman" w:eastAsiaTheme="minorEastAsia" w:hAnsi="Times New Roman"/>
          <w14:ligatures w14:val="standardContextual"/>
        </w:rPr>
        <w:t>: The lack of consideration and absence of contrary evidence supported the presumption that A retained beneficial ownership.</w:t>
      </w:r>
    </w:p>
    <w:p w14:paraId="04A1D3E7" w14:textId="106E3793" w:rsidR="00AB0EAA" w:rsidRPr="00AB0EAA" w:rsidRDefault="00AB0EAA" w:rsidP="00AB0EAA">
      <w:pPr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4. </w:t>
      </w:r>
      <w:proofErr w:type="spellStart"/>
      <w:r w:rsidRPr="00AB0EAA">
        <w:rPr>
          <w:rFonts w:ascii="Times New Roman" w:eastAsiaTheme="minorEastAsia" w:hAnsi="Times New Roman"/>
          <w:b/>
          <w:bCs/>
          <w14:ligatures w14:val="standardContextual"/>
        </w:rPr>
        <w:t>Westdeutsche</w:t>
      </w:r>
      <w:proofErr w:type="spellEnd"/>
      <w:r w:rsidRPr="00AB0EAA">
        <w:rPr>
          <w:rFonts w:ascii="Times New Roman" w:eastAsiaTheme="minorEastAsia" w:hAnsi="Times New Roman"/>
          <w:b/>
          <w:bCs/>
          <w14:ligatures w14:val="standardContextual"/>
        </w:rPr>
        <w:t xml:space="preserve"> </w:t>
      </w:r>
      <w:proofErr w:type="spellStart"/>
      <w:r w:rsidRPr="00AB0EAA">
        <w:rPr>
          <w:rFonts w:ascii="Times New Roman" w:eastAsiaTheme="minorEastAsia" w:hAnsi="Times New Roman"/>
          <w:b/>
          <w:bCs/>
          <w14:ligatures w14:val="standardContextual"/>
        </w:rPr>
        <w:t>Landesbank</w:t>
      </w:r>
      <w:proofErr w:type="spellEnd"/>
      <w:r w:rsidRPr="00AB0EAA">
        <w:rPr>
          <w:rFonts w:ascii="Times New Roman" w:eastAsiaTheme="minorEastAsia" w:hAnsi="Times New Roman"/>
          <w:b/>
          <w:bCs/>
          <w14:ligatures w14:val="standardContextual"/>
        </w:rPr>
        <w:t xml:space="preserve"> </w:t>
      </w:r>
      <w:proofErr w:type="spellStart"/>
      <w:r w:rsidRPr="00AB0EAA">
        <w:rPr>
          <w:rFonts w:ascii="Times New Roman" w:eastAsiaTheme="minorEastAsia" w:hAnsi="Times New Roman"/>
          <w:b/>
          <w:bCs/>
          <w14:ligatures w14:val="standardContextual"/>
        </w:rPr>
        <w:t>Girozentrale</w:t>
      </w:r>
      <w:proofErr w:type="spellEnd"/>
      <w:r w:rsidRPr="00AB0EAA">
        <w:rPr>
          <w:rFonts w:ascii="Times New Roman" w:eastAsiaTheme="minorEastAsia" w:hAnsi="Times New Roman"/>
          <w:b/>
          <w:bCs/>
          <w14:ligatures w14:val="standardContextual"/>
        </w:rPr>
        <w:t xml:space="preserve"> v. Islington LBC (1996):</w:t>
      </w:r>
    </w:p>
    <w:p w14:paraId="4F4AE92F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Facts</w:t>
      </w:r>
      <w:r w:rsidRPr="00AB0EAA">
        <w:rPr>
          <w:rFonts w:ascii="Times New Roman" w:eastAsiaTheme="minorEastAsia" w:hAnsi="Times New Roman"/>
          <w14:ligatures w14:val="standardContextual"/>
        </w:rPr>
        <w:t>: A bank sought to impose a resulting trust on funds mistakenly paid under a void contract.</w:t>
      </w:r>
    </w:p>
    <w:p w14:paraId="07E0869F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Held</w:t>
      </w:r>
      <w:r w:rsidRPr="00AB0EAA">
        <w:rPr>
          <w:rFonts w:ascii="Times New Roman" w:eastAsiaTheme="minorEastAsia" w:hAnsi="Times New Roman"/>
          <w14:ligatures w14:val="standardContextual"/>
        </w:rPr>
        <w:t>: No resulting trust arose because the transferee (Islington LBC) lacked knowledge of the mistake, precluding a trust relationship.</w:t>
      </w:r>
    </w:p>
    <w:p w14:paraId="4B992D5F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Reasoning</w:t>
      </w:r>
      <w:r w:rsidRPr="00AB0EAA">
        <w:rPr>
          <w:rFonts w:ascii="Times New Roman" w:eastAsiaTheme="minorEastAsia" w:hAnsi="Times New Roman"/>
          <w14:ligatures w14:val="standardContextual"/>
        </w:rPr>
        <w:t>: Equity requires a trustee to have knowledge affecting their conscience. Without such knowledge, neither a resulting nor a constructive trust applies.</w:t>
      </w:r>
    </w:p>
    <w:p w14:paraId="4E6E6469" w14:textId="77777777" w:rsidR="00AB0EAA" w:rsidRPr="00AB0EAA" w:rsidRDefault="00AB0EAA" w:rsidP="00AB0EAA">
      <w:pPr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7C0EF43F" w14:textId="39391ADD" w:rsidR="00AB0EAA" w:rsidRPr="00AB0EAA" w:rsidRDefault="00AB0EAA" w:rsidP="00AB0EAA">
      <w:pPr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Equity's Role in Constructive Trusts</w:t>
      </w:r>
    </w:p>
    <w:p w14:paraId="64BD0880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Constructive Trusts vs. Resulting Trusts</w:t>
      </w:r>
      <w:r w:rsidRPr="00AB0EAA">
        <w:rPr>
          <w:rFonts w:ascii="Times New Roman" w:eastAsiaTheme="minorEastAsia" w:hAnsi="Times New Roman"/>
          <w14:ligatures w14:val="standardContextual"/>
        </w:rPr>
        <w:t>:</w:t>
      </w:r>
    </w:p>
    <w:p w14:paraId="42FBFAD4" w14:textId="2ED7B561" w:rsidR="00AB0EAA" w:rsidRPr="00AB0EAA" w:rsidRDefault="00AB0EAA" w:rsidP="00AB0EAA">
      <w:pPr>
        <w:tabs>
          <w:tab w:val="left" w:pos="940"/>
          <w:tab w:val="left" w:pos="144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Pr="00AB0EAA">
        <w:rPr>
          <w:rFonts w:ascii="Times New Roman" w:eastAsiaTheme="minorEastAsia" w:hAnsi="Times New Roman"/>
          <w14:ligatures w14:val="standardContextual"/>
        </w:rPr>
        <w:t>Constructive trusts address unjust enrichment or fraud, imposed regardless of intention.</w:t>
      </w:r>
    </w:p>
    <w:p w14:paraId="57D2792C" w14:textId="78C7F744" w:rsidR="00AB0EAA" w:rsidRPr="00AB0EAA" w:rsidRDefault="00AB0EAA" w:rsidP="00AB0EAA">
      <w:pPr>
        <w:tabs>
          <w:tab w:val="left" w:pos="940"/>
          <w:tab w:val="left" w:pos="144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Pr="00AB0EAA">
        <w:rPr>
          <w:rFonts w:ascii="Times New Roman" w:eastAsiaTheme="minorEastAsia" w:hAnsi="Times New Roman"/>
          <w14:ligatures w14:val="standardContextual"/>
        </w:rPr>
        <w:t>Resulting trusts reflect presumed intention, requiring evidence of the transferor’s lack of intent to gift.</w:t>
      </w:r>
    </w:p>
    <w:p w14:paraId="407F64E0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Case Support</w:t>
      </w:r>
      <w:r w:rsidRPr="00AB0EAA">
        <w:rPr>
          <w:rFonts w:ascii="Times New Roman" w:eastAsiaTheme="minorEastAsia" w:hAnsi="Times New Roman"/>
          <w14:ligatures w14:val="standardContextual"/>
        </w:rPr>
        <w:t>:</w:t>
      </w:r>
    </w:p>
    <w:p w14:paraId="724DC1AF" w14:textId="4DC4C65D" w:rsidR="00AB0EAA" w:rsidRPr="00AB0EAA" w:rsidRDefault="00AB0EAA" w:rsidP="00AB0EAA">
      <w:pPr>
        <w:tabs>
          <w:tab w:val="left" w:pos="940"/>
          <w:tab w:val="left" w:pos="144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i/>
          <w:iCs/>
          <w14:ligatures w14:val="standardContextual"/>
        </w:rPr>
        <w:t xml:space="preserve">1. </w:t>
      </w:r>
      <w:proofErr w:type="spellStart"/>
      <w:r w:rsidRPr="00AB0EAA">
        <w:rPr>
          <w:rFonts w:ascii="Times New Roman" w:eastAsiaTheme="minorEastAsia" w:hAnsi="Times New Roman"/>
          <w:i/>
          <w:iCs/>
          <w14:ligatures w14:val="standardContextual"/>
        </w:rPr>
        <w:t>Brison</w:t>
      </w:r>
      <w:proofErr w:type="spellEnd"/>
      <w:r w:rsidRPr="00AB0EAA">
        <w:rPr>
          <w:rFonts w:ascii="Times New Roman" w:eastAsiaTheme="minorEastAsia" w:hAnsi="Times New Roman"/>
          <w:i/>
          <w:iCs/>
          <w14:ligatures w14:val="standardContextual"/>
        </w:rPr>
        <w:t xml:space="preserve"> v. </w:t>
      </w:r>
      <w:proofErr w:type="spellStart"/>
      <w:r w:rsidRPr="00AB0EAA">
        <w:rPr>
          <w:rFonts w:ascii="Times New Roman" w:eastAsiaTheme="minorEastAsia" w:hAnsi="Times New Roman"/>
          <w:i/>
          <w:iCs/>
          <w14:ligatures w14:val="standardContextual"/>
        </w:rPr>
        <w:t>Brison</w:t>
      </w:r>
      <w:proofErr w:type="spellEnd"/>
      <w:r w:rsidRPr="00AB0EAA">
        <w:rPr>
          <w:rFonts w:ascii="Times New Roman" w:eastAsiaTheme="minorEastAsia" w:hAnsi="Times New Roman"/>
          <w:i/>
          <w:iCs/>
          <w14:ligatures w14:val="standardContextual"/>
        </w:rPr>
        <w:t xml:space="preserve"> (1888)</w:t>
      </w:r>
      <w:r w:rsidRPr="00AB0EAA">
        <w:rPr>
          <w:rFonts w:ascii="Times New Roman" w:eastAsiaTheme="minorEastAsia" w:hAnsi="Times New Roman"/>
          <w14:ligatures w14:val="standardContextual"/>
        </w:rPr>
        <w:t>: Recognized constructive trusts in cases where fraudulent conduct by the transferee justified restitution.</w:t>
      </w:r>
    </w:p>
    <w:p w14:paraId="2C0C4E63" w14:textId="7FBCC6D1" w:rsidR="00AB0EAA" w:rsidRPr="00AB0EAA" w:rsidRDefault="00AB0EAA" w:rsidP="00AB0EAA">
      <w:pPr>
        <w:tabs>
          <w:tab w:val="left" w:pos="940"/>
          <w:tab w:val="left" w:pos="144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i/>
          <w:iCs/>
          <w14:ligatures w14:val="standardContextual"/>
        </w:rPr>
        <w:t xml:space="preserve">2. </w:t>
      </w:r>
      <w:r w:rsidRPr="00AB0EAA">
        <w:rPr>
          <w:rFonts w:ascii="Times New Roman" w:eastAsiaTheme="minorEastAsia" w:hAnsi="Times New Roman"/>
          <w:i/>
          <w:iCs/>
          <w14:ligatures w14:val="standardContextual"/>
        </w:rPr>
        <w:t>Patton v. Beecher (1878)</w:t>
      </w:r>
      <w:r w:rsidRPr="00AB0EAA">
        <w:rPr>
          <w:rFonts w:ascii="Times New Roman" w:eastAsiaTheme="minorEastAsia" w:hAnsi="Times New Roman"/>
          <w14:ligatures w14:val="standardContextual"/>
        </w:rPr>
        <w:t>: Highlighted courts’ reluctance to enforce oral trusts under the Statute of Frauds, even in the face of injustice.</w:t>
      </w:r>
    </w:p>
    <w:p w14:paraId="6F27F086" w14:textId="77777777" w:rsidR="00AB0EAA" w:rsidRPr="00AB0EAA" w:rsidRDefault="00AB0EAA" w:rsidP="00AB0EAA">
      <w:pPr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6A43263C" w14:textId="21B75374" w:rsidR="00AB0EAA" w:rsidRPr="00AB0EAA" w:rsidRDefault="00AB0EAA" w:rsidP="00AB0EAA">
      <w:pPr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Misinterpretation and Reform</w:t>
      </w:r>
    </w:p>
    <w:p w14:paraId="2D1EB8AB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Judicial Hesitation</w:t>
      </w:r>
      <w:r w:rsidRPr="00AB0EAA">
        <w:rPr>
          <w:rFonts w:ascii="Times New Roman" w:eastAsiaTheme="minorEastAsia" w:hAnsi="Times New Roman"/>
          <w14:ligatures w14:val="standardContextual"/>
        </w:rPr>
        <w:t>:</w:t>
      </w:r>
    </w:p>
    <w:p w14:paraId="0E9F4F0B" w14:textId="77777777" w:rsidR="00AB0EAA" w:rsidRPr="00AB0EAA" w:rsidRDefault="00AB0EAA" w:rsidP="00AB0EAA">
      <w:pPr>
        <w:tabs>
          <w:tab w:val="left" w:pos="940"/>
          <w:tab w:val="left" w:pos="144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14:ligatures w14:val="standardContextual"/>
        </w:rPr>
        <w:t>Courts often avoid declaring resulting trusts due to statutory formalities, even when equity supports restitution.</w:t>
      </w:r>
    </w:p>
    <w:p w14:paraId="10A80116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Proposed Solution</w:t>
      </w:r>
      <w:r w:rsidRPr="00AB0EAA">
        <w:rPr>
          <w:rFonts w:ascii="Times New Roman" w:eastAsiaTheme="minorEastAsia" w:hAnsi="Times New Roman"/>
          <w14:ligatures w14:val="standardContextual"/>
        </w:rPr>
        <w:t>:</w:t>
      </w:r>
    </w:p>
    <w:p w14:paraId="183E634A" w14:textId="26B12079" w:rsidR="00AB0EAA" w:rsidRPr="00AB0EAA" w:rsidRDefault="00AB0EAA" w:rsidP="00AB0EAA">
      <w:pPr>
        <w:tabs>
          <w:tab w:val="left" w:pos="940"/>
          <w:tab w:val="left" w:pos="144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Pr="00AB0EAA">
        <w:rPr>
          <w:rFonts w:ascii="Times New Roman" w:eastAsiaTheme="minorEastAsia" w:hAnsi="Times New Roman"/>
          <w14:ligatures w14:val="standardContextual"/>
        </w:rPr>
        <w:t>A clear distinction between resulting and express trusts should guide statutory application, ensuring resulting trusts remain enforceable as equitable remedies.</w:t>
      </w:r>
    </w:p>
    <w:p w14:paraId="2C73CD80" w14:textId="0E73CD92" w:rsidR="00AB0EAA" w:rsidRPr="00AB0EAA" w:rsidRDefault="00AB0EAA" w:rsidP="00AB0EAA">
      <w:pPr>
        <w:tabs>
          <w:tab w:val="left" w:pos="940"/>
          <w:tab w:val="left" w:pos="144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lastRenderedPageBreak/>
        <w:t xml:space="preserve">2. </w:t>
      </w:r>
      <w:r w:rsidRPr="00AB0EAA">
        <w:rPr>
          <w:rFonts w:ascii="Times New Roman" w:eastAsiaTheme="minorEastAsia" w:hAnsi="Times New Roman"/>
          <w14:ligatures w14:val="standardContextual"/>
        </w:rPr>
        <w:t>Constructive trusts should be used in cases of fraud or unjust enrichment to prevent inequitable outcomes.</w:t>
      </w:r>
    </w:p>
    <w:p w14:paraId="719F6324" w14:textId="77777777" w:rsidR="00AB0EAA" w:rsidRPr="00AB0EAA" w:rsidRDefault="00AB0EAA" w:rsidP="00AB0EAA">
      <w:pPr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0AAB4C66" w14:textId="77777777" w:rsidR="00AB0EAA" w:rsidRPr="00AB0EAA" w:rsidRDefault="00AB0EAA" w:rsidP="00AB0EAA">
      <w:pPr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Scholarly Opinions:</w:t>
      </w:r>
    </w:p>
    <w:p w14:paraId="689EA351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Harlan F. Stone (Author)</w:t>
      </w:r>
      <w:r w:rsidRPr="00AB0EAA">
        <w:rPr>
          <w:rFonts w:ascii="Times New Roman" w:eastAsiaTheme="minorEastAsia" w:hAnsi="Times New Roman"/>
          <w14:ligatures w14:val="standardContextual"/>
        </w:rPr>
        <w:t>:</w:t>
      </w:r>
    </w:p>
    <w:p w14:paraId="28EC5875" w14:textId="200E7021" w:rsidR="00AB0EAA" w:rsidRPr="00AB0EAA" w:rsidRDefault="00AB0EAA" w:rsidP="00AB0EAA">
      <w:pPr>
        <w:pStyle w:val="ListParagraph"/>
        <w:numPr>
          <w:ilvl w:val="0"/>
          <w:numId w:val="12"/>
        </w:numPr>
        <w:tabs>
          <w:tab w:val="left" w:pos="940"/>
          <w:tab w:val="left" w:pos="144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14:ligatures w14:val="standardContextual"/>
        </w:rPr>
        <w:t>Criticizes courts for conflating resulting and express trusts, leading to unjust results.</w:t>
      </w:r>
    </w:p>
    <w:p w14:paraId="0E0A47EA" w14:textId="19122F2C" w:rsidR="00AB0EAA" w:rsidRPr="00AB0EAA" w:rsidRDefault="00AB0EAA" w:rsidP="00AB0EAA">
      <w:pPr>
        <w:pStyle w:val="ListParagraph"/>
        <w:numPr>
          <w:ilvl w:val="0"/>
          <w:numId w:val="12"/>
        </w:numPr>
        <w:tabs>
          <w:tab w:val="left" w:pos="940"/>
          <w:tab w:val="left" w:pos="144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14:ligatures w14:val="standardContextual"/>
        </w:rPr>
        <w:t>Argues that the Statute of Frauds should not preclude resulting trusts, as they arise "by operation of law."</w:t>
      </w:r>
    </w:p>
    <w:p w14:paraId="3B759375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Support from Equity Principles</w:t>
      </w:r>
      <w:r w:rsidRPr="00AB0EAA">
        <w:rPr>
          <w:rFonts w:ascii="Times New Roman" w:eastAsiaTheme="minorEastAsia" w:hAnsi="Times New Roman"/>
          <w14:ligatures w14:val="standardContextual"/>
        </w:rPr>
        <w:t>:</w:t>
      </w:r>
    </w:p>
    <w:p w14:paraId="28A6B2DE" w14:textId="77777777" w:rsidR="00AB0EAA" w:rsidRPr="00AB0EAA" w:rsidRDefault="00AB0EAA" w:rsidP="00AB0EAA">
      <w:pPr>
        <w:tabs>
          <w:tab w:val="left" w:pos="940"/>
          <w:tab w:val="left" w:pos="144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14:ligatures w14:val="standardContextual"/>
        </w:rPr>
        <w:t>Equity’s primary aim is to prevent unconscionable conduct. The imposition of constructive trusts aligns with this goal, particularly when statutory formalities hinder justice.</w:t>
      </w:r>
    </w:p>
    <w:p w14:paraId="1E28AD71" w14:textId="77777777" w:rsidR="00AB0EAA" w:rsidRPr="00AB0EAA" w:rsidRDefault="00AB0EAA" w:rsidP="00AB0EA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:b/>
          <w:bCs/>
          <w14:ligatures w14:val="standardContextual"/>
        </w:rPr>
        <w:t>Critique of Rigid Application</w:t>
      </w:r>
      <w:r w:rsidRPr="00AB0EAA">
        <w:rPr>
          <w:rFonts w:ascii="Times New Roman" w:eastAsiaTheme="minorEastAsia" w:hAnsi="Times New Roman"/>
          <w14:ligatures w14:val="standardContextual"/>
        </w:rPr>
        <w:t>:</w:t>
      </w:r>
    </w:p>
    <w:p w14:paraId="199283C5" w14:textId="77777777" w:rsidR="00AB0EAA" w:rsidRPr="00AB0EAA" w:rsidRDefault="00AB0EAA" w:rsidP="00AB0EAA">
      <w:pPr>
        <w:tabs>
          <w:tab w:val="left" w:pos="940"/>
          <w:tab w:val="left" w:pos="144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B0EAA">
        <w:rPr>
          <w:rFonts w:ascii="Times New Roman" w:eastAsiaTheme="minorEastAsia" w:hAnsi="Times New Roman"/>
          <w14:ligatures w14:val="standardContextual"/>
        </w:rPr>
        <w:t xml:space="preserve">Scholars like Lord Browne-Wilkinson (in </w:t>
      </w:r>
      <w:proofErr w:type="spellStart"/>
      <w:r w:rsidRPr="00AB0EAA">
        <w:rPr>
          <w:rFonts w:ascii="Times New Roman" w:eastAsiaTheme="minorEastAsia" w:hAnsi="Times New Roman"/>
          <w:i/>
          <w:iCs/>
          <w14:ligatures w14:val="standardContextual"/>
        </w:rPr>
        <w:t>Westdeutsche</w:t>
      </w:r>
      <w:proofErr w:type="spellEnd"/>
      <w:r w:rsidRPr="00AB0EAA">
        <w:rPr>
          <w:rFonts w:ascii="Times New Roman" w:eastAsiaTheme="minorEastAsia" w:hAnsi="Times New Roman"/>
          <w14:ligatures w14:val="standardContextual"/>
        </w:rPr>
        <w:t>) emphasize the importance of knowledge and intention in defining trust obligations, rejecting mechanical applications of trust doctrines.</w:t>
      </w:r>
    </w:p>
    <w:p w14:paraId="7EA43F12" w14:textId="77777777" w:rsidR="00CD39F1" w:rsidRPr="00AB0EAA" w:rsidRDefault="00CD39F1" w:rsidP="00AB0EAA">
      <w:pPr>
        <w:spacing w:before="240" w:after="240" w:line="360" w:lineRule="auto"/>
        <w:rPr>
          <w:rFonts w:ascii="Times New Roman" w:hAnsi="Times New Roman"/>
        </w:rPr>
      </w:pPr>
    </w:p>
    <w:sectPr w:rsidR="00CD39F1" w:rsidRPr="00AB0EAA" w:rsidSect="00AB0EA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000025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000002B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decimal"/>
      <w:lvlText w:val="%1"/>
      <w:lvlJc w:val="left"/>
      <w:pPr>
        <w:ind w:left="720" w:hanging="360"/>
      </w:pPr>
    </w:lvl>
    <w:lvl w:ilvl="1" w:tplc="0000032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9F520DC"/>
    <w:multiLevelType w:val="hybridMultilevel"/>
    <w:tmpl w:val="7D78DA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C02DD1"/>
    <w:multiLevelType w:val="hybridMultilevel"/>
    <w:tmpl w:val="66FC63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7D4065"/>
    <w:multiLevelType w:val="hybridMultilevel"/>
    <w:tmpl w:val="357C2FEE"/>
    <w:lvl w:ilvl="0" w:tplc="CBE6B2D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915829">
    <w:abstractNumId w:val="0"/>
  </w:num>
  <w:num w:numId="2" w16cid:durableId="1214347692">
    <w:abstractNumId w:val="1"/>
  </w:num>
  <w:num w:numId="3" w16cid:durableId="95711004">
    <w:abstractNumId w:val="2"/>
  </w:num>
  <w:num w:numId="4" w16cid:durableId="1367297006">
    <w:abstractNumId w:val="3"/>
  </w:num>
  <w:num w:numId="5" w16cid:durableId="619530127">
    <w:abstractNumId w:val="4"/>
  </w:num>
  <w:num w:numId="6" w16cid:durableId="1898589156">
    <w:abstractNumId w:val="5"/>
  </w:num>
  <w:num w:numId="7" w16cid:durableId="131363993">
    <w:abstractNumId w:val="6"/>
  </w:num>
  <w:num w:numId="8" w16cid:durableId="1684430948">
    <w:abstractNumId w:val="7"/>
  </w:num>
  <w:num w:numId="9" w16cid:durableId="493452161">
    <w:abstractNumId w:val="8"/>
  </w:num>
  <w:num w:numId="10" w16cid:durableId="1654022130">
    <w:abstractNumId w:val="9"/>
  </w:num>
  <w:num w:numId="11" w16cid:durableId="1588034372">
    <w:abstractNumId w:val="10"/>
  </w:num>
  <w:num w:numId="12" w16cid:durableId="3711499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D2A"/>
    <w:rsid w:val="000147A9"/>
    <w:rsid w:val="00042755"/>
    <w:rsid w:val="0006107D"/>
    <w:rsid w:val="000623A3"/>
    <w:rsid w:val="00094D65"/>
    <w:rsid w:val="000A2074"/>
    <w:rsid w:val="000A3F4D"/>
    <w:rsid w:val="000C4ABC"/>
    <w:rsid w:val="000C58D7"/>
    <w:rsid w:val="000E15ED"/>
    <w:rsid w:val="00101CCF"/>
    <w:rsid w:val="0019260C"/>
    <w:rsid w:val="001B0E31"/>
    <w:rsid w:val="001D360C"/>
    <w:rsid w:val="001E2584"/>
    <w:rsid w:val="00223837"/>
    <w:rsid w:val="00243CED"/>
    <w:rsid w:val="00257540"/>
    <w:rsid w:val="0026510F"/>
    <w:rsid w:val="002D715D"/>
    <w:rsid w:val="002E46F2"/>
    <w:rsid w:val="002F1DB1"/>
    <w:rsid w:val="002F53C9"/>
    <w:rsid w:val="003048A0"/>
    <w:rsid w:val="0031138E"/>
    <w:rsid w:val="0031474F"/>
    <w:rsid w:val="00315815"/>
    <w:rsid w:val="003278F5"/>
    <w:rsid w:val="00330665"/>
    <w:rsid w:val="00361975"/>
    <w:rsid w:val="00376E23"/>
    <w:rsid w:val="0039416B"/>
    <w:rsid w:val="003A1271"/>
    <w:rsid w:val="003A5DF7"/>
    <w:rsid w:val="003E1CAA"/>
    <w:rsid w:val="0040210F"/>
    <w:rsid w:val="004222FD"/>
    <w:rsid w:val="004319FA"/>
    <w:rsid w:val="0048097D"/>
    <w:rsid w:val="0048175B"/>
    <w:rsid w:val="004845CE"/>
    <w:rsid w:val="004B1048"/>
    <w:rsid w:val="004D01FE"/>
    <w:rsid w:val="004E458E"/>
    <w:rsid w:val="004F0E12"/>
    <w:rsid w:val="004F5A36"/>
    <w:rsid w:val="00542B57"/>
    <w:rsid w:val="00557B52"/>
    <w:rsid w:val="0058416B"/>
    <w:rsid w:val="00595357"/>
    <w:rsid w:val="005C50B3"/>
    <w:rsid w:val="005D57DA"/>
    <w:rsid w:val="005E7702"/>
    <w:rsid w:val="00605F8E"/>
    <w:rsid w:val="00650543"/>
    <w:rsid w:val="00654D8B"/>
    <w:rsid w:val="00661136"/>
    <w:rsid w:val="0068027B"/>
    <w:rsid w:val="006C42B8"/>
    <w:rsid w:val="006C50C7"/>
    <w:rsid w:val="00713CA9"/>
    <w:rsid w:val="007455C6"/>
    <w:rsid w:val="007475C7"/>
    <w:rsid w:val="0075265A"/>
    <w:rsid w:val="0075498E"/>
    <w:rsid w:val="00757BE5"/>
    <w:rsid w:val="00760E46"/>
    <w:rsid w:val="007643D2"/>
    <w:rsid w:val="007678B2"/>
    <w:rsid w:val="0078776B"/>
    <w:rsid w:val="00796A93"/>
    <w:rsid w:val="007E1559"/>
    <w:rsid w:val="007F776E"/>
    <w:rsid w:val="00830C88"/>
    <w:rsid w:val="00861B11"/>
    <w:rsid w:val="008829C2"/>
    <w:rsid w:val="008A54BE"/>
    <w:rsid w:val="008C7B0A"/>
    <w:rsid w:val="008D0642"/>
    <w:rsid w:val="008E745B"/>
    <w:rsid w:val="008F4EA7"/>
    <w:rsid w:val="008F5A10"/>
    <w:rsid w:val="00905ED0"/>
    <w:rsid w:val="0093405B"/>
    <w:rsid w:val="00966189"/>
    <w:rsid w:val="00974434"/>
    <w:rsid w:val="00977514"/>
    <w:rsid w:val="009A48B0"/>
    <w:rsid w:val="009B24D6"/>
    <w:rsid w:val="009B2F21"/>
    <w:rsid w:val="009C6498"/>
    <w:rsid w:val="009E62AF"/>
    <w:rsid w:val="00A03BBD"/>
    <w:rsid w:val="00A10D2A"/>
    <w:rsid w:val="00A37AB0"/>
    <w:rsid w:val="00A4085F"/>
    <w:rsid w:val="00A45953"/>
    <w:rsid w:val="00A93FBA"/>
    <w:rsid w:val="00A95C7E"/>
    <w:rsid w:val="00AB0EAA"/>
    <w:rsid w:val="00AB609D"/>
    <w:rsid w:val="00AC3AB8"/>
    <w:rsid w:val="00AE4348"/>
    <w:rsid w:val="00AE4BAF"/>
    <w:rsid w:val="00B02007"/>
    <w:rsid w:val="00B03D5A"/>
    <w:rsid w:val="00B23297"/>
    <w:rsid w:val="00B360EE"/>
    <w:rsid w:val="00B53B6F"/>
    <w:rsid w:val="00B651D9"/>
    <w:rsid w:val="00B67231"/>
    <w:rsid w:val="00B73742"/>
    <w:rsid w:val="00B914E6"/>
    <w:rsid w:val="00BC4186"/>
    <w:rsid w:val="00BC5F25"/>
    <w:rsid w:val="00BD7714"/>
    <w:rsid w:val="00BD7C9B"/>
    <w:rsid w:val="00C072F8"/>
    <w:rsid w:val="00C17D79"/>
    <w:rsid w:val="00C24A8A"/>
    <w:rsid w:val="00C54722"/>
    <w:rsid w:val="00C65F70"/>
    <w:rsid w:val="00C96A36"/>
    <w:rsid w:val="00CA350B"/>
    <w:rsid w:val="00CA3F60"/>
    <w:rsid w:val="00CC2EFF"/>
    <w:rsid w:val="00CC4FEF"/>
    <w:rsid w:val="00CD39F1"/>
    <w:rsid w:val="00CF74EF"/>
    <w:rsid w:val="00D02AC8"/>
    <w:rsid w:val="00D0623C"/>
    <w:rsid w:val="00D07271"/>
    <w:rsid w:val="00D16917"/>
    <w:rsid w:val="00DA31CB"/>
    <w:rsid w:val="00DA4488"/>
    <w:rsid w:val="00DC0040"/>
    <w:rsid w:val="00DC495B"/>
    <w:rsid w:val="00DC7181"/>
    <w:rsid w:val="00DD6F5C"/>
    <w:rsid w:val="00DE6C87"/>
    <w:rsid w:val="00E14A1A"/>
    <w:rsid w:val="00E14E1F"/>
    <w:rsid w:val="00E2730E"/>
    <w:rsid w:val="00E438AC"/>
    <w:rsid w:val="00E60DF5"/>
    <w:rsid w:val="00E80D33"/>
    <w:rsid w:val="00EA6ED5"/>
    <w:rsid w:val="00EB7051"/>
    <w:rsid w:val="00EC68EB"/>
    <w:rsid w:val="00EC7C43"/>
    <w:rsid w:val="00F012E4"/>
    <w:rsid w:val="00F248D2"/>
    <w:rsid w:val="00F27F00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A0F77"/>
  <w15:chartTrackingRefBased/>
  <w15:docId w15:val="{DA8BD9D2-E055-9C4E-BAB9-05ADE7452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D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D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D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D2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D2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D2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D2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D2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D2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D2A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D2A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D2A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D2A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D2A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D2A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D2A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10D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D2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D2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D2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10D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D2A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A1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D2A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10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657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2</cp:revision>
  <dcterms:created xsi:type="dcterms:W3CDTF">2024-11-25T14:55:00Z</dcterms:created>
  <dcterms:modified xsi:type="dcterms:W3CDTF">2024-11-25T15:01:00Z</dcterms:modified>
</cp:coreProperties>
</file>