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24653"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What is a Resulting Trust?</w:t>
      </w:r>
    </w:p>
    <w:p w14:paraId="008098AD"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A resulting trust arises when:</w:t>
      </w:r>
    </w:p>
    <w:p w14:paraId="606DD300"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Presumed Intention</w:t>
      </w:r>
      <w:r w:rsidRPr="00FE3AD9">
        <w:rPr>
          <w:rFonts w:ascii="Times New Roman" w:eastAsiaTheme="minorEastAsia" w:hAnsi="Times New Roman"/>
          <w14:ligatures w14:val="standardContextual"/>
        </w:rPr>
        <w:t>: The transferor does not intend the transferee to benefit from the property beneficially, creating a presumption of a trust for the transferor.</w:t>
      </w:r>
    </w:p>
    <w:p w14:paraId="7044A301"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Example: Voluntary transfer or purchase money resulting trust.</w:t>
      </w:r>
    </w:p>
    <w:p w14:paraId="06B09B52" w14:textId="25917824" w:rsidR="00FC6BF6" w:rsidRPr="00FC6BF6" w:rsidRDefault="00FC6BF6" w:rsidP="00D62CF2">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D62CF2">
        <w:rPr>
          <w:rFonts w:ascii="Times New Roman" w:eastAsiaTheme="minorEastAsia" w:hAnsi="Times New Roman"/>
          <w:b/>
          <w:bCs/>
          <w14:ligatures w14:val="standardContextual"/>
        </w:rPr>
        <w:t>Gap-filling trusts</w:t>
      </w:r>
      <w:r w:rsidR="00D62CF2" w:rsidRPr="00D62CF2">
        <w:rPr>
          <w:rFonts w:ascii="Times New Roman" w:eastAsiaTheme="minorEastAsia" w:hAnsi="Times New Roman"/>
          <w:b/>
          <w:bCs/>
          <w14:ligatures w14:val="standardContextual"/>
        </w:rPr>
        <w:t xml:space="preserve"> (A</w:t>
      </w:r>
      <w:r w:rsidRPr="00D62CF2">
        <w:rPr>
          <w:rFonts w:ascii="Times New Roman" w:eastAsiaTheme="minorEastAsia" w:hAnsi="Times New Roman"/>
          <w:b/>
          <w:bCs/>
          <w14:ligatures w14:val="standardContextual"/>
        </w:rPr>
        <w:t>utomatic resulting trusts</w:t>
      </w:r>
      <w:r w:rsidR="00D62CF2" w:rsidRPr="00D62CF2">
        <w:rPr>
          <w:rFonts w:ascii="Times New Roman" w:eastAsiaTheme="minorEastAsia" w:hAnsi="Times New Roman"/>
          <w:b/>
          <w:bCs/>
          <w14:ligatures w14:val="standardContextual"/>
        </w:rPr>
        <w:t>)</w:t>
      </w:r>
      <w:r w:rsidR="00D62CF2">
        <w:rPr>
          <w:rFonts w:ascii="Times New Roman" w:eastAsiaTheme="minorEastAsia" w:hAnsi="Times New Roman"/>
          <w14:ligatures w14:val="standardContextual"/>
        </w:rPr>
        <w:t xml:space="preserve">: </w:t>
      </w:r>
      <w:r w:rsidRPr="00FC6BF6">
        <w:rPr>
          <w:rFonts w:ascii="Times New Roman" w:eastAsiaTheme="minorEastAsia" w:hAnsi="Times New Roman"/>
          <w14:ligatures w14:val="standardContextual"/>
        </w:rPr>
        <w:t xml:space="preserve"> </w:t>
      </w:r>
      <w:r w:rsidR="00D62CF2" w:rsidRPr="00D62CF2">
        <w:rPr>
          <w:rFonts w:ascii="Times New Roman" w:eastAsiaTheme="minorEastAsia" w:hAnsi="Times New Roman"/>
          <w14:ligatures w14:val="standardContextual"/>
        </w:rPr>
        <w:t>If a settlor creates an express trust but does not allocate the entire beneficial interest (due to uncertainty or omission), the law does not allow the unallocated interest to remain "in limbo" or "floating."</w:t>
      </w:r>
      <w:r w:rsidR="00D62CF2">
        <w:rPr>
          <w:rFonts w:ascii="Times New Roman" w:eastAsiaTheme="minorEastAsia" w:hAnsi="Times New Roman"/>
          <w14:ligatures w14:val="standardContextual"/>
        </w:rPr>
        <w:t xml:space="preserve"> </w:t>
      </w:r>
      <w:r w:rsidR="00D62CF2" w:rsidRPr="00D62CF2">
        <w:rPr>
          <w:rFonts w:ascii="Times New Roman" w:eastAsiaTheme="minorEastAsia" w:hAnsi="Times New Roman"/>
          <w14:ligatures w14:val="standardContextual"/>
        </w:rPr>
        <w:t>Instead, equity presumes that the unallocated beneficial interest "results" back to the settlor.</w:t>
      </w:r>
    </w:p>
    <w:p w14:paraId="142E5A46" w14:textId="20B13D2F" w:rsidR="00BB60B3" w:rsidRPr="00FE3AD9" w:rsidRDefault="00FC6BF6"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C6BF6">
        <w:rPr>
          <w:rFonts w:ascii="Times New Roman" w:eastAsiaTheme="minorEastAsia" w:hAnsi="Times New Roman"/>
          <w:b/>
          <w:bCs/>
          <w14:ligatures w14:val="standardContextual"/>
        </w:rPr>
        <w:sym w:font="Wingdings" w:char="F0E0"/>
      </w:r>
      <w:r>
        <w:rPr>
          <w:rFonts w:ascii="Times New Roman" w:eastAsiaTheme="minorEastAsia" w:hAnsi="Times New Roman"/>
          <w:b/>
          <w:bCs/>
          <w14:ligatures w14:val="standardContextual"/>
        </w:rPr>
        <w:t xml:space="preserve"> When </w:t>
      </w:r>
      <w:r w:rsidRPr="00FC6BF6">
        <w:rPr>
          <w:rFonts w:ascii="Times New Roman" w:eastAsiaTheme="minorEastAsia" w:hAnsi="Times New Roman"/>
          <w:b/>
          <w:bCs/>
          <w14:ligatures w14:val="standardContextual"/>
        </w:rPr>
        <w:sym w:font="Wingdings" w:char="F0E0"/>
      </w:r>
      <w:r>
        <w:rPr>
          <w:rFonts w:ascii="Times New Roman" w:eastAsiaTheme="minorEastAsia" w:hAnsi="Times New Roman"/>
          <w:b/>
          <w:bCs/>
          <w14:ligatures w14:val="standardContextual"/>
        </w:rPr>
        <w:t xml:space="preserve"> </w:t>
      </w:r>
      <w:r w:rsidR="00BB60B3" w:rsidRPr="00FE3AD9">
        <w:rPr>
          <w:rFonts w:ascii="Times New Roman" w:eastAsiaTheme="minorEastAsia" w:hAnsi="Times New Roman"/>
          <w:b/>
          <w:bCs/>
          <w14:ligatures w14:val="standardContextual"/>
        </w:rPr>
        <w:t>Failure of Express Trust</w:t>
      </w:r>
      <w:r w:rsidR="00BB60B3" w:rsidRPr="00FE3AD9">
        <w:rPr>
          <w:rFonts w:ascii="Times New Roman" w:eastAsiaTheme="minorEastAsia" w:hAnsi="Times New Roman"/>
          <w14:ligatures w14:val="standardContextual"/>
        </w:rPr>
        <w:t>: Part or all of the beneficial interest is unallocated, leading to a "gap-filling" trust where the transferor retains the interest.</w:t>
      </w:r>
    </w:p>
    <w:p w14:paraId="32412EAD"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p>
    <w:p w14:paraId="5149DB1D" w14:textId="019AFF4F"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What is Not a Resulting Trust?</w:t>
      </w:r>
    </w:p>
    <w:p w14:paraId="1967BD68"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Unjust Enrichment</w:t>
      </w:r>
      <w:r w:rsidRPr="00FE3AD9">
        <w:rPr>
          <w:rFonts w:ascii="Times New Roman" w:eastAsiaTheme="minorEastAsia" w:hAnsi="Times New Roman"/>
          <w14:ligatures w14:val="standardContextual"/>
        </w:rPr>
        <w:t>:</w:t>
      </w:r>
    </w:p>
    <w:p w14:paraId="3BD9F867"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Cases where the transferee is enriched at the expense of the transferor without an absence of intention to benefit.</w:t>
      </w:r>
    </w:p>
    <w:p w14:paraId="341B550B"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 xml:space="preserve">Example: </w:t>
      </w:r>
      <w:proofErr w:type="spellStart"/>
      <w:r w:rsidRPr="00FE3AD9">
        <w:rPr>
          <w:rFonts w:ascii="Times New Roman" w:eastAsiaTheme="minorEastAsia" w:hAnsi="Times New Roman"/>
          <w:i/>
          <w:iCs/>
          <w14:ligatures w14:val="standardContextual"/>
        </w:rPr>
        <w:t>Westdeutsche</w:t>
      </w:r>
      <w:proofErr w:type="spellEnd"/>
      <w:r w:rsidRPr="00FE3AD9">
        <w:rPr>
          <w:rFonts w:ascii="Times New Roman" w:eastAsiaTheme="minorEastAsia" w:hAnsi="Times New Roman"/>
          <w:i/>
          <w:iCs/>
          <w14:ligatures w14:val="standardContextual"/>
        </w:rPr>
        <w:t xml:space="preserve"> </w:t>
      </w:r>
      <w:proofErr w:type="spellStart"/>
      <w:r w:rsidRPr="00FE3AD9">
        <w:rPr>
          <w:rFonts w:ascii="Times New Roman" w:eastAsiaTheme="minorEastAsia" w:hAnsi="Times New Roman"/>
          <w:i/>
          <w:iCs/>
          <w14:ligatures w14:val="standardContextual"/>
        </w:rPr>
        <w:t>Landesbank</w:t>
      </w:r>
      <w:proofErr w:type="spellEnd"/>
      <w:r w:rsidRPr="00FE3AD9">
        <w:rPr>
          <w:rFonts w:ascii="Times New Roman" w:eastAsiaTheme="minorEastAsia" w:hAnsi="Times New Roman"/>
          <w:i/>
          <w:iCs/>
          <w14:ligatures w14:val="standardContextual"/>
        </w:rPr>
        <w:t xml:space="preserve"> </w:t>
      </w:r>
      <w:proofErr w:type="spellStart"/>
      <w:r w:rsidRPr="00FE3AD9">
        <w:rPr>
          <w:rFonts w:ascii="Times New Roman" w:eastAsiaTheme="minorEastAsia" w:hAnsi="Times New Roman"/>
          <w:i/>
          <w:iCs/>
          <w14:ligatures w14:val="standardContextual"/>
        </w:rPr>
        <w:t>Girozentrale</w:t>
      </w:r>
      <w:proofErr w:type="spellEnd"/>
      <w:r w:rsidRPr="00FE3AD9">
        <w:rPr>
          <w:rFonts w:ascii="Times New Roman" w:eastAsiaTheme="minorEastAsia" w:hAnsi="Times New Roman"/>
          <w:i/>
          <w:iCs/>
          <w14:ligatures w14:val="standardContextual"/>
        </w:rPr>
        <w:t xml:space="preserve"> v Islington LBC</w:t>
      </w:r>
      <w:r w:rsidRPr="00FE3AD9">
        <w:rPr>
          <w:rFonts w:ascii="Times New Roman" w:eastAsiaTheme="minorEastAsia" w:hAnsi="Times New Roman"/>
          <w14:ligatures w14:val="standardContextual"/>
        </w:rPr>
        <w:t>—the court found no resulting trust because the transferee was unaware of the mistake.</w:t>
      </w:r>
    </w:p>
    <w:p w14:paraId="179A67BB"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Fraud or Breach of Duty</w:t>
      </w:r>
      <w:r w:rsidRPr="00FE3AD9">
        <w:rPr>
          <w:rFonts w:ascii="Times New Roman" w:eastAsiaTheme="minorEastAsia" w:hAnsi="Times New Roman"/>
          <w14:ligatures w14:val="standardContextual"/>
        </w:rPr>
        <w:t>:</w:t>
      </w:r>
    </w:p>
    <w:p w14:paraId="198A3785"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Cases involving misappropriation by fiduciaries (e.g., company directors or trustees).</w:t>
      </w:r>
    </w:p>
    <w:p w14:paraId="6680A0D6"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These often result in constructive trusts, not resulting trusts.</w:t>
      </w:r>
    </w:p>
    <w:p w14:paraId="6FA7226F"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1C6E8F86"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p>
    <w:p w14:paraId="78A09D08"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p>
    <w:p w14:paraId="745797CD"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p>
    <w:p w14:paraId="79E0DD5A" w14:textId="54D5B089"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1. Past: Historical Development of Resulting Trusts</w:t>
      </w:r>
    </w:p>
    <w:p w14:paraId="4298CE97"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Historical Roots:</w:t>
      </w:r>
    </w:p>
    <w:p w14:paraId="7B3A4B4C"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Resulting Uses</w:t>
      </w:r>
      <w:r w:rsidRPr="00FE3AD9">
        <w:rPr>
          <w:rFonts w:ascii="Times New Roman" w:eastAsiaTheme="minorEastAsia" w:hAnsi="Times New Roman"/>
          <w14:ligatures w14:val="standardContextual"/>
        </w:rPr>
        <w:t>:</w:t>
      </w:r>
    </w:p>
    <w:p w14:paraId="136A0EE1" w14:textId="77777777" w:rsidR="00BB60B3" w:rsidRPr="00FE3AD9" w:rsidRDefault="00BB60B3" w:rsidP="00FE3AD9">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Developed in medieval law when property transfers were presumed to keep beneficial ownership with the transferor unless explicitly gifted.</w:t>
      </w:r>
    </w:p>
    <w:p w14:paraId="4F318A81" w14:textId="2FCE2B90" w:rsidR="00BB60B3" w:rsidRPr="00FE3AD9" w:rsidRDefault="00BB60B3" w:rsidP="00FE3AD9">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These "uses" were seen as pre-existing rights retained by the transferor, not new equitable rights created upon transfer.</w:t>
      </w:r>
    </w:p>
    <w:p w14:paraId="3A9B507A"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Key Cases:</w:t>
      </w:r>
    </w:p>
    <w:p w14:paraId="736B3B73"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Burgess v </w:t>
      </w:r>
      <w:proofErr w:type="spellStart"/>
      <w:r w:rsidRPr="00FE3AD9">
        <w:rPr>
          <w:rFonts w:ascii="Times New Roman" w:eastAsiaTheme="minorEastAsia" w:hAnsi="Times New Roman"/>
          <w:b/>
          <w:bCs/>
          <w14:ligatures w14:val="standardContextual"/>
        </w:rPr>
        <w:t>Wheate</w:t>
      </w:r>
      <w:proofErr w:type="spellEnd"/>
      <w:r w:rsidRPr="00FE3AD9">
        <w:rPr>
          <w:rFonts w:ascii="Times New Roman" w:eastAsiaTheme="minorEastAsia" w:hAnsi="Times New Roman"/>
          <w:b/>
          <w:bCs/>
          <w14:ligatures w14:val="standardContextual"/>
        </w:rPr>
        <w:t xml:space="preserve"> (1759)</w:t>
      </w:r>
      <w:r w:rsidRPr="00FE3AD9">
        <w:rPr>
          <w:rFonts w:ascii="Times New Roman" w:eastAsiaTheme="minorEastAsia" w:hAnsi="Times New Roman"/>
          <w14:ligatures w14:val="standardContextual"/>
        </w:rPr>
        <w:t>:</w:t>
      </w:r>
    </w:p>
    <w:p w14:paraId="73D49087"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Lord Henley stated resulting uses and modern trusts both reflect the idea that ownership “remains with the transferor” unless positively assigned.</w:t>
      </w:r>
    </w:p>
    <w:p w14:paraId="3CB97E82"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proofErr w:type="spellStart"/>
      <w:r w:rsidRPr="00FE3AD9">
        <w:rPr>
          <w:rFonts w:ascii="Times New Roman" w:eastAsiaTheme="minorEastAsia" w:hAnsi="Times New Roman"/>
          <w:b/>
          <w:bCs/>
          <w14:ligatures w14:val="standardContextual"/>
        </w:rPr>
        <w:t>Samme’s</w:t>
      </w:r>
      <w:proofErr w:type="spellEnd"/>
      <w:r w:rsidRPr="00FE3AD9">
        <w:rPr>
          <w:rFonts w:ascii="Times New Roman" w:eastAsiaTheme="minorEastAsia" w:hAnsi="Times New Roman"/>
          <w:b/>
          <w:bCs/>
          <w14:ligatures w14:val="standardContextual"/>
        </w:rPr>
        <w:t xml:space="preserve"> Case (1609)</w:t>
      </w:r>
      <w:r w:rsidRPr="00FE3AD9">
        <w:rPr>
          <w:rFonts w:ascii="Times New Roman" w:eastAsiaTheme="minorEastAsia" w:hAnsi="Times New Roman"/>
          <w14:ligatures w14:val="standardContextual"/>
        </w:rPr>
        <w:t>:</w:t>
      </w:r>
    </w:p>
    <w:p w14:paraId="3337179F" w14:textId="5B3B2EFB"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Recognised that any unused portion of a trust would "result" back to the settlor.</w:t>
      </w:r>
    </w:p>
    <w:p w14:paraId="6391F2CB"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Re </w:t>
      </w:r>
      <w:proofErr w:type="spellStart"/>
      <w:r w:rsidRPr="00FE3AD9">
        <w:rPr>
          <w:rFonts w:ascii="Times New Roman" w:eastAsiaTheme="minorEastAsia" w:hAnsi="Times New Roman"/>
          <w:b/>
          <w:bCs/>
          <w14:ligatures w14:val="standardContextual"/>
        </w:rPr>
        <w:t>Vandervell’s</w:t>
      </w:r>
      <w:proofErr w:type="spellEnd"/>
      <w:r w:rsidRPr="00FE3AD9">
        <w:rPr>
          <w:rFonts w:ascii="Times New Roman" w:eastAsiaTheme="minorEastAsia" w:hAnsi="Times New Roman"/>
          <w:b/>
          <w:bCs/>
          <w14:ligatures w14:val="standardContextual"/>
        </w:rPr>
        <w:t xml:space="preserve"> Trusts (No. 2) (1974)</w:t>
      </w:r>
      <w:r w:rsidRPr="00FE3AD9">
        <w:rPr>
          <w:rFonts w:ascii="Times New Roman" w:eastAsiaTheme="minorEastAsia" w:hAnsi="Times New Roman"/>
          <w14:ligatures w14:val="standardContextual"/>
        </w:rPr>
        <w:t>:</w:t>
      </w:r>
    </w:p>
    <w:p w14:paraId="711C5340"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i/>
          <w:iCs/>
          <w14:ligatures w14:val="standardContextual"/>
        </w:rPr>
        <w:t>Gap-filling trusts</w:t>
      </w:r>
      <w:r w:rsidRPr="00FE3AD9">
        <w:rPr>
          <w:rFonts w:ascii="Times New Roman" w:eastAsiaTheme="minorEastAsia" w:hAnsi="Times New Roman"/>
          <w14:ligatures w14:val="standardContextual"/>
        </w:rPr>
        <w:t xml:space="preserve"> arise automatically where parts of the equitable interest are unallocated.</w:t>
      </w:r>
    </w:p>
    <w:p w14:paraId="66B2A19A"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6DEE8B9A" w14:textId="10E4C8F6"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2. Present: Current Theories and Critiques</w:t>
      </w:r>
    </w:p>
    <w:p w14:paraId="736E7A0B"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Presumed Resulting Trusts:</w:t>
      </w:r>
    </w:p>
    <w:p w14:paraId="704CF5CC"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lastRenderedPageBreak/>
        <w:t>Definition</w:t>
      </w:r>
      <w:r w:rsidRPr="00FE3AD9">
        <w:rPr>
          <w:rFonts w:ascii="Times New Roman" w:eastAsiaTheme="minorEastAsia" w:hAnsi="Times New Roman"/>
          <w14:ligatures w14:val="standardContextual"/>
        </w:rPr>
        <w:t>: These arise in two scenarios:</w:t>
      </w:r>
    </w:p>
    <w:p w14:paraId="537E9269" w14:textId="1ABD974E"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1. Voluntary Transfers</w:t>
      </w:r>
      <w:r w:rsidRPr="00FE3AD9">
        <w:rPr>
          <w:rFonts w:ascii="Times New Roman" w:eastAsiaTheme="minorEastAsia" w:hAnsi="Times New Roman"/>
          <w14:ligatures w14:val="standardContextual"/>
        </w:rPr>
        <w:t>: Property transferred without consideration (e.g., gifts).</w:t>
      </w:r>
    </w:p>
    <w:p w14:paraId="39C3B75D" w14:textId="77777777" w:rsidR="00BB60B3" w:rsidRPr="00FE3AD9" w:rsidRDefault="00BB60B3" w:rsidP="00FE3AD9">
      <w:pPr>
        <w:tabs>
          <w:tab w:val="left" w:pos="1660"/>
          <w:tab w:val="left" w:pos="216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 xml:space="preserve">Case: </w:t>
      </w:r>
      <w:r w:rsidRPr="00FE3AD9">
        <w:rPr>
          <w:rFonts w:ascii="Times New Roman" w:eastAsiaTheme="minorEastAsia" w:hAnsi="Times New Roman"/>
          <w:i/>
          <w:iCs/>
          <w14:ligatures w14:val="standardContextual"/>
        </w:rPr>
        <w:t>Dyer v Dyer (1788)</w:t>
      </w:r>
      <w:r w:rsidRPr="00FE3AD9">
        <w:rPr>
          <w:rFonts w:ascii="Times New Roman" w:eastAsiaTheme="minorEastAsia" w:hAnsi="Times New Roman"/>
          <w14:ligatures w14:val="standardContextual"/>
        </w:rPr>
        <w:t>—the person funding the purchase was presumed to retain beneficial interest unless proven otherwise.</w:t>
      </w:r>
    </w:p>
    <w:p w14:paraId="245E2FDF" w14:textId="697DD5C4"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2. Purchase Money Resulting Trusts</w:t>
      </w:r>
      <w:r w:rsidRPr="00FE3AD9">
        <w:rPr>
          <w:rFonts w:ascii="Times New Roman" w:eastAsiaTheme="minorEastAsia" w:hAnsi="Times New Roman"/>
          <w14:ligatures w14:val="standardContextual"/>
        </w:rPr>
        <w:t>: Property bought in someone else's name using the claimant's funds.</w:t>
      </w:r>
    </w:p>
    <w:p w14:paraId="4C5F439F"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Critiques</w:t>
      </w:r>
      <w:r w:rsidRPr="00FE3AD9">
        <w:rPr>
          <w:rFonts w:ascii="Times New Roman" w:eastAsiaTheme="minorEastAsia" w:hAnsi="Times New Roman"/>
          <w14:ligatures w14:val="standardContextual"/>
        </w:rPr>
        <w:t>:</w:t>
      </w:r>
    </w:p>
    <w:p w14:paraId="7DB1FAC8"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Mee argues these trusts are outdated, reflecting historical assumptions that no longer align with modern norms.</w:t>
      </w:r>
    </w:p>
    <w:p w14:paraId="2FEECA8F"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Gap-Filling Resulting Trusts:</w:t>
      </w:r>
    </w:p>
    <w:p w14:paraId="76DDAC2F"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Definition</w:t>
      </w:r>
      <w:r w:rsidRPr="00FE3AD9">
        <w:rPr>
          <w:rFonts w:ascii="Times New Roman" w:eastAsiaTheme="minorEastAsia" w:hAnsi="Times New Roman"/>
          <w14:ligatures w14:val="standardContextual"/>
        </w:rPr>
        <w:t>: These arise when an express trust fails to allocate the entire beneficial interest.</w:t>
      </w:r>
    </w:p>
    <w:p w14:paraId="312377EB"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 xml:space="preserve">Case: </w:t>
      </w:r>
      <w:r w:rsidRPr="00FE3AD9">
        <w:rPr>
          <w:rFonts w:ascii="Times New Roman" w:eastAsiaTheme="minorEastAsia" w:hAnsi="Times New Roman"/>
          <w:i/>
          <w:iCs/>
          <w14:ligatures w14:val="standardContextual"/>
        </w:rPr>
        <w:t xml:space="preserve">Re </w:t>
      </w:r>
      <w:proofErr w:type="spellStart"/>
      <w:r w:rsidRPr="00FE3AD9">
        <w:rPr>
          <w:rFonts w:ascii="Times New Roman" w:eastAsiaTheme="minorEastAsia" w:hAnsi="Times New Roman"/>
          <w:i/>
          <w:iCs/>
          <w14:ligatures w14:val="standardContextual"/>
        </w:rPr>
        <w:t>Vandervell’s</w:t>
      </w:r>
      <w:proofErr w:type="spellEnd"/>
      <w:r w:rsidRPr="00FE3AD9">
        <w:rPr>
          <w:rFonts w:ascii="Times New Roman" w:eastAsiaTheme="minorEastAsia" w:hAnsi="Times New Roman"/>
          <w:i/>
          <w:iCs/>
          <w14:ligatures w14:val="standardContextual"/>
        </w:rPr>
        <w:t xml:space="preserve"> Trusts (No. 2)</w:t>
      </w:r>
      <w:r w:rsidRPr="00FE3AD9">
        <w:rPr>
          <w:rFonts w:ascii="Times New Roman" w:eastAsiaTheme="minorEastAsia" w:hAnsi="Times New Roman"/>
          <w14:ligatures w14:val="standardContextual"/>
        </w:rPr>
        <w:t>—arose when residual income from shares remained unallocated after a failed transfer.</w:t>
      </w:r>
    </w:p>
    <w:p w14:paraId="38BC3AFA"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Modern Justification</w:t>
      </w:r>
      <w:r w:rsidRPr="00FE3AD9">
        <w:rPr>
          <w:rFonts w:ascii="Times New Roman" w:eastAsiaTheme="minorEastAsia" w:hAnsi="Times New Roman"/>
          <w14:ligatures w14:val="standardContextual"/>
        </w:rPr>
        <w:t>:</w:t>
      </w:r>
    </w:p>
    <w:p w14:paraId="282F6309"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Mee supports retaining these trusts as they fill practical gaps in trust arrangements.</w:t>
      </w:r>
    </w:p>
    <w:p w14:paraId="3CF71E6C"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Competing Theories:</w:t>
      </w:r>
    </w:p>
    <w:p w14:paraId="6F56DA04"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Retention (Traditional View)</w:t>
      </w:r>
      <w:r w:rsidRPr="00FE3AD9">
        <w:rPr>
          <w:rFonts w:ascii="Times New Roman" w:eastAsiaTheme="minorEastAsia" w:hAnsi="Times New Roman"/>
          <w14:ligatures w14:val="standardContextual"/>
        </w:rPr>
        <w:t>:</w:t>
      </w:r>
    </w:p>
    <w:p w14:paraId="71F6C1E9"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Resulting trusts operate to "retain" pre-existing rights of the transferor.</w:t>
      </w:r>
    </w:p>
    <w:p w14:paraId="227A0E98"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Critique: Rights under resulting trusts are new and different from those pre-transfer.</w:t>
      </w:r>
    </w:p>
    <w:p w14:paraId="3F8E95F1"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Unjust Enrichment (Birks and Chambers)</w:t>
      </w:r>
      <w:r w:rsidRPr="00FE3AD9">
        <w:rPr>
          <w:rFonts w:ascii="Times New Roman" w:eastAsiaTheme="minorEastAsia" w:hAnsi="Times New Roman"/>
          <w14:ligatures w14:val="standardContextual"/>
        </w:rPr>
        <w:t>:</w:t>
      </w:r>
    </w:p>
    <w:p w14:paraId="5C1B0548"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Resulting trusts arise to reverse unjust enrichment when the transferor has no intention to benefit the transferee.</w:t>
      </w:r>
    </w:p>
    <w:p w14:paraId="13A686FB" w14:textId="7392EC98" w:rsidR="00BB60B3"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lastRenderedPageBreak/>
        <w:t xml:space="preserve">Case: </w:t>
      </w:r>
      <w:proofErr w:type="spellStart"/>
      <w:r w:rsidRPr="00FE3AD9">
        <w:rPr>
          <w:rFonts w:ascii="Times New Roman" w:eastAsiaTheme="minorEastAsia" w:hAnsi="Times New Roman"/>
          <w:i/>
          <w:iCs/>
          <w14:ligatures w14:val="standardContextual"/>
        </w:rPr>
        <w:t>Westdeutsche</w:t>
      </w:r>
      <w:proofErr w:type="spellEnd"/>
      <w:r w:rsidRPr="00FE3AD9">
        <w:rPr>
          <w:rFonts w:ascii="Times New Roman" w:eastAsiaTheme="minorEastAsia" w:hAnsi="Times New Roman"/>
          <w:i/>
          <w:iCs/>
          <w14:ligatures w14:val="standardContextual"/>
        </w:rPr>
        <w:t xml:space="preserve"> </w:t>
      </w:r>
      <w:proofErr w:type="spellStart"/>
      <w:r w:rsidRPr="00FE3AD9">
        <w:rPr>
          <w:rFonts w:ascii="Times New Roman" w:eastAsiaTheme="minorEastAsia" w:hAnsi="Times New Roman"/>
          <w:i/>
          <w:iCs/>
          <w14:ligatures w14:val="standardContextual"/>
        </w:rPr>
        <w:t>Landesbank</w:t>
      </w:r>
      <w:proofErr w:type="spellEnd"/>
      <w:r w:rsidRPr="00FE3AD9">
        <w:rPr>
          <w:rFonts w:ascii="Times New Roman" w:eastAsiaTheme="minorEastAsia" w:hAnsi="Times New Roman"/>
          <w14:ligatures w14:val="standardContextual"/>
        </w:rPr>
        <w:t xml:space="preserve"> rejects this, emphasizing </w:t>
      </w:r>
      <w:r w:rsidR="00053E4E">
        <w:rPr>
          <w:rFonts w:ascii="Times New Roman" w:eastAsiaTheme="minorEastAsia" w:hAnsi="Times New Roman"/>
          <w14:ligatures w14:val="standardContextual"/>
        </w:rPr>
        <w:t xml:space="preserve">knowledge </w:t>
      </w:r>
      <w:r w:rsidRPr="00FE3AD9">
        <w:rPr>
          <w:rFonts w:ascii="Times New Roman" w:eastAsiaTheme="minorEastAsia" w:hAnsi="Times New Roman"/>
          <w14:ligatures w14:val="standardContextual"/>
        </w:rPr>
        <w:t>to create a trust is required.</w:t>
      </w:r>
    </w:p>
    <w:p w14:paraId="7FC9DBF6" w14:textId="77777777" w:rsidR="00053E4E" w:rsidRPr="00053E4E" w:rsidRDefault="00053E4E" w:rsidP="00053E4E">
      <w:pPr>
        <w:pStyle w:val="NormalWeb"/>
        <w:spacing w:before="0" w:beforeAutospacing="0" w:after="240" w:afterAutospacing="0" w:line="360" w:lineRule="auto"/>
      </w:pPr>
      <w:r w:rsidRPr="00053E4E">
        <w:rPr>
          <w:rFonts w:eastAsiaTheme="minorEastAsia"/>
          <w14:ligatures w14:val="standardContextual"/>
        </w:rPr>
        <w:sym w:font="Wingdings" w:char="F0E0"/>
      </w:r>
      <w:r>
        <w:rPr>
          <w:rFonts w:eastAsiaTheme="minorEastAsia"/>
          <w14:ligatures w14:val="standardContextual"/>
        </w:rPr>
        <w:t xml:space="preserve"> </w:t>
      </w:r>
      <w:r w:rsidRPr="00053E4E">
        <w:rPr>
          <w:b/>
          <w:bCs/>
        </w:rPr>
        <w:t>Rejection of Retention</w:t>
      </w:r>
      <w:r w:rsidRPr="00053E4E">
        <w:t>:</w:t>
      </w:r>
    </w:p>
    <w:p w14:paraId="7A64A1B2" w14:textId="77777777" w:rsidR="00053E4E" w:rsidRDefault="00053E4E" w:rsidP="00053E4E">
      <w:pPr>
        <w:spacing w:after="240" w:line="360" w:lineRule="auto"/>
        <w:rPr>
          <w:rFonts w:ascii="Times New Roman" w:hAnsi="Times New Roman"/>
          <w:lang w:val="en-HK"/>
        </w:rPr>
      </w:pPr>
      <w:r w:rsidRPr="00053E4E">
        <w:rPr>
          <w:rFonts w:ascii="Times New Roman" w:hAnsi="Times New Roman"/>
          <w:lang w:val="en-HK"/>
        </w:rPr>
        <w:t xml:space="preserve">Lord Browne-Wilkinson clarified that equitable principles require an intention or circumstances that justify the imposition of a trust. Without such elements, a resulting trust cannot </w:t>
      </w:r>
      <w:proofErr w:type="spellStart"/>
      <w:r w:rsidRPr="00053E4E">
        <w:rPr>
          <w:rFonts w:ascii="Times New Roman" w:hAnsi="Times New Roman"/>
          <w:lang w:val="en-HK"/>
        </w:rPr>
        <w:t>arise.</w:t>
      </w:r>
    </w:p>
    <w:p w14:paraId="7E087B07" w14:textId="34E2A6D3" w:rsidR="00053E4E" w:rsidRPr="00053E4E" w:rsidRDefault="00053E4E" w:rsidP="00053E4E">
      <w:pPr>
        <w:spacing w:after="240" w:line="360" w:lineRule="auto"/>
        <w:rPr>
          <w:rFonts w:ascii="Times New Roman" w:hAnsi="Times New Roman"/>
          <w:lang w:val="en-HK"/>
        </w:rPr>
      </w:pPr>
      <w:proofErr w:type="spellEnd"/>
      <w:r>
        <w:rPr>
          <w:rFonts w:ascii="Times New Roman" w:hAnsi="Times New Roman"/>
          <w:lang w:val="en-HK"/>
        </w:rPr>
        <w:t xml:space="preserve">The court </w:t>
      </w:r>
      <w:r w:rsidRPr="00053E4E">
        <w:rPr>
          <w:rFonts w:ascii="Times New Roman" w:hAnsi="Times New Roman"/>
          <w:lang w:val="en-HK"/>
        </w:rPr>
        <w:t>rejected the idea that resulting trusts automatically arise simply because beneficial ownership was not explicitly transferred.</w:t>
      </w:r>
    </w:p>
    <w:p w14:paraId="7FA3D8D0" w14:textId="2664B5C1" w:rsidR="00053E4E" w:rsidRPr="00FE3AD9" w:rsidRDefault="00053E4E" w:rsidP="00053E4E">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p>
    <w:p w14:paraId="76950D44"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Declaration of Trust (</w:t>
      </w:r>
      <w:proofErr w:type="spellStart"/>
      <w:r w:rsidRPr="00FE3AD9">
        <w:rPr>
          <w:rFonts w:ascii="Times New Roman" w:eastAsiaTheme="minorEastAsia" w:hAnsi="Times New Roman"/>
          <w:b/>
          <w:bCs/>
          <w14:ligatures w14:val="standardContextual"/>
        </w:rPr>
        <w:t>Swadling</w:t>
      </w:r>
      <w:proofErr w:type="spellEnd"/>
      <w:r w:rsidRPr="00FE3AD9">
        <w:rPr>
          <w:rFonts w:ascii="Times New Roman" w:eastAsiaTheme="minorEastAsia" w:hAnsi="Times New Roman"/>
          <w:b/>
          <w:bCs/>
          <w14:ligatures w14:val="standardContextual"/>
        </w:rPr>
        <w:t>)</w:t>
      </w:r>
      <w:r w:rsidRPr="00FE3AD9">
        <w:rPr>
          <w:rFonts w:ascii="Times New Roman" w:eastAsiaTheme="minorEastAsia" w:hAnsi="Times New Roman"/>
          <w14:ligatures w14:val="standardContextual"/>
        </w:rPr>
        <w:t>:</w:t>
      </w:r>
    </w:p>
    <w:p w14:paraId="4F2AF1D9" w14:textId="2C023932" w:rsidR="00BB60B3" w:rsidRPr="00FE3AD9" w:rsidRDefault="00BB60B3" w:rsidP="00FE3AD9">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Presumed resulting trusts involve inferred declarations of trust.</w:t>
      </w:r>
    </w:p>
    <w:p w14:paraId="3D8CED52" w14:textId="1DC9916C" w:rsidR="00BB60B3" w:rsidRPr="00FE3AD9" w:rsidRDefault="00BB60B3" w:rsidP="00FE3AD9">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Mee critiques this as historically and doctrinally incorrect.</w:t>
      </w:r>
    </w:p>
    <w:p w14:paraId="6279344F"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5ED8AC84" w14:textId="5D88899E"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3. Future: Reform Proposals</w:t>
      </w:r>
    </w:p>
    <w:p w14:paraId="395F1A6C"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Mee’s Recommendations:</w:t>
      </w:r>
    </w:p>
    <w:p w14:paraId="10856C3E"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Abolish Presumed Resulting Trusts</w:t>
      </w:r>
      <w:r w:rsidRPr="00FE3AD9">
        <w:rPr>
          <w:rFonts w:ascii="Times New Roman" w:eastAsiaTheme="minorEastAsia" w:hAnsi="Times New Roman"/>
          <w14:ligatures w14:val="standardContextual"/>
        </w:rPr>
        <w:t>:</w:t>
      </w:r>
    </w:p>
    <w:p w14:paraId="6996332E"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These are historically outdated and largely replaced by constructive trusts in contexts like cohabitation disputes.</w:t>
      </w:r>
    </w:p>
    <w:p w14:paraId="42364F71"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Example: Purchase money resulting trusts have been overtaken by common intention constructive trusts.</w:t>
      </w:r>
    </w:p>
    <w:p w14:paraId="389272D3"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Retain Gap-Filling Resulting Trusts</w:t>
      </w:r>
      <w:r w:rsidRPr="00FE3AD9">
        <w:rPr>
          <w:rFonts w:ascii="Times New Roman" w:eastAsiaTheme="minorEastAsia" w:hAnsi="Times New Roman"/>
          <w14:ligatures w14:val="standardContextual"/>
        </w:rPr>
        <w:t>:</w:t>
      </w:r>
    </w:p>
    <w:p w14:paraId="654BDB25"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These serve an important purpose where trusts fail to allocate all beneficial interest.</w:t>
      </w:r>
    </w:p>
    <w:p w14:paraId="2A231A1F"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Example: A settlor who transfers property "on trust" but does not specify beneficiaries.</w:t>
      </w:r>
    </w:p>
    <w:p w14:paraId="1FADDE85"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Judicial Trend:</w:t>
      </w:r>
    </w:p>
    <w:p w14:paraId="6C3E6430"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lastRenderedPageBreak/>
        <w:t>Courts increasingly rely on constructive trusts to address situations previously governed by resulting trusts.</w:t>
      </w:r>
    </w:p>
    <w:p w14:paraId="30967768"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 xml:space="preserve">Example: Cohabitation cases (e.g., </w:t>
      </w:r>
      <w:r w:rsidRPr="00FE3AD9">
        <w:rPr>
          <w:rFonts w:ascii="Times New Roman" w:eastAsiaTheme="minorEastAsia" w:hAnsi="Times New Roman"/>
          <w:i/>
          <w:iCs/>
          <w14:ligatures w14:val="standardContextual"/>
        </w:rPr>
        <w:t>Stack v Dowden</w:t>
      </w:r>
      <w:r w:rsidRPr="00FE3AD9">
        <w:rPr>
          <w:rFonts w:ascii="Times New Roman" w:eastAsiaTheme="minorEastAsia" w:hAnsi="Times New Roman"/>
          <w14:ligatures w14:val="standardContextual"/>
        </w:rPr>
        <w:t>) have moved towards assessing intentions directly rather than presuming resulting trusts.</w:t>
      </w:r>
    </w:p>
    <w:p w14:paraId="176F8EE6"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58CBC5AD"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5C6ED3DA"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0E25E6B0"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2DC9D749"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Key Cases in Detail</w:t>
      </w:r>
    </w:p>
    <w:p w14:paraId="3354DB2B" w14:textId="0B738FC9"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1. </w:t>
      </w:r>
      <w:proofErr w:type="spellStart"/>
      <w:r w:rsidRPr="00FE3AD9">
        <w:rPr>
          <w:rFonts w:ascii="Times New Roman" w:eastAsiaTheme="minorEastAsia" w:hAnsi="Times New Roman"/>
          <w:b/>
          <w:bCs/>
          <w14:ligatures w14:val="standardContextual"/>
        </w:rPr>
        <w:t>Vandervell</w:t>
      </w:r>
      <w:proofErr w:type="spellEnd"/>
      <w:r w:rsidRPr="00FE3AD9">
        <w:rPr>
          <w:rFonts w:ascii="Times New Roman" w:eastAsiaTheme="minorEastAsia" w:hAnsi="Times New Roman"/>
          <w:b/>
          <w:bCs/>
          <w14:ligatures w14:val="standardContextual"/>
        </w:rPr>
        <w:t xml:space="preserve"> v IRC (1967)</w:t>
      </w:r>
      <w:r w:rsidRPr="00FE3AD9">
        <w:rPr>
          <w:rFonts w:ascii="Times New Roman" w:eastAsiaTheme="minorEastAsia" w:hAnsi="Times New Roman"/>
          <w14:ligatures w14:val="standardContextual"/>
        </w:rPr>
        <w:t>:</w:t>
      </w:r>
    </w:p>
    <w:p w14:paraId="5968DDAE"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Facts</w:t>
      </w:r>
      <w:r w:rsidRPr="00FE3AD9">
        <w:rPr>
          <w:rFonts w:ascii="Times New Roman" w:eastAsiaTheme="minorEastAsia" w:hAnsi="Times New Roman"/>
          <w14:ligatures w14:val="standardContextual"/>
        </w:rPr>
        <w:t xml:space="preserve">: </w:t>
      </w:r>
      <w:proofErr w:type="spellStart"/>
      <w:r w:rsidRPr="00FE3AD9">
        <w:rPr>
          <w:rFonts w:ascii="Times New Roman" w:eastAsiaTheme="minorEastAsia" w:hAnsi="Times New Roman"/>
          <w14:ligatures w14:val="standardContextual"/>
        </w:rPr>
        <w:t>Vandervell</w:t>
      </w:r>
      <w:proofErr w:type="spellEnd"/>
      <w:r w:rsidRPr="00FE3AD9">
        <w:rPr>
          <w:rFonts w:ascii="Times New Roman" w:eastAsiaTheme="minorEastAsia" w:hAnsi="Times New Roman"/>
          <w14:ligatures w14:val="standardContextual"/>
        </w:rPr>
        <w:t xml:space="preserve"> transferred shares to charity but left residual interest unallocated.</w:t>
      </w:r>
    </w:p>
    <w:p w14:paraId="270D4CFB"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Held</w:t>
      </w:r>
      <w:r w:rsidRPr="00FE3AD9">
        <w:rPr>
          <w:rFonts w:ascii="Times New Roman" w:eastAsiaTheme="minorEastAsia" w:hAnsi="Times New Roman"/>
          <w14:ligatures w14:val="standardContextual"/>
        </w:rPr>
        <w:t>: A resulting trust arose for the unallocated interest.</w:t>
      </w:r>
    </w:p>
    <w:p w14:paraId="444EFAD2"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Reasoning</w:t>
      </w:r>
      <w:r w:rsidRPr="00FE3AD9">
        <w:rPr>
          <w:rFonts w:ascii="Times New Roman" w:eastAsiaTheme="minorEastAsia" w:hAnsi="Times New Roman"/>
          <w14:ligatures w14:val="standardContextual"/>
        </w:rPr>
        <w:t>: Beneficial interest cannot remain in limbo; it defaults to the settlor.</w:t>
      </w:r>
    </w:p>
    <w:p w14:paraId="24F928A0" w14:textId="195A54E2"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2. Dyer v Dyer (1788)</w:t>
      </w:r>
      <w:r w:rsidRPr="00FE3AD9">
        <w:rPr>
          <w:rFonts w:ascii="Times New Roman" w:eastAsiaTheme="minorEastAsia" w:hAnsi="Times New Roman"/>
          <w14:ligatures w14:val="standardContextual"/>
        </w:rPr>
        <w:t>:</w:t>
      </w:r>
    </w:p>
    <w:p w14:paraId="05984FE8"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Facts</w:t>
      </w:r>
      <w:r w:rsidRPr="00FE3AD9">
        <w:rPr>
          <w:rFonts w:ascii="Times New Roman" w:eastAsiaTheme="minorEastAsia" w:hAnsi="Times New Roman"/>
          <w14:ligatures w14:val="standardContextual"/>
        </w:rPr>
        <w:t>: A purchased property in another's name.</w:t>
      </w:r>
    </w:p>
    <w:p w14:paraId="3F3E1939"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Held</w:t>
      </w:r>
      <w:r w:rsidRPr="00FE3AD9">
        <w:rPr>
          <w:rFonts w:ascii="Times New Roman" w:eastAsiaTheme="minorEastAsia" w:hAnsi="Times New Roman"/>
          <w14:ligatures w14:val="standardContextual"/>
        </w:rPr>
        <w:t>: The funder retained the beneficial interest via resulting trust.</w:t>
      </w:r>
    </w:p>
    <w:p w14:paraId="4C5A8469"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Reasoning</w:t>
      </w:r>
      <w:r w:rsidRPr="00FE3AD9">
        <w:rPr>
          <w:rFonts w:ascii="Times New Roman" w:eastAsiaTheme="minorEastAsia" w:hAnsi="Times New Roman"/>
          <w14:ligatures w14:val="standardContextual"/>
        </w:rPr>
        <w:t>: Equity presumes retention unless rebutted by contrary evidence.</w:t>
      </w:r>
    </w:p>
    <w:p w14:paraId="47968EC7" w14:textId="1938DA73"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3. Hodgson v Marks (1971)</w:t>
      </w:r>
      <w:r w:rsidRPr="00FE3AD9">
        <w:rPr>
          <w:rFonts w:ascii="Times New Roman" w:eastAsiaTheme="minorEastAsia" w:hAnsi="Times New Roman"/>
          <w14:ligatures w14:val="standardContextual"/>
        </w:rPr>
        <w:t>:</w:t>
      </w:r>
    </w:p>
    <w:p w14:paraId="75F051F0"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Facts</w:t>
      </w:r>
      <w:r w:rsidRPr="00FE3AD9">
        <w:rPr>
          <w:rFonts w:ascii="Times New Roman" w:eastAsiaTheme="minorEastAsia" w:hAnsi="Times New Roman"/>
          <w14:ligatures w14:val="standardContextual"/>
        </w:rPr>
        <w:t>: A widow transferred property orally to a lodger for safekeeping, later sold without her consent.</w:t>
      </w:r>
    </w:p>
    <w:p w14:paraId="1F8468BD"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Held</w:t>
      </w:r>
      <w:r w:rsidRPr="00FE3AD9">
        <w:rPr>
          <w:rFonts w:ascii="Times New Roman" w:eastAsiaTheme="minorEastAsia" w:hAnsi="Times New Roman"/>
          <w14:ligatures w14:val="standardContextual"/>
        </w:rPr>
        <w:t>: Resulting trust arose as the transfer lacked intent to gift.</w:t>
      </w:r>
    </w:p>
    <w:p w14:paraId="35B2DA93"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lastRenderedPageBreak/>
        <w:t>Reasoning</w:t>
      </w:r>
      <w:r w:rsidRPr="00FE3AD9">
        <w:rPr>
          <w:rFonts w:ascii="Times New Roman" w:eastAsiaTheme="minorEastAsia" w:hAnsi="Times New Roman"/>
          <w14:ligatures w14:val="standardContextual"/>
        </w:rPr>
        <w:t>: Equity stepped in to prevent unjust outcomes, bypassing statutory formalities.</w:t>
      </w:r>
    </w:p>
    <w:p w14:paraId="297810EC" w14:textId="674C72AA"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4. </w:t>
      </w:r>
      <w:proofErr w:type="spellStart"/>
      <w:r w:rsidRPr="00FE3AD9">
        <w:rPr>
          <w:rFonts w:ascii="Times New Roman" w:eastAsiaTheme="minorEastAsia" w:hAnsi="Times New Roman"/>
          <w:b/>
          <w:bCs/>
          <w14:ligatures w14:val="standardContextual"/>
        </w:rPr>
        <w:t>Westdeutsche</w:t>
      </w:r>
      <w:proofErr w:type="spellEnd"/>
      <w:r w:rsidRPr="00FE3AD9">
        <w:rPr>
          <w:rFonts w:ascii="Times New Roman" w:eastAsiaTheme="minorEastAsia" w:hAnsi="Times New Roman"/>
          <w:b/>
          <w:bCs/>
          <w14:ligatures w14:val="standardContextual"/>
        </w:rPr>
        <w:t xml:space="preserve"> </w:t>
      </w:r>
      <w:proofErr w:type="spellStart"/>
      <w:r w:rsidRPr="00FE3AD9">
        <w:rPr>
          <w:rFonts w:ascii="Times New Roman" w:eastAsiaTheme="minorEastAsia" w:hAnsi="Times New Roman"/>
          <w:b/>
          <w:bCs/>
          <w14:ligatures w14:val="standardContextual"/>
        </w:rPr>
        <w:t>Landesbank</w:t>
      </w:r>
      <w:proofErr w:type="spellEnd"/>
      <w:r w:rsidRPr="00FE3AD9">
        <w:rPr>
          <w:rFonts w:ascii="Times New Roman" w:eastAsiaTheme="minorEastAsia" w:hAnsi="Times New Roman"/>
          <w:b/>
          <w:bCs/>
          <w14:ligatures w14:val="standardContextual"/>
        </w:rPr>
        <w:t xml:space="preserve"> v Islington LBC (1996)</w:t>
      </w:r>
      <w:r w:rsidRPr="00FE3AD9">
        <w:rPr>
          <w:rFonts w:ascii="Times New Roman" w:eastAsiaTheme="minorEastAsia" w:hAnsi="Times New Roman"/>
          <w14:ligatures w14:val="standardContextual"/>
        </w:rPr>
        <w:t>:</w:t>
      </w:r>
    </w:p>
    <w:p w14:paraId="7E2DE733"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Facts</w:t>
      </w:r>
      <w:r w:rsidRPr="00FE3AD9">
        <w:rPr>
          <w:rFonts w:ascii="Times New Roman" w:eastAsiaTheme="minorEastAsia" w:hAnsi="Times New Roman"/>
          <w14:ligatures w14:val="standardContextual"/>
        </w:rPr>
        <w:t>: Bank mistakenly transferred money under a void contract.</w:t>
      </w:r>
    </w:p>
    <w:p w14:paraId="420B9BF1"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Held</w:t>
      </w:r>
      <w:r w:rsidRPr="00FE3AD9">
        <w:rPr>
          <w:rFonts w:ascii="Times New Roman" w:eastAsiaTheme="minorEastAsia" w:hAnsi="Times New Roman"/>
          <w14:ligatures w14:val="standardContextual"/>
        </w:rPr>
        <w:t>: No resulting trust arose as the transferee lacked the requisite knowledge.</w:t>
      </w:r>
    </w:p>
    <w:p w14:paraId="526A5586" w14:textId="7777777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Reasoning</w:t>
      </w:r>
      <w:r w:rsidRPr="00FE3AD9">
        <w:rPr>
          <w:rFonts w:ascii="Times New Roman" w:eastAsiaTheme="minorEastAsia" w:hAnsi="Times New Roman"/>
          <w14:ligatures w14:val="standardContextual"/>
        </w:rPr>
        <w:t>: Trusts require mutual understanding of equitable obligations.</w:t>
      </w:r>
    </w:p>
    <w:p w14:paraId="545FE1E0"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46679F7C"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14:ligatures w14:val="standardContextual"/>
        </w:rPr>
      </w:pPr>
    </w:p>
    <w:p w14:paraId="7D69334D" w14:textId="77777777" w:rsidR="00BB60B3" w:rsidRPr="00FE3AD9" w:rsidRDefault="00BB60B3"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t>Scholarly Opinions</w:t>
      </w:r>
    </w:p>
    <w:p w14:paraId="47E20483"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John Mee</w:t>
      </w:r>
      <w:r w:rsidRPr="00FE3AD9">
        <w:rPr>
          <w:rFonts w:ascii="Times New Roman" w:eastAsiaTheme="minorEastAsia" w:hAnsi="Times New Roman"/>
          <w14:ligatures w14:val="standardContextual"/>
        </w:rPr>
        <w:t>:</w:t>
      </w:r>
    </w:p>
    <w:p w14:paraId="44D3F2E0" w14:textId="6B60ADCE"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Advocates limiting resulting trusts to gap-filling scenarios.</w:t>
      </w:r>
    </w:p>
    <w:p w14:paraId="12195AB0" w14:textId="67343F03"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Critiques presumed resulting trusts as outdated and unjustified in modern contexts.</w:t>
      </w:r>
    </w:p>
    <w:p w14:paraId="71B8C735"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Robert Chambers</w:t>
      </w:r>
      <w:r w:rsidRPr="00FE3AD9">
        <w:rPr>
          <w:rFonts w:ascii="Times New Roman" w:eastAsiaTheme="minorEastAsia" w:hAnsi="Times New Roman"/>
          <w14:ligatures w14:val="standardContextual"/>
        </w:rPr>
        <w:t>:</w:t>
      </w:r>
    </w:p>
    <w:p w14:paraId="58BF4213" w14:textId="3B4B4CB7"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Emphasizes unjust enrichment as the basis for resulting trusts.</w:t>
      </w:r>
    </w:p>
    <w:p w14:paraId="3C56BC7A" w14:textId="7D1D877B"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Criticized for failing to justify proprietary remedies in all unjust enrichment cases.</w:t>
      </w:r>
    </w:p>
    <w:p w14:paraId="66896B89" w14:textId="77777777" w:rsidR="00BB60B3" w:rsidRPr="00FE3AD9" w:rsidRDefault="00BB60B3"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William </w:t>
      </w:r>
      <w:proofErr w:type="spellStart"/>
      <w:r w:rsidRPr="00FE3AD9">
        <w:rPr>
          <w:rFonts w:ascii="Times New Roman" w:eastAsiaTheme="minorEastAsia" w:hAnsi="Times New Roman"/>
          <w:b/>
          <w:bCs/>
          <w14:ligatures w14:val="standardContextual"/>
        </w:rPr>
        <w:t>Swadling</w:t>
      </w:r>
      <w:proofErr w:type="spellEnd"/>
      <w:r w:rsidRPr="00FE3AD9">
        <w:rPr>
          <w:rFonts w:ascii="Times New Roman" w:eastAsiaTheme="minorEastAsia" w:hAnsi="Times New Roman"/>
          <w14:ligatures w14:val="standardContextual"/>
        </w:rPr>
        <w:t>:</w:t>
      </w:r>
    </w:p>
    <w:p w14:paraId="40EF5118" w14:textId="0085FA40"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Argues resulting trusts infer declarations of trust.</w:t>
      </w:r>
    </w:p>
    <w:p w14:paraId="3806D5E5" w14:textId="50A9D38B" w:rsidR="00BB60B3" w:rsidRPr="00FE3AD9" w:rsidRDefault="00BB60B3"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Criticized for misinterpreting historical foundations.</w:t>
      </w:r>
    </w:p>
    <w:p w14:paraId="42948E52" w14:textId="77777777" w:rsidR="00CD39F1" w:rsidRDefault="00CD39F1" w:rsidP="00FE3AD9">
      <w:pPr>
        <w:spacing w:after="240" w:line="360" w:lineRule="auto"/>
        <w:rPr>
          <w:rFonts w:ascii="Times New Roman" w:hAnsi="Times New Roman"/>
          <w:lang w:val="en-US"/>
        </w:rPr>
      </w:pPr>
    </w:p>
    <w:p w14:paraId="68A83E9C" w14:textId="77777777" w:rsidR="00FE3AD9" w:rsidRDefault="00FE3AD9" w:rsidP="00FE3AD9">
      <w:pPr>
        <w:spacing w:after="240" w:line="360" w:lineRule="auto"/>
        <w:rPr>
          <w:rFonts w:ascii="Times New Roman" w:hAnsi="Times New Roman"/>
          <w:lang w:val="en-US"/>
        </w:rPr>
      </w:pPr>
    </w:p>
    <w:p w14:paraId="7EAF91A2" w14:textId="77777777" w:rsidR="00FE3AD9" w:rsidRDefault="00FE3AD9" w:rsidP="00FE3AD9">
      <w:pPr>
        <w:spacing w:after="240" w:line="360" w:lineRule="auto"/>
        <w:rPr>
          <w:rFonts w:ascii="Times New Roman" w:hAnsi="Times New Roman"/>
          <w:lang w:val="en-US"/>
        </w:rPr>
      </w:pPr>
    </w:p>
    <w:p w14:paraId="70C1EB4A" w14:textId="024456CF" w:rsidR="00FE3AD9" w:rsidRPr="00FE3AD9" w:rsidRDefault="00FE3AD9" w:rsidP="00FE3AD9">
      <w:pPr>
        <w:autoSpaceDE w:val="0"/>
        <w:autoSpaceDN w:val="0"/>
        <w:adjustRightInd w:val="0"/>
        <w:spacing w:after="240" w:line="360" w:lineRule="auto"/>
        <w:rPr>
          <w:rFonts w:ascii="Times New Roman" w:eastAsiaTheme="minorEastAsia" w:hAnsi="Times New Roman"/>
          <w:b/>
          <w:bCs/>
          <w14:ligatures w14:val="standardContextual"/>
        </w:rPr>
      </w:pPr>
      <w:r w:rsidRPr="00FE3AD9">
        <w:rPr>
          <w:rFonts w:ascii="Times New Roman" w:eastAsiaTheme="minorEastAsia" w:hAnsi="Times New Roman"/>
          <w:b/>
          <w:bCs/>
          <w14:ligatures w14:val="standardContextual"/>
        </w:rPr>
        <w:lastRenderedPageBreak/>
        <w:t>The Retention Theory Explained</w:t>
      </w:r>
    </w:p>
    <w:p w14:paraId="5A6C6F0A"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Basic Premise</w:t>
      </w:r>
      <w:r w:rsidRPr="00FE3AD9">
        <w:rPr>
          <w:rFonts w:ascii="Times New Roman" w:eastAsiaTheme="minorEastAsia" w:hAnsi="Times New Roman"/>
          <w14:ligatures w14:val="standardContextual"/>
        </w:rPr>
        <w:t>: The retention theory argues that resulting trusts arise because the transferor (settlor) retains a pre-existing equitable interest that was never effectively transferred to the transferee.</w:t>
      </w:r>
    </w:p>
    <w:p w14:paraId="0CECC7E6"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Historical Context</w:t>
      </w:r>
      <w:r w:rsidRPr="00FE3AD9">
        <w:rPr>
          <w:rFonts w:ascii="Times New Roman" w:eastAsiaTheme="minorEastAsia" w:hAnsi="Times New Roman"/>
          <w14:ligatures w14:val="standardContextual"/>
        </w:rPr>
        <w:t>: This idea stems from the medieval concept of resulting uses, where unallocated beneficial interests were assumed to "stay" with the settlor unless expressly transferred.</w:t>
      </w:r>
    </w:p>
    <w:p w14:paraId="4862A488" w14:textId="77777777" w:rsidR="00FE3AD9" w:rsidRPr="00FE3AD9" w:rsidRDefault="00FE3AD9" w:rsidP="00FE3AD9">
      <w:pPr>
        <w:autoSpaceDE w:val="0"/>
        <w:autoSpaceDN w:val="0"/>
        <w:adjustRightInd w:val="0"/>
        <w:spacing w:after="240" w:line="360" w:lineRule="auto"/>
        <w:rPr>
          <w:rFonts w:ascii="Times New Roman" w:eastAsiaTheme="minorEastAsia" w:hAnsi="Times New Roman"/>
          <w14:ligatures w14:val="standardContextual"/>
        </w:rPr>
      </w:pPr>
    </w:p>
    <w:p w14:paraId="6AEFB0DC" w14:textId="55605346" w:rsidR="00FE3AD9" w:rsidRPr="00FE3AD9" w:rsidRDefault="00FE3AD9" w:rsidP="00FE3AD9">
      <w:pPr>
        <w:autoSpaceDE w:val="0"/>
        <w:autoSpaceDN w:val="0"/>
        <w:adjustRightInd w:val="0"/>
        <w:spacing w:after="240" w:line="360" w:lineRule="auto"/>
        <w:rPr>
          <w:rFonts w:ascii="Times New Roman" w:eastAsiaTheme="minorEastAsia" w:hAnsi="Times New Roman"/>
          <w:b/>
          <w:bCs/>
          <w:u w:val="single"/>
          <w14:ligatures w14:val="standardContextual"/>
        </w:rPr>
      </w:pPr>
      <w:r w:rsidRPr="00FE3AD9">
        <w:rPr>
          <w:rFonts w:ascii="Times New Roman" w:eastAsiaTheme="minorEastAsia" w:hAnsi="Times New Roman"/>
          <w:b/>
          <w:bCs/>
          <w:u w:val="single"/>
          <w14:ligatures w14:val="standardContextual"/>
        </w:rPr>
        <w:t>Why Retention is Theoretical</w:t>
      </w:r>
    </w:p>
    <w:p w14:paraId="0860CC41" w14:textId="12F07A6B" w:rsidR="00FE3AD9" w:rsidRPr="00FE3AD9" w:rsidRDefault="00FE3AD9" w:rsidP="00FE3AD9">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FE3AD9">
        <w:rPr>
          <w:rFonts w:ascii="Times New Roman" w:eastAsiaTheme="minorEastAsia" w:hAnsi="Times New Roman"/>
          <w:b/>
          <w:bCs/>
          <w14:ligatures w14:val="standardContextual"/>
        </w:rPr>
        <w:t>Mismatch with Modern Legal Reality</w:t>
      </w:r>
    </w:p>
    <w:p w14:paraId="0488957C"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Legal Rights Change</w:t>
      </w:r>
      <w:r w:rsidRPr="00FE3AD9">
        <w:rPr>
          <w:rFonts w:ascii="Times New Roman" w:eastAsiaTheme="minorEastAsia" w:hAnsi="Times New Roman"/>
          <w14:ligatures w14:val="standardContextual"/>
        </w:rPr>
        <w:t>:</w:t>
      </w:r>
    </w:p>
    <w:p w14:paraId="06DB6E8C"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Mee argues that when a resulting trust arises, the equitable rights created are fundamentally different from the legal ownership rights the settlor held before the transfer.</w:t>
      </w:r>
    </w:p>
    <w:p w14:paraId="2B2CA2B0"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Example: Before a transfer, the settlor has full legal and equitable ownership. After a resulting trust is created, the settlor no longer holds legal title but acquires an equitable interest.</w:t>
      </w:r>
    </w:p>
    <w:p w14:paraId="6A6A0BC2"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This change means the settlor is not simply "retaining" something they already had; they are acquiring new rights under a different legal framework.</w:t>
      </w:r>
    </w:p>
    <w:p w14:paraId="0151F8CF" w14:textId="6DF38A6F" w:rsidR="00FE3AD9" w:rsidRPr="00FE3AD9" w:rsidRDefault="00FE3AD9" w:rsidP="00FE3AD9">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2. </w:t>
      </w:r>
      <w:r w:rsidRPr="00FE3AD9">
        <w:rPr>
          <w:rFonts w:ascii="Times New Roman" w:eastAsiaTheme="minorEastAsia" w:hAnsi="Times New Roman"/>
          <w:b/>
          <w:bCs/>
          <w14:ligatures w14:val="standardContextual"/>
        </w:rPr>
        <w:t>Normative Inertia</w:t>
      </w:r>
    </w:p>
    <w:p w14:paraId="40C2BCD2"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No Self-Sustaining Justification</w:t>
      </w:r>
      <w:r w:rsidRPr="00FE3AD9">
        <w:rPr>
          <w:rFonts w:ascii="Times New Roman" w:eastAsiaTheme="minorEastAsia" w:hAnsi="Times New Roman"/>
          <w14:ligatures w14:val="standardContextual"/>
        </w:rPr>
        <w:t>:</w:t>
      </w:r>
    </w:p>
    <w:p w14:paraId="09D290CC"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 retention argument assumes that because the settlor owned the property before, their continued ownership is justified.</w:t>
      </w:r>
    </w:p>
    <w:p w14:paraId="6E098C24"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However, this explanation relies on historical assumptions that do not apply to modern transactions. It does not independently justify why ownership should revert to the transferor.</w:t>
      </w:r>
    </w:p>
    <w:p w14:paraId="7F523D75"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lastRenderedPageBreak/>
        <w:t>Mee calls this "normatively inert," meaning it lacks a compelling rationale beyond asserting the transferor's prior ownership.</w:t>
      </w:r>
    </w:p>
    <w:p w14:paraId="110C9F6D" w14:textId="7F0B4840" w:rsidR="00FE3AD9" w:rsidRPr="00FE3AD9" w:rsidRDefault="00FE3AD9" w:rsidP="00FE3AD9">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3. </w:t>
      </w:r>
      <w:r w:rsidRPr="00FE3AD9">
        <w:rPr>
          <w:rFonts w:ascii="Times New Roman" w:eastAsiaTheme="minorEastAsia" w:hAnsi="Times New Roman"/>
          <w:b/>
          <w:bCs/>
          <w14:ligatures w14:val="standardContextual"/>
        </w:rPr>
        <w:t>Critique of Substance Over Form</w:t>
      </w:r>
    </w:p>
    <w:p w14:paraId="2C4CDE0F"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 xml:space="preserve">Penner’s </w:t>
      </w:r>
      <w:proofErr w:type="spellStart"/>
      <w:r w:rsidRPr="00FE3AD9">
        <w:rPr>
          <w:rFonts w:ascii="Times New Roman" w:eastAsiaTheme="minorEastAsia" w:hAnsi="Times New Roman"/>
          <w:b/>
          <w:bCs/>
          <w14:ligatures w14:val="standardContextual"/>
        </w:rPr>
        <w:t>Defense</w:t>
      </w:r>
      <w:proofErr w:type="spellEnd"/>
      <w:r w:rsidRPr="00FE3AD9">
        <w:rPr>
          <w:rFonts w:ascii="Times New Roman" w:eastAsiaTheme="minorEastAsia" w:hAnsi="Times New Roman"/>
          <w14:ligatures w14:val="standardContextual"/>
        </w:rPr>
        <w:t>:</w:t>
      </w:r>
    </w:p>
    <w:p w14:paraId="1BEFA78A"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Professor James Penner supports the retention model, arguing that objections are overly theoretical. He suggests that the settlor is substantively retaining something they already owned, even if the legal form changes.</w:t>
      </w:r>
    </w:p>
    <w:p w14:paraId="53FB148D"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Mee’s Rebuttal</w:t>
      </w:r>
      <w:r w:rsidRPr="00FE3AD9">
        <w:rPr>
          <w:rFonts w:ascii="Times New Roman" w:eastAsiaTheme="minorEastAsia" w:hAnsi="Times New Roman"/>
          <w14:ligatures w14:val="standardContextual"/>
        </w:rPr>
        <w:t>:</w:t>
      </w:r>
    </w:p>
    <w:p w14:paraId="625040A2"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 xml:space="preserve">Mee counters that this </w:t>
      </w:r>
      <w:proofErr w:type="spellStart"/>
      <w:r w:rsidRPr="00FE3AD9">
        <w:rPr>
          <w:rFonts w:ascii="Times New Roman" w:eastAsiaTheme="minorEastAsia" w:hAnsi="Times New Roman"/>
          <w14:ligatures w14:val="standardContextual"/>
        </w:rPr>
        <w:t>defense</w:t>
      </w:r>
      <w:proofErr w:type="spellEnd"/>
      <w:r w:rsidRPr="00FE3AD9">
        <w:rPr>
          <w:rFonts w:ascii="Times New Roman" w:eastAsiaTheme="minorEastAsia" w:hAnsi="Times New Roman"/>
          <w14:ligatures w14:val="standardContextual"/>
        </w:rPr>
        <w:t xml:space="preserve"> conflates form and substance without offering a strong normative basis. While the retention idea might serve as a metaphor, it cannot substantiate why resulting trusts arise in modern contexts.</w:t>
      </w:r>
    </w:p>
    <w:p w14:paraId="3BCC77C5" w14:textId="37BFA1CC" w:rsidR="00FE3AD9" w:rsidRPr="00FE3AD9" w:rsidRDefault="00FE3AD9" w:rsidP="00FE3AD9">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4. </w:t>
      </w:r>
      <w:r w:rsidRPr="00FE3AD9">
        <w:rPr>
          <w:rFonts w:ascii="Times New Roman" w:eastAsiaTheme="minorEastAsia" w:hAnsi="Times New Roman"/>
          <w:b/>
          <w:bCs/>
          <w14:ligatures w14:val="standardContextual"/>
        </w:rPr>
        <w:t>Fiction of Pre-Existing Ownership</w:t>
      </w:r>
    </w:p>
    <w:p w14:paraId="2E1B9024" w14:textId="77777777"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b/>
          <w:bCs/>
          <w14:ligatures w14:val="standardContextual"/>
        </w:rPr>
        <w:t>Creation of New Rights</w:t>
      </w:r>
      <w:r w:rsidRPr="00FE3AD9">
        <w:rPr>
          <w:rFonts w:ascii="Times New Roman" w:eastAsiaTheme="minorEastAsia" w:hAnsi="Times New Roman"/>
          <w14:ligatures w14:val="standardContextual"/>
        </w:rPr>
        <w:t>:</w:t>
      </w:r>
    </w:p>
    <w:p w14:paraId="72758B2B"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The retention model assumes that the equitable interest existed before the trust arose, but Mee highlights that resulting trusts create new equitable rights. These rights did not exist in the same form prior to the transfer.</w:t>
      </w:r>
    </w:p>
    <w:p w14:paraId="2268E583" w14:textId="34A600B5"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sym w:font="Wingdings" w:char="F0E0"/>
      </w:r>
      <w:r>
        <w:rPr>
          <w:rFonts w:ascii="Times New Roman" w:eastAsiaTheme="minorEastAsia" w:hAnsi="Times New Roman"/>
          <w14:ligatures w14:val="standardContextual"/>
        </w:rPr>
        <w:t xml:space="preserve"> </w:t>
      </w:r>
      <w:r w:rsidRPr="00FE3AD9">
        <w:rPr>
          <w:rFonts w:ascii="Times New Roman" w:eastAsiaTheme="minorEastAsia" w:hAnsi="Times New Roman"/>
          <w14:ligatures w14:val="standardContextual"/>
        </w:rPr>
        <w:t xml:space="preserve">Example: Lord Browne-Wilkinson in </w:t>
      </w:r>
      <w:proofErr w:type="spellStart"/>
      <w:r w:rsidRPr="00FE3AD9">
        <w:rPr>
          <w:rFonts w:ascii="Times New Roman" w:eastAsiaTheme="minorEastAsia" w:hAnsi="Times New Roman"/>
          <w:i/>
          <w:iCs/>
          <w14:ligatures w14:val="standardContextual"/>
        </w:rPr>
        <w:t>Westdeutsche</w:t>
      </w:r>
      <w:proofErr w:type="spellEnd"/>
      <w:r w:rsidRPr="00FE3AD9">
        <w:rPr>
          <w:rFonts w:ascii="Times New Roman" w:eastAsiaTheme="minorEastAsia" w:hAnsi="Times New Roman"/>
          <w:i/>
          <w:iCs/>
          <w14:ligatures w14:val="standardContextual"/>
        </w:rPr>
        <w:t xml:space="preserve"> </w:t>
      </w:r>
      <w:proofErr w:type="spellStart"/>
      <w:r w:rsidRPr="00FE3AD9">
        <w:rPr>
          <w:rFonts w:ascii="Times New Roman" w:eastAsiaTheme="minorEastAsia" w:hAnsi="Times New Roman"/>
          <w:i/>
          <w:iCs/>
          <w14:ligatures w14:val="standardContextual"/>
        </w:rPr>
        <w:t>Landesbank</w:t>
      </w:r>
      <w:proofErr w:type="spellEnd"/>
      <w:r w:rsidRPr="00FE3AD9">
        <w:rPr>
          <w:rFonts w:ascii="Times New Roman" w:eastAsiaTheme="minorEastAsia" w:hAnsi="Times New Roman"/>
          <w:i/>
          <w:iCs/>
          <w14:ligatures w14:val="standardContextual"/>
        </w:rPr>
        <w:t xml:space="preserve"> v Islington LBC</w:t>
      </w:r>
      <w:r w:rsidRPr="00FE3AD9">
        <w:rPr>
          <w:rFonts w:ascii="Times New Roman" w:eastAsiaTheme="minorEastAsia" w:hAnsi="Times New Roman"/>
          <w14:ligatures w14:val="standardContextual"/>
        </w:rPr>
        <w:t xml:space="preserve"> clarified that equitable ownership is not inherently retained when legal ownership is transferred.</w:t>
      </w:r>
    </w:p>
    <w:p w14:paraId="0588C310" w14:textId="77777777" w:rsidR="00A475C8" w:rsidRPr="00FE3AD9" w:rsidRDefault="00A475C8" w:rsidP="00FE3AD9">
      <w:pPr>
        <w:autoSpaceDE w:val="0"/>
        <w:autoSpaceDN w:val="0"/>
        <w:adjustRightInd w:val="0"/>
        <w:spacing w:after="240" w:line="360" w:lineRule="auto"/>
        <w:rPr>
          <w:rFonts w:ascii="Times New Roman" w:eastAsiaTheme="minorEastAsia" w:hAnsi="Times New Roman"/>
          <w14:ligatures w14:val="standardContextual"/>
        </w:rPr>
      </w:pPr>
    </w:p>
    <w:p w14:paraId="14E9F40E" w14:textId="09B3B9F2" w:rsidR="00FE3AD9" w:rsidRPr="00FE3AD9" w:rsidRDefault="00FE3AD9" w:rsidP="00FE3AD9">
      <w:pPr>
        <w:autoSpaceDE w:val="0"/>
        <w:autoSpaceDN w:val="0"/>
        <w:adjustRightInd w:val="0"/>
        <w:spacing w:after="240" w:line="360" w:lineRule="auto"/>
        <w:rPr>
          <w:rFonts w:ascii="Times New Roman" w:eastAsiaTheme="minorEastAsia" w:hAnsi="Times New Roman"/>
          <w:b/>
          <w:bCs/>
          <w:u w:val="single"/>
          <w14:ligatures w14:val="standardContextual"/>
        </w:rPr>
      </w:pPr>
      <w:r w:rsidRPr="00FE3AD9">
        <w:rPr>
          <w:rFonts w:ascii="Times New Roman" w:eastAsiaTheme="minorEastAsia" w:hAnsi="Times New Roman"/>
          <w:b/>
          <w:bCs/>
          <w:u w:val="single"/>
          <w14:ligatures w14:val="standardContextual"/>
        </w:rPr>
        <w:t>Implications of Rejecting Retention</w:t>
      </w:r>
    </w:p>
    <w:p w14:paraId="6E44791A" w14:textId="5F9A3FFB"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FE3AD9">
        <w:rPr>
          <w:rFonts w:ascii="Times New Roman" w:eastAsiaTheme="minorEastAsia" w:hAnsi="Times New Roman"/>
          <w:b/>
          <w:bCs/>
          <w14:ligatures w14:val="standardContextual"/>
        </w:rPr>
        <w:t>Convenient Metaphor</w:t>
      </w:r>
      <w:r w:rsidRPr="00FE3AD9">
        <w:rPr>
          <w:rFonts w:ascii="Times New Roman" w:eastAsiaTheme="minorEastAsia" w:hAnsi="Times New Roman"/>
          <w14:ligatures w14:val="standardContextual"/>
        </w:rPr>
        <w:t>:</w:t>
      </w:r>
    </w:p>
    <w:p w14:paraId="53E6C73E"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Mee acknowledges that the retention theory might be helpful as a metaphor for explaining some legal rules but emphasizes that it does not provide a robust doctrinal or normative framework for resulting trusts.</w:t>
      </w:r>
    </w:p>
    <w:p w14:paraId="57766579" w14:textId="6A7FA730" w:rsidR="00FE3AD9" w:rsidRPr="00FE3AD9" w:rsidRDefault="00FE3AD9" w:rsidP="00FE3AD9">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lastRenderedPageBreak/>
        <w:t xml:space="preserve">2. </w:t>
      </w:r>
      <w:r w:rsidRPr="00FE3AD9">
        <w:rPr>
          <w:rFonts w:ascii="Times New Roman" w:eastAsiaTheme="minorEastAsia" w:hAnsi="Times New Roman"/>
          <w:b/>
          <w:bCs/>
          <w14:ligatures w14:val="standardContextual"/>
        </w:rPr>
        <w:t>Gap-Filling Role</w:t>
      </w:r>
      <w:r w:rsidRPr="00FE3AD9">
        <w:rPr>
          <w:rFonts w:ascii="Times New Roman" w:eastAsiaTheme="minorEastAsia" w:hAnsi="Times New Roman"/>
          <w14:ligatures w14:val="standardContextual"/>
        </w:rPr>
        <w:t>:</w:t>
      </w:r>
    </w:p>
    <w:p w14:paraId="741FA586" w14:textId="77777777" w:rsidR="00FE3AD9" w:rsidRPr="00FE3AD9" w:rsidRDefault="00FE3AD9" w:rsidP="00FE3AD9">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FE3AD9">
        <w:rPr>
          <w:rFonts w:ascii="Times New Roman" w:eastAsiaTheme="minorEastAsia" w:hAnsi="Times New Roman"/>
          <w14:ligatures w14:val="standardContextual"/>
        </w:rPr>
        <w:t>He suggests that resulting trusts should instead be justified on their functional role in filling gaps in beneficial ownership (as with "automatic" resulting trusts) or addressing specific equitable principles.</w:t>
      </w:r>
    </w:p>
    <w:p w14:paraId="7D1E0C53" w14:textId="77777777" w:rsidR="00FE3AD9" w:rsidRPr="00FE3AD9" w:rsidRDefault="00FE3AD9" w:rsidP="00FE3AD9">
      <w:pPr>
        <w:autoSpaceDE w:val="0"/>
        <w:autoSpaceDN w:val="0"/>
        <w:adjustRightInd w:val="0"/>
        <w:spacing w:after="240" w:line="360" w:lineRule="auto"/>
        <w:rPr>
          <w:rFonts w:ascii="Times New Roman" w:eastAsiaTheme="minorEastAsia" w:hAnsi="Times New Roman"/>
          <w14:ligatures w14:val="standardContextual"/>
        </w:rPr>
      </w:pPr>
    </w:p>
    <w:p w14:paraId="0470D6EE" w14:textId="40500F24"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Why Presumed Resulting Trusts are Outdated</w:t>
      </w:r>
    </w:p>
    <w:p w14:paraId="77F22872" w14:textId="59314F56"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A475C8">
        <w:rPr>
          <w:rFonts w:ascii="Times New Roman" w:eastAsiaTheme="minorEastAsia" w:hAnsi="Times New Roman"/>
          <w:b/>
          <w:bCs/>
          <w14:ligatures w14:val="standardContextual"/>
        </w:rPr>
        <w:t>Historical Context</w:t>
      </w:r>
      <w:r w:rsidRPr="00A475C8">
        <w:rPr>
          <w:rFonts w:ascii="Times New Roman" w:eastAsiaTheme="minorEastAsia" w:hAnsi="Times New Roman"/>
          <w14:ligatures w14:val="standardContextual"/>
        </w:rPr>
        <w:t>:</w:t>
      </w:r>
    </w:p>
    <w:p w14:paraId="2650D8A2" w14:textId="6E30BCAC" w:rsidR="00A475C8" w:rsidRPr="00A475C8" w:rsidRDefault="00A475C8" w:rsidP="00A475C8">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Presumed resulting trusts, like purchase money resulting trusts and voluntary transfer trusts, were rooted in historical societal norms, particularly the idea that gratuitous transfers (or contributions) implied no intention to benefit the transferee.</w:t>
      </w:r>
    </w:p>
    <w:p w14:paraId="398BC021" w14:textId="560B895C" w:rsidR="00A475C8" w:rsidRPr="00A475C8" w:rsidRDefault="00A475C8" w:rsidP="00A475C8">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This presumption reflected older, rigid property norms, where equity filled in gaps to avoid unintentional transfers of beneficial interest.</w:t>
      </w:r>
    </w:p>
    <w:p w14:paraId="41567905" w14:textId="3CDFA3D8"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A475C8">
        <w:rPr>
          <w:rFonts w:ascii="Times New Roman" w:eastAsiaTheme="minorEastAsia" w:hAnsi="Times New Roman"/>
          <w:b/>
          <w:bCs/>
          <w14:ligatures w14:val="standardContextual"/>
        </w:rPr>
        <w:t>Modern Developments</w:t>
      </w:r>
      <w:r w:rsidRPr="00A475C8">
        <w:rPr>
          <w:rFonts w:ascii="Times New Roman" w:eastAsiaTheme="minorEastAsia" w:hAnsi="Times New Roman"/>
          <w14:ligatures w14:val="standardContextual"/>
        </w:rPr>
        <w:t>:</w:t>
      </w:r>
    </w:p>
    <w:p w14:paraId="2D6D9626" w14:textId="7777777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 xml:space="preserve">Mee argues that modern relationships and transactions no longer align with these presumptions. For example, in family contexts (e.g., cohabitation disputes), it is now more appropriate to rely on </w:t>
      </w:r>
      <w:r w:rsidRPr="00A475C8">
        <w:rPr>
          <w:rFonts w:ascii="Times New Roman" w:eastAsiaTheme="minorEastAsia" w:hAnsi="Times New Roman"/>
          <w:b/>
          <w:bCs/>
          <w14:ligatures w14:val="standardContextual"/>
        </w:rPr>
        <w:t>constructive trusts</w:t>
      </w:r>
      <w:r w:rsidRPr="00A475C8">
        <w:rPr>
          <w:rFonts w:ascii="Times New Roman" w:eastAsiaTheme="minorEastAsia" w:hAnsi="Times New Roman"/>
          <w14:ligatures w14:val="standardContextual"/>
        </w:rPr>
        <w:t xml:space="preserve"> that account for shared intentions and contributions rather than relying on outdated default presumptions.</w:t>
      </w:r>
    </w:p>
    <w:p w14:paraId="602607C5"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14:ligatures w14:val="standardContextual"/>
        </w:rPr>
      </w:pPr>
    </w:p>
    <w:p w14:paraId="2E04F3D9" w14:textId="14FE9B7B"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3. </w:t>
      </w:r>
      <w:r w:rsidRPr="00A475C8">
        <w:rPr>
          <w:rFonts w:ascii="Times New Roman" w:eastAsiaTheme="minorEastAsia" w:hAnsi="Times New Roman"/>
          <w:b/>
          <w:bCs/>
          <w14:ligatures w14:val="standardContextual"/>
        </w:rPr>
        <w:t>Replacement by Constructive Trusts</w:t>
      </w:r>
    </w:p>
    <w:p w14:paraId="1900A098" w14:textId="6648E9A2" w:rsid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A475C8">
        <w:rPr>
          <w:rFonts w:ascii="Times New Roman" w:eastAsiaTheme="minorEastAsia" w:hAnsi="Times New Roman"/>
          <w:b/>
          <w:bCs/>
          <w14:ligatures w14:val="standardContextual"/>
        </w:rPr>
        <w:t>Purchase Money Resulting Trusts</w:t>
      </w:r>
      <w:r w:rsidRPr="00A475C8">
        <w:rPr>
          <w:rFonts w:ascii="Times New Roman" w:eastAsiaTheme="minorEastAsia" w:hAnsi="Times New Roman"/>
          <w14:ligatures w14:val="standardContextual"/>
        </w:rPr>
        <w:t>:</w:t>
      </w:r>
    </w:p>
    <w:p w14:paraId="26D6DD36" w14:textId="1548DF46" w:rsidR="00A475C8" w:rsidRPr="00A475C8" w:rsidRDefault="00A475C8" w:rsidP="00A475C8">
      <w:pPr>
        <w:pStyle w:val="ListParagraph"/>
        <w:numPr>
          <w:ilvl w:val="0"/>
          <w:numId w:val="14"/>
        </w:num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These arise when one party provides the purchase money for a property registered in another party’s name. The presumption is that the provider of the funds retains the beneficial interest.</w:t>
      </w:r>
    </w:p>
    <w:p w14:paraId="46AE892E" w14:textId="78904388" w:rsidR="00A475C8" w:rsidRDefault="00A475C8" w:rsidP="00A475C8">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lastRenderedPageBreak/>
        <w:t xml:space="preserve">Modern cohabitation and family property disputes have shifted towards using </w:t>
      </w:r>
      <w:r w:rsidRPr="00A475C8">
        <w:rPr>
          <w:rFonts w:ascii="Times New Roman" w:eastAsiaTheme="minorEastAsia" w:hAnsi="Times New Roman"/>
          <w:b/>
          <w:bCs/>
          <w14:ligatures w14:val="standardContextual"/>
        </w:rPr>
        <w:t>common intention constructive trusts</w:t>
      </w:r>
      <w:r w:rsidRPr="00A475C8">
        <w:rPr>
          <w:rFonts w:ascii="Times New Roman" w:eastAsiaTheme="minorEastAsia" w:hAnsi="Times New Roman"/>
          <w14:ligatures w14:val="standardContextual"/>
        </w:rPr>
        <w:t xml:space="preserve"> instead, which assess the actual shared understanding or agreement between the parties.</w:t>
      </w:r>
    </w:p>
    <w:p w14:paraId="7711ED2A" w14:textId="77777777" w:rsidR="00A475C8" w:rsidRPr="00A475C8" w:rsidRDefault="00A475C8" w:rsidP="00A475C8">
      <w:pPr>
        <w:tabs>
          <w:tab w:val="left" w:pos="940"/>
          <w:tab w:val="left" w:pos="1440"/>
        </w:tabs>
        <w:autoSpaceDE w:val="0"/>
        <w:autoSpaceDN w:val="0"/>
        <w:adjustRightInd w:val="0"/>
        <w:spacing w:after="240" w:line="360" w:lineRule="auto"/>
        <w:ind w:left="360"/>
        <w:rPr>
          <w:rFonts w:ascii="Times New Roman" w:eastAsiaTheme="minorEastAsia" w:hAnsi="Times New Roman"/>
          <w14:ligatures w14:val="standardContextual"/>
        </w:rPr>
      </w:pPr>
    </w:p>
    <w:p w14:paraId="30D18619" w14:textId="5BC8B829"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4. </w:t>
      </w:r>
      <w:r w:rsidRPr="00A475C8">
        <w:rPr>
          <w:rFonts w:ascii="Times New Roman" w:eastAsiaTheme="minorEastAsia" w:hAnsi="Times New Roman"/>
          <w:b/>
          <w:bCs/>
          <w14:ligatures w14:val="standardContextual"/>
        </w:rPr>
        <w:t>Judicial Development</w:t>
      </w:r>
      <w:r w:rsidRPr="00A475C8">
        <w:rPr>
          <w:rFonts w:ascii="Times New Roman" w:eastAsiaTheme="minorEastAsia" w:hAnsi="Times New Roman"/>
          <w14:ligatures w14:val="standardContextual"/>
        </w:rPr>
        <w:t>:</w:t>
      </w:r>
    </w:p>
    <w:p w14:paraId="7112457F" w14:textId="3963BBD9"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i/>
          <w:iCs/>
          <w14:ligatures w14:val="standardContextual"/>
        </w:rPr>
        <w:t>Stack v Dowden</w:t>
      </w:r>
      <w:r w:rsidRPr="00A475C8">
        <w:rPr>
          <w:rFonts w:ascii="Times New Roman" w:eastAsiaTheme="minorEastAsia" w:hAnsi="Times New Roman"/>
          <w:b/>
          <w:bCs/>
          <w14:ligatures w14:val="standardContextual"/>
        </w:rPr>
        <w:t xml:space="preserve"> and </w:t>
      </w:r>
      <w:r w:rsidRPr="00A475C8">
        <w:rPr>
          <w:rFonts w:ascii="Times New Roman" w:eastAsiaTheme="minorEastAsia" w:hAnsi="Times New Roman"/>
          <w:b/>
          <w:bCs/>
          <w:i/>
          <w:iCs/>
          <w14:ligatures w14:val="standardContextual"/>
        </w:rPr>
        <w:t>Jones v Kernott</w:t>
      </w:r>
      <w:r>
        <w:rPr>
          <w:rFonts w:ascii="Times New Roman" w:eastAsiaTheme="minorEastAsia" w:hAnsi="Times New Roman"/>
          <w:i/>
          <w:iCs/>
          <w14:ligatures w14:val="standardContextual"/>
        </w:rPr>
        <w:t>:</w:t>
      </w:r>
      <w:r w:rsidRPr="00A475C8">
        <w:rPr>
          <w:rFonts w:ascii="Times New Roman" w:eastAsiaTheme="minorEastAsia" w:hAnsi="Times New Roman"/>
          <w14:ligatures w14:val="standardContextual"/>
        </w:rPr>
        <w:t xml:space="preserve"> </w:t>
      </w:r>
      <w:r>
        <w:rPr>
          <w:rFonts w:ascii="Times New Roman" w:eastAsiaTheme="minorEastAsia" w:hAnsi="Times New Roman"/>
          <w14:ligatures w14:val="standardContextual"/>
        </w:rPr>
        <w:t>E</w:t>
      </w:r>
      <w:r w:rsidRPr="00A475C8">
        <w:rPr>
          <w:rFonts w:ascii="Times New Roman" w:eastAsiaTheme="minorEastAsia" w:hAnsi="Times New Roman"/>
          <w14:ligatures w14:val="standardContextual"/>
        </w:rPr>
        <w:t xml:space="preserve">mphasize </w:t>
      </w:r>
      <w:proofErr w:type="spellStart"/>
      <w:r w:rsidRPr="00A475C8">
        <w:rPr>
          <w:rFonts w:ascii="Times New Roman" w:eastAsiaTheme="minorEastAsia" w:hAnsi="Times New Roman"/>
          <w14:ligatures w14:val="standardContextual"/>
        </w:rPr>
        <w:t>analyzing</w:t>
      </w:r>
      <w:proofErr w:type="spellEnd"/>
      <w:r w:rsidRPr="00A475C8">
        <w:rPr>
          <w:rFonts w:ascii="Times New Roman" w:eastAsiaTheme="minorEastAsia" w:hAnsi="Times New Roman"/>
          <w14:ligatures w14:val="standardContextual"/>
        </w:rPr>
        <w:t xml:space="preserve"> the intentions of parties involved in shared property disputes, marking a move away from presumed resulting trusts to constructive trusts.</w:t>
      </w:r>
    </w:p>
    <w:p w14:paraId="6500FFDD"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Mee’s Argument</w:t>
      </w:r>
      <w:r w:rsidRPr="00A475C8">
        <w:rPr>
          <w:rFonts w:ascii="Times New Roman" w:eastAsiaTheme="minorEastAsia" w:hAnsi="Times New Roman"/>
          <w14:ligatures w14:val="standardContextual"/>
        </w:rPr>
        <w:t>:</w:t>
      </w:r>
    </w:p>
    <w:p w14:paraId="72649C52" w14:textId="7777777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Presumed resulting trusts in such cases are outdated because:</w:t>
      </w:r>
    </w:p>
    <w:p w14:paraId="18CDEA3B" w14:textId="6EA78BE0" w:rsidR="00A475C8" w:rsidRPr="00A475C8" w:rsidRDefault="00A475C8" w:rsidP="00A475C8">
      <w:pPr>
        <w:tabs>
          <w:tab w:val="left" w:pos="1660"/>
          <w:tab w:val="left" w:pos="216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1. </w:t>
      </w:r>
      <w:r w:rsidRPr="00A475C8">
        <w:rPr>
          <w:rFonts w:ascii="Times New Roman" w:eastAsiaTheme="minorEastAsia" w:hAnsi="Times New Roman"/>
          <w14:ligatures w14:val="standardContextual"/>
        </w:rPr>
        <w:t>They fail to account for the complexities of modern relationships and property ownership.</w:t>
      </w:r>
    </w:p>
    <w:p w14:paraId="2E9F9740" w14:textId="5487E21B" w:rsidR="00A475C8" w:rsidRDefault="00A475C8" w:rsidP="00A475C8">
      <w:pPr>
        <w:tabs>
          <w:tab w:val="left" w:pos="1660"/>
          <w:tab w:val="left" w:pos="216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2. </w:t>
      </w:r>
      <w:r w:rsidRPr="00A475C8">
        <w:rPr>
          <w:rFonts w:ascii="Times New Roman" w:eastAsiaTheme="minorEastAsia" w:hAnsi="Times New Roman"/>
          <w14:ligatures w14:val="standardContextual"/>
        </w:rPr>
        <w:t>Common intention constructive trusts are better equipped to reflect the parties’ actual intentions.</w:t>
      </w:r>
    </w:p>
    <w:p w14:paraId="2112E96C"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sym w:font="Wingdings" w:char="F0E0"/>
      </w:r>
      <w:r w:rsidRPr="00A475C8">
        <w:rPr>
          <w:rFonts w:ascii="Times New Roman" w:eastAsiaTheme="minorEastAsia" w:hAnsi="Times New Roman"/>
          <w14:ligatures w14:val="standardContextual"/>
        </w:rPr>
        <w:t xml:space="preserve"> </w:t>
      </w:r>
      <w:r w:rsidRPr="00A475C8">
        <w:rPr>
          <w:rFonts w:ascii="Times New Roman" w:eastAsiaTheme="minorEastAsia" w:hAnsi="Times New Roman"/>
          <w:b/>
          <w:bCs/>
          <w14:ligatures w14:val="standardContextual"/>
        </w:rPr>
        <w:t>Common Intention Constructive Trusts</w:t>
      </w:r>
      <w:r w:rsidRPr="00A475C8">
        <w:rPr>
          <w:rFonts w:ascii="Times New Roman" w:eastAsiaTheme="minorEastAsia" w:hAnsi="Times New Roman"/>
          <w14:ligatures w14:val="standardContextual"/>
        </w:rPr>
        <w:t>:</w:t>
      </w:r>
    </w:p>
    <w:p w14:paraId="6D918C50" w14:textId="5A6EE5A8"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1. Arise when parties to a relationship or transaction have a shared understanding or agreement (explicit or inferred) about how property ownership is to be divided.</w:t>
      </w:r>
    </w:p>
    <w:p w14:paraId="7F7B126A" w14:textId="6B2C00BF"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 xml:space="preserve">2. Courts look at the actual </w:t>
      </w:r>
      <w:r w:rsidRPr="00A475C8">
        <w:rPr>
          <w:rFonts w:ascii="Times New Roman" w:eastAsiaTheme="minorEastAsia" w:hAnsi="Times New Roman"/>
          <w:b/>
          <w:bCs/>
          <w14:ligatures w14:val="standardContextual"/>
        </w:rPr>
        <w:t>intentions and conduct</w:t>
      </w:r>
      <w:r w:rsidRPr="00A475C8">
        <w:rPr>
          <w:rFonts w:ascii="Times New Roman" w:eastAsiaTheme="minorEastAsia" w:hAnsi="Times New Roman"/>
          <w14:ligatures w14:val="standardContextual"/>
        </w:rPr>
        <w:t xml:space="preserve"> of the parties, rather than applying automatic presumptions.</w:t>
      </w:r>
    </w:p>
    <w:p w14:paraId="695B8D69"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Why Common Intention Constructive Trusts Are Preferred</w:t>
      </w:r>
    </w:p>
    <w:p w14:paraId="784CDBCB"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(a) Reflect Modern Relationships</w:t>
      </w:r>
    </w:p>
    <w:p w14:paraId="37990092" w14:textId="309B28A0"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1. In modern relationships, especially between cohabiting couples, property ownership is often informal and based on mutual contributions (financial or non-financial) rather than strict legal transfers.</w:t>
      </w:r>
    </w:p>
    <w:p w14:paraId="0356012D" w14:textId="680D8ECB"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lastRenderedPageBreak/>
        <w:t xml:space="preserve">2. Common intention constructive trusts allow courts to account for </w:t>
      </w:r>
      <w:r w:rsidRPr="00A475C8">
        <w:rPr>
          <w:rFonts w:ascii="Times New Roman" w:eastAsiaTheme="minorEastAsia" w:hAnsi="Times New Roman"/>
          <w:b/>
          <w:bCs/>
          <w14:ligatures w14:val="standardContextual"/>
        </w:rPr>
        <w:t>both parties' contributions</w:t>
      </w:r>
      <w:r w:rsidRPr="00A475C8">
        <w:rPr>
          <w:rFonts w:ascii="Times New Roman" w:eastAsiaTheme="minorEastAsia" w:hAnsi="Times New Roman"/>
          <w14:ligatures w14:val="standardContextual"/>
        </w:rPr>
        <w:t xml:space="preserve"> and shared intentions in ways that presumed resulting trusts cannot.</w:t>
      </w:r>
    </w:p>
    <w:p w14:paraId="37250278" w14:textId="1B00A8BC"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(b) Focus on Actual Conduct</w:t>
      </w:r>
    </w:p>
    <w:p w14:paraId="21DC798E"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Courts assess evidence of:</w:t>
      </w:r>
    </w:p>
    <w:p w14:paraId="22300CC3" w14:textId="396A16E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1. Explicit agreements</w:t>
      </w:r>
      <w:r w:rsidRPr="00A475C8">
        <w:rPr>
          <w:rFonts w:ascii="Times New Roman" w:eastAsiaTheme="minorEastAsia" w:hAnsi="Times New Roman"/>
          <w14:ligatures w14:val="standardContextual"/>
        </w:rPr>
        <w:t>: Direct statements about ownership.</w:t>
      </w:r>
    </w:p>
    <w:p w14:paraId="286655F4" w14:textId="05A60EC0"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2. Implied agreements</w:t>
      </w:r>
      <w:r w:rsidRPr="00A475C8">
        <w:rPr>
          <w:rFonts w:ascii="Times New Roman" w:eastAsiaTheme="minorEastAsia" w:hAnsi="Times New Roman"/>
          <w14:ligatures w14:val="standardContextual"/>
        </w:rPr>
        <w:t>: Contributions to property acquisition or upkeep.</w:t>
      </w:r>
    </w:p>
    <w:p w14:paraId="29A188AF" w14:textId="0E76364B"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 xml:space="preserve">Example: </w:t>
      </w:r>
      <w:r w:rsidRPr="00A475C8">
        <w:rPr>
          <w:rFonts w:ascii="Times New Roman" w:eastAsiaTheme="minorEastAsia" w:hAnsi="Times New Roman"/>
          <w:i/>
          <w:iCs/>
          <w14:ligatures w14:val="standardContextual"/>
        </w:rPr>
        <w:t>Stack v Dowden</w:t>
      </w:r>
      <w:r w:rsidRPr="00A475C8">
        <w:rPr>
          <w:rFonts w:ascii="Times New Roman" w:eastAsiaTheme="minorEastAsia" w:hAnsi="Times New Roman"/>
          <w14:ligatures w14:val="standardContextual"/>
        </w:rPr>
        <w:t>—the court emphasized examining the "whole course of dealings" to determine the parties’ intentions.</w:t>
      </w:r>
    </w:p>
    <w:p w14:paraId="01056994" w14:textId="21FE08BA"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(c) Avoids Reliance on Historical Presumptions</w:t>
      </w:r>
    </w:p>
    <w:p w14:paraId="47AFF229" w14:textId="47F6BCC5"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 Mee critiques presumed resulting trusts for relying on outdated notions of ownership (e.g., a strict presumption of non-gift in purchase money cases).</w:t>
      </w:r>
    </w:p>
    <w:p w14:paraId="00306A53" w14:textId="0EBD47BF"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 xml:space="preserve">- Common intention constructive trusts allow for a </w:t>
      </w:r>
      <w:r w:rsidRPr="00A475C8">
        <w:rPr>
          <w:rFonts w:ascii="Times New Roman" w:eastAsiaTheme="minorEastAsia" w:hAnsi="Times New Roman"/>
          <w:b/>
          <w:bCs/>
          <w14:ligatures w14:val="standardContextual"/>
        </w:rPr>
        <w:t>fact-based inquiry</w:t>
      </w:r>
      <w:r w:rsidRPr="00A475C8">
        <w:rPr>
          <w:rFonts w:ascii="Times New Roman" w:eastAsiaTheme="minorEastAsia" w:hAnsi="Times New Roman"/>
          <w14:ligatures w14:val="standardContextual"/>
        </w:rPr>
        <w:t>, better suited to modern social and economic contexts.</w:t>
      </w:r>
    </w:p>
    <w:p w14:paraId="5C6BA0AE"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3. Judicial Support for Common Intention Constructive Trusts</w:t>
      </w:r>
    </w:p>
    <w:p w14:paraId="28002BB3"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(a) Stack v Dowden (2007):</w:t>
      </w:r>
    </w:p>
    <w:p w14:paraId="299936E3"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Facts</w:t>
      </w:r>
      <w:r w:rsidRPr="00A475C8">
        <w:rPr>
          <w:rFonts w:ascii="Times New Roman" w:eastAsiaTheme="minorEastAsia" w:hAnsi="Times New Roman"/>
          <w14:ligatures w14:val="standardContextual"/>
        </w:rPr>
        <w:t>: A cohabiting couple disputed the ownership of property purchased in joint names but with unequal financial contributions.</w:t>
      </w:r>
    </w:p>
    <w:p w14:paraId="75DB7987"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Held</w:t>
      </w:r>
      <w:r w:rsidRPr="00A475C8">
        <w:rPr>
          <w:rFonts w:ascii="Times New Roman" w:eastAsiaTheme="minorEastAsia" w:hAnsi="Times New Roman"/>
          <w14:ligatures w14:val="standardContextual"/>
        </w:rPr>
        <w:t>: The court rejected a presumed resulting trust approach, instead considering the couple’s actual conduct and shared intentions.</w:t>
      </w:r>
    </w:p>
    <w:p w14:paraId="7FD232CA"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Reasoning</w:t>
      </w:r>
      <w:r w:rsidRPr="00A475C8">
        <w:rPr>
          <w:rFonts w:ascii="Times New Roman" w:eastAsiaTheme="minorEastAsia" w:hAnsi="Times New Roman"/>
          <w14:ligatures w14:val="standardContextual"/>
        </w:rPr>
        <w:t>:</w:t>
      </w:r>
    </w:p>
    <w:p w14:paraId="46C426E2" w14:textId="77777777" w:rsidR="00A475C8" w:rsidRPr="00A475C8" w:rsidRDefault="00A475C8" w:rsidP="00A475C8">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Presumptions of resulting trust were inappropriate in a family/home context.</w:t>
      </w:r>
    </w:p>
    <w:p w14:paraId="1D3AD0B2" w14:textId="6CAB8491" w:rsidR="00A475C8" w:rsidRPr="00A475C8" w:rsidRDefault="00A475C8" w:rsidP="00A475C8">
      <w:pPr>
        <w:pStyle w:val="ListParagraph"/>
        <w:numPr>
          <w:ilvl w:val="0"/>
          <w:numId w:val="14"/>
        </w:num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Constructive trusts better reflect the parties' shared understanding and the reality of their relationship.</w:t>
      </w:r>
    </w:p>
    <w:p w14:paraId="2152557D" w14:textId="1A0A6E6B"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lastRenderedPageBreak/>
        <w:t>(b) Jones v Kernott (2011):</w:t>
      </w:r>
    </w:p>
    <w:p w14:paraId="6EA65FC5"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Facts</w:t>
      </w:r>
      <w:r w:rsidRPr="00A475C8">
        <w:rPr>
          <w:rFonts w:ascii="Times New Roman" w:eastAsiaTheme="minorEastAsia" w:hAnsi="Times New Roman"/>
          <w14:ligatures w14:val="standardContextual"/>
        </w:rPr>
        <w:t>: A couple separated, and the issue was how to divide their jointly owned home.</w:t>
      </w:r>
    </w:p>
    <w:p w14:paraId="7FB4EDB7"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Held</w:t>
      </w:r>
      <w:r w:rsidRPr="00A475C8">
        <w:rPr>
          <w:rFonts w:ascii="Times New Roman" w:eastAsiaTheme="minorEastAsia" w:hAnsi="Times New Roman"/>
          <w14:ligatures w14:val="standardContextual"/>
        </w:rPr>
        <w:t>: The court inferred a common intention to change the ownership shares over time based on conduct.</w:t>
      </w:r>
    </w:p>
    <w:p w14:paraId="5B108DEC" w14:textId="77777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Reasoning</w:t>
      </w:r>
      <w:r w:rsidRPr="00A475C8">
        <w:rPr>
          <w:rFonts w:ascii="Times New Roman" w:eastAsiaTheme="minorEastAsia" w:hAnsi="Times New Roman"/>
          <w14:ligatures w14:val="standardContextual"/>
        </w:rPr>
        <w:t>:</w:t>
      </w:r>
    </w:p>
    <w:p w14:paraId="1355161F" w14:textId="4404FF2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Courts should consider the evolving intentions of parties, focusing on fairness and evidence of shared goals.</w:t>
      </w:r>
    </w:p>
    <w:p w14:paraId="423E7037"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b/>
          <w:bCs/>
          <w14:ligatures w14:val="standardContextual"/>
        </w:rPr>
      </w:pPr>
      <w:r w:rsidRPr="00A475C8">
        <w:rPr>
          <w:rFonts w:ascii="Times New Roman" w:eastAsiaTheme="minorEastAsia" w:hAnsi="Times New Roman"/>
          <w:b/>
          <w:bCs/>
          <w14:ligatures w14:val="standardContextual"/>
        </w:rPr>
        <w:t>4. Mee's Critique of Presumed Resulting Trusts</w:t>
      </w:r>
    </w:p>
    <w:p w14:paraId="7063B65C" w14:textId="53718777"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1. Inflexibility</w:t>
      </w:r>
      <w:r w:rsidRPr="00A475C8">
        <w:rPr>
          <w:rFonts w:ascii="Times New Roman" w:eastAsiaTheme="minorEastAsia" w:hAnsi="Times New Roman"/>
          <w14:ligatures w14:val="standardContextual"/>
        </w:rPr>
        <w:t>:</w:t>
      </w:r>
    </w:p>
    <w:p w14:paraId="3C57D318" w14:textId="7777777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Presumed resulting trusts rigidly apply a default rule (e.g., the provider of funds retains beneficial ownership), which can misrepresent the actual intentions of the parties.</w:t>
      </w:r>
    </w:p>
    <w:p w14:paraId="104A1A4F" w14:textId="094B91E4"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2. Failure to Adapt</w:t>
      </w:r>
      <w:r w:rsidRPr="00A475C8">
        <w:rPr>
          <w:rFonts w:ascii="Times New Roman" w:eastAsiaTheme="minorEastAsia" w:hAnsi="Times New Roman"/>
          <w14:ligatures w14:val="standardContextual"/>
        </w:rPr>
        <w:t>:</w:t>
      </w:r>
    </w:p>
    <w:p w14:paraId="05E01355" w14:textId="7777777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These trusts do not consider non-financial contributions, informal agreements, or evolving relationships.</w:t>
      </w:r>
    </w:p>
    <w:p w14:paraId="00525410" w14:textId="51EC42B8" w:rsidR="00A475C8" w:rsidRPr="00A475C8" w:rsidRDefault="00A475C8" w:rsidP="00A475C8">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b/>
          <w:bCs/>
          <w14:ligatures w14:val="standardContextual"/>
        </w:rPr>
        <w:t>3. Social Irrelevance</w:t>
      </w:r>
      <w:r w:rsidRPr="00A475C8">
        <w:rPr>
          <w:rFonts w:ascii="Times New Roman" w:eastAsiaTheme="minorEastAsia" w:hAnsi="Times New Roman"/>
          <w14:ligatures w14:val="standardContextual"/>
        </w:rPr>
        <w:t>:</w:t>
      </w:r>
    </w:p>
    <w:p w14:paraId="716F956B" w14:textId="77777777" w:rsidR="00A475C8" w:rsidRPr="00A475C8" w:rsidRDefault="00A475C8" w:rsidP="00A475C8">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A475C8">
        <w:rPr>
          <w:rFonts w:ascii="Times New Roman" w:eastAsiaTheme="minorEastAsia" w:hAnsi="Times New Roman"/>
          <w14:ligatures w14:val="standardContextual"/>
        </w:rPr>
        <w:t>Modern cohabitation cases require a more nuanced approach that presumed resulting trusts cannot provide.</w:t>
      </w:r>
    </w:p>
    <w:p w14:paraId="4E404949" w14:textId="77777777" w:rsidR="00A475C8" w:rsidRPr="00A475C8" w:rsidRDefault="00A475C8" w:rsidP="00A475C8">
      <w:pPr>
        <w:autoSpaceDE w:val="0"/>
        <w:autoSpaceDN w:val="0"/>
        <w:adjustRightInd w:val="0"/>
        <w:spacing w:after="240" w:line="360" w:lineRule="auto"/>
        <w:rPr>
          <w:rFonts w:ascii="Times New Roman" w:eastAsiaTheme="minorEastAsia" w:hAnsi="Times New Roman"/>
          <w14:ligatures w14:val="standardContextual"/>
        </w:rPr>
      </w:pPr>
    </w:p>
    <w:p w14:paraId="5CEE49BA" w14:textId="767CF233" w:rsidR="00A475C8" w:rsidRPr="00A475C8" w:rsidRDefault="00A475C8" w:rsidP="005C34DD">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5. </w:t>
      </w:r>
      <w:r w:rsidRPr="00A475C8">
        <w:rPr>
          <w:rFonts w:ascii="Times New Roman" w:eastAsiaTheme="minorEastAsia" w:hAnsi="Times New Roman"/>
          <w:b/>
          <w:bCs/>
          <w14:ligatures w14:val="standardContextual"/>
        </w:rPr>
        <w:t>Practical Implications</w:t>
      </w:r>
    </w:p>
    <w:p w14:paraId="48AE9154" w14:textId="77777777" w:rsidR="005C34DD" w:rsidRPr="005C34DD" w:rsidRDefault="005C34DD" w:rsidP="005C34DD">
      <w:pPr>
        <w:pStyle w:val="Heading3"/>
        <w:spacing w:after="240" w:line="360" w:lineRule="auto"/>
        <w:rPr>
          <w:rFonts w:ascii="Times New Roman" w:eastAsia="Times New Roman" w:hAnsi="Times New Roman" w:cs="Times New Roman"/>
          <w:b/>
          <w:bCs/>
          <w:color w:val="000000" w:themeColor="text1"/>
          <w:sz w:val="24"/>
          <w:szCs w:val="24"/>
          <w:lang w:val="en-HK"/>
        </w:rPr>
      </w:pPr>
      <w:r w:rsidRPr="005C34DD">
        <w:rPr>
          <w:rFonts w:ascii="Times New Roman" w:eastAsiaTheme="minorEastAsia" w:hAnsi="Times New Roman" w:cs="Times New Roman"/>
          <w:b/>
          <w:bCs/>
          <w:color w:val="000000" w:themeColor="text1"/>
          <w:sz w:val="24"/>
          <w:szCs w:val="24"/>
          <w14:ligatures w14:val="standardContextual"/>
        </w:rPr>
        <w:t xml:space="preserve">1. </w:t>
      </w:r>
      <w:r w:rsidRPr="005C34DD">
        <w:rPr>
          <w:rFonts w:ascii="Times New Roman" w:eastAsia="Times New Roman" w:hAnsi="Times New Roman" w:cs="Times New Roman"/>
          <w:b/>
          <w:bCs/>
          <w:color w:val="000000" w:themeColor="text1"/>
          <w:sz w:val="24"/>
          <w:szCs w:val="24"/>
          <w:lang w:val="en-HK"/>
        </w:rPr>
        <w:t>Simplifying Doctrines</w:t>
      </w:r>
    </w:p>
    <w:p w14:paraId="6C0A1FAD" w14:textId="28433047"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color w:val="000000" w:themeColor="text1"/>
          <w:lang w:val="en-HK"/>
        </w:rPr>
        <w:t xml:space="preserve">1. Retaining only </w:t>
      </w:r>
      <w:r w:rsidRPr="005C34DD">
        <w:rPr>
          <w:rFonts w:ascii="Times New Roman" w:hAnsi="Times New Roman"/>
          <w:b/>
          <w:bCs/>
          <w:color w:val="000000" w:themeColor="text1"/>
          <w:lang w:val="en-HK"/>
        </w:rPr>
        <w:t>gap-filling resulting trusts</w:t>
      </w:r>
      <w:r w:rsidRPr="005C34DD">
        <w:rPr>
          <w:rFonts w:ascii="Times New Roman" w:hAnsi="Times New Roman"/>
          <w:color w:val="000000" w:themeColor="text1"/>
          <w:lang w:val="en-HK"/>
        </w:rPr>
        <w:t xml:space="preserve"> (automatic trusts). </w:t>
      </w:r>
    </w:p>
    <w:p w14:paraId="5B6E19B8" w14:textId="12E20E9E"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color w:val="000000" w:themeColor="text1"/>
          <w:lang w:val="en-HK"/>
        </w:rPr>
        <w:sym w:font="Wingdings" w:char="F0E0"/>
      </w:r>
      <w:r w:rsidRPr="005C34DD">
        <w:rPr>
          <w:rFonts w:ascii="Times New Roman" w:hAnsi="Times New Roman"/>
          <w:color w:val="000000" w:themeColor="text1"/>
          <w:lang w:val="en-HK"/>
        </w:rPr>
        <w:t xml:space="preserve"> This would help courts focus on either:</w:t>
      </w:r>
    </w:p>
    <w:p w14:paraId="32D458F3" w14:textId="77777777"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b/>
          <w:bCs/>
          <w:color w:val="000000" w:themeColor="text1"/>
          <w:lang w:val="en-HK"/>
        </w:rPr>
        <w:lastRenderedPageBreak/>
        <w:t>1. Constructive trusts</w:t>
      </w:r>
      <w:r w:rsidRPr="005C34DD">
        <w:rPr>
          <w:rFonts w:ascii="Times New Roman" w:hAnsi="Times New Roman"/>
          <w:color w:val="000000" w:themeColor="text1"/>
          <w:lang w:val="en-HK"/>
        </w:rPr>
        <w:t xml:space="preserve"> for fairness and shared intentions.</w:t>
      </w:r>
    </w:p>
    <w:p w14:paraId="35907C89" w14:textId="0B9A162A"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b/>
          <w:bCs/>
          <w:color w:val="000000" w:themeColor="text1"/>
          <w:lang w:val="en-HK"/>
        </w:rPr>
        <w:t>2. Gap-filling resulting trusts</w:t>
      </w:r>
      <w:r w:rsidRPr="005C34DD">
        <w:rPr>
          <w:rFonts w:ascii="Times New Roman" w:hAnsi="Times New Roman"/>
          <w:color w:val="000000" w:themeColor="text1"/>
          <w:lang w:val="en-HK"/>
        </w:rPr>
        <w:t xml:space="preserve"> for unallocated beneficial interests in express trusts.</w:t>
      </w:r>
    </w:p>
    <w:p w14:paraId="09FF955A" w14:textId="7BF9B47D"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color w:val="000000" w:themeColor="text1"/>
          <w:lang w:val="en-HK"/>
        </w:rPr>
        <w:sym w:font="Wingdings" w:char="F0E0"/>
      </w:r>
      <w:r w:rsidRPr="005C34DD">
        <w:rPr>
          <w:rFonts w:ascii="Times New Roman" w:hAnsi="Times New Roman"/>
          <w:color w:val="000000" w:themeColor="text1"/>
          <w:lang w:val="en-HK"/>
        </w:rPr>
        <w:t xml:space="preserve"> Prevent overlap in common intention constructive trusts and resulting trusts. </w:t>
      </w:r>
    </w:p>
    <w:p w14:paraId="274028B7" w14:textId="77777777" w:rsidR="005C34DD" w:rsidRPr="005C34DD" w:rsidRDefault="005C34DD" w:rsidP="005C34DD">
      <w:pPr>
        <w:spacing w:before="100" w:beforeAutospacing="1" w:after="240" w:line="360" w:lineRule="auto"/>
        <w:rPr>
          <w:rFonts w:ascii="Times New Roman" w:hAnsi="Times New Roman"/>
          <w:color w:val="000000" w:themeColor="text1"/>
          <w:lang w:val="en-HK"/>
        </w:rPr>
      </w:pPr>
    </w:p>
    <w:p w14:paraId="5F7C536E" w14:textId="46EA1367" w:rsidR="005C34DD" w:rsidRPr="005C34DD" w:rsidRDefault="005C34DD" w:rsidP="005C34DD">
      <w:pPr>
        <w:spacing w:before="100" w:beforeAutospacing="1" w:after="240" w:line="360" w:lineRule="auto"/>
        <w:rPr>
          <w:rFonts w:ascii="Times New Roman" w:hAnsi="Times New Roman"/>
          <w:b/>
          <w:bCs/>
          <w:color w:val="000000" w:themeColor="text1"/>
          <w:lang w:val="en-HK"/>
        </w:rPr>
      </w:pPr>
      <w:r w:rsidRPr="005C34DD">
        <w:rPr>
          <w:rFonts w:ascii="Times New Roman" w:hAnsi="Times New Roman"/>
          <w:b/>
          <w:bCs/>
          <w:color w:val="000000" w:themeColor="text1"/>
          <w:lang w:val="en-HK"/>
        </w:rPr>
        <w:t xml:space="preserve">2. Fairness  </w:t>
      </w:r>
    </w:p>
    <w:p w14:paraId="71F755BB" w14:textId="57393A2F" w:rsidR="005C34DD" w:rsidRPr="005C34DD" w:rsidRDefault="005C34DD" w:rsidP="005C34DD">
      <w:pPr>
        <w:autoSpaceDE w:val="0"/>
        <w:autoSpaceDN w:val="0"/>
        <w:adjustRightInd w:val="0"/>
        <w:spacing w:after="240" w:line="360" w:lineRule="auto"/>
        <w:rPr>
          <w:rFonts w:ascii="Times New Roman" w:eastAsiaTheme="minorEastAsia" w:hAnsi="Times New Roman"/>
          <w14:ligatures w14:val="standardContextual"/>
        </w:rPr>
      </w:pPr>
      <w:r w:rsidRPr="005C34DD">
        <w:rPr>
          <w:rFonts w:ascii="Times New Roman" w:eastAsiaTheme="minorEastAsia" w:hAnsi="Times New Roman"/>
          <w14:ligatures w14:val="standardContextual"/>
        </w:rPr>
        <w:t xml:space="preserve">Presumed resulting trusts rely on presumptions about ownership, which may be outdated. </w:t>
      </w:r>
    </w:p>
    <w:p w14:paraId="79849747" w14:textId="33843523" w:rsidR="005C34DD" w:rsidRPr="005C34DD" w:rsidRDefault="005C34DD" w:rsidP="005C34DD">
      <w:pPr>
        <w:spacing w:before="100" w:beforeAutospacing="1" w:after="240" w:line="360" w:lineRule="auto"/>
        <w:rPr>
          <w:rFonts w:ascii="Times New Roman" w:hAnsi="Times New Roman"/>
          <w:color w:val="000000" w:themeColor="text1"/>
          <w:lang w:val="en-HK"/>
        </w:rPr>
      </w:pPr>
      <w:r w:rsidRPr="005C34DD">
        <w:rPr>
          <w:rFonts w:ascii="Times New Roman" w:hAnsi="Times New Roman"/>
          <w:color w:val="000000" w:themeColor="text1"/>
        </w:rPr>
        <w:t xml:space="preserve">Constructive trusts, on the other hand, directly address the </w:t>
      </w:r>
      <w:r w:rsidRPr="005C34DD">
        <w:rPr>
          <w:rStyle w:val="Strong"/>
          <w:rFonts w:ascii="Times New Roman" w:eastAsiaTheme="majorEastAsia" w:hAnsi="Times New Roman"/>
          <w:color w:val="000000" w:themeColor="text1"/>
        </w:rPr>
        <w:t>actual intentions and fairness</w:t>
      </w:r>
      <w:r w:rsidRPr="005C34DD">
        <w:rPr>
          <w:rFonts w:ascii="Times New Roman" w:hAnsi="Times New Roman"/>
          <w:color w:val="000000" w:themeColor="text1"/>
        </w:rPr>
        <w:t xml:space="preserve"> in a situation, leading to more predictable and just outcomes.</w:t>
      </w:r>
    </w:p>
    <w:p w14:paraId="04CBB5BB" w14:textId="03066153" w:rsidR="00FE3AD9" w:rsidRPr="005C34DD" w:rsidRDefault="00FE3AD9" w:rsidP="005C34DD">
      <w:pPr>
        <w:autoSpaceDE w:val="0"/>
        <w:autoSpaceDN w:val="0"/>
        <w:adjustRightInd w:val="0"/>
        <w:spacing w:after="240" w:line="360" w:lineRule="auto"/>
        <w:rPr>
          <w:rFonts w:ascii="Times New Roman" w:eastAsiaTheme="minorEastAsia" w:hAnsi="Times New Roman"/>
          <w:b/>
          <w:bCs/>
          <w:color w:val="000000" w:themeColor="text1"/>
          <w14:ligatures w14:val="standardContextual"/>
        </w:rPr>
      </w:pPr>
    </w:p>
    <w:p w14:paraId="0B16A89D" w14:textId="77777777" w:rsidR="00FE3AD9" w:rsidRPr="00A475C8" w:rsidRDefault="00FE3AD9" w:rsidP="005C34DD">
      <w:pPr>
        <w:spacing w:after="240" w:line="360" w:lineRule="auto"/>
        <w:rPr>
          <w:rFonts w:ascii="Times New Roman" w:hAnsi="Times New Roman"/>
          <w:lang w:val="en-US"/>
        </w:rPr>
      </w:pPr>
    </w:p>
    <w:sectPr w:rsidR="00FE3AD9" w:rsidRPr="00A475C8" w:rsidSect="00BB60B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0000019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000003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3A65FC9"/>
    <w:multiLevelType w:val="hybridMultilevel"/>
    <w:tmpl w:val="AF34C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D765F5"/>
    <w:multiLevelType w:val="hybridMultilevel"/>
    <w:tmpl w:val="43B049C8"/>
    <w:lvl w:ilvl="0" w:tplc="0809000F">
      <w:start w:val="1"/>
      <w:numFmt w:val="decimal"/>
      <w:lvlText w:val="%1."/>
      <w:lvlJc w:val="left"/>
      <w:pPr>
        <w:ind w:left="720" w:hanging="360"/>
      </w:pPr>
      <w:rPr>
        <w:rFonts w:hint="default"/>
      </w:rPr>
    </w:lvl>
    <w:lvl w:ilvl="1" w:tplc="F752953A">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3322AB"/>
    <w:multiLevelType w:val="multilevel"/>
    <w:tmpl w:val="885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95256"/>
    <w:multiLevelType w:val="hybridMultilevel"/>
    <w:tmpl w:val="EF588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560B8A"/>
    <w:multiLevelType w:val="multilevel"/>
    <w:tmpl w:val="CDBE8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0318A"/>
    <w:multiLevelType w:val="hybridMultilevel"/>
    <w:tmpl w:val="5E5EA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9C4F29"/>
    <w:multiLevelType w:val="hybridMultilevel"/>
    <w:tmpl w:val="F416AF2A"/>
    <w:lvl w:ilvl="0" w:tplc="F19ECB1E">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7753859">
    <w:abstractNumId w:val="0"/>
  </w:num>
  <w:num w:numId="2" w16cid:durableId="351498559">
    <w:abstractNumId w:val="1"/>
  </w:num>
  <w:num w:numId="3" w16cid:durableId="1569075347">
    <w:abstractNumId w:val="2"/>
  </w:num>
  <w:num w:numId="4" w16cid:durableId="1001280530">
    <w:abstractNumId w:val="3"/>
  </w:num>
  <w:num w:numId="5" w16cid:durableId="2087876041">
    <w:abstractNumId w:val="4"/>
  </w:num>
  <w:num w:numId="6" w16cid:durableId="1643734571">
    <w:abstractNumId w:val="5"/>
  </w:num>
  <w:num w:numId="7" w16cid:durableId="1188562381">
    <w:abstractNumId w:val="6"/>
  </w:num>
  <w:num w:numId="8" w16cid:durableId="818960617">
    <w:abstractNumId w:val="7"/>
  </w:num>
  <w:num w:numId="9" w16cid:durableId="903107786">
    <w:abstractNumId w:val="8"/>
  </w:num>
  <w:num w:numId="10" w16cid:durableId="89740471">
    <w:abstractNumId w:val="9"/>
  </w:num>
  <w:num w:numId="11" w16cid:durableId="1111436905">
    <w:abstractNumId w:val="10"/>
  </w:num>
  <w:num w:numId="12" w16cid:durableId="1675572940">
    <w:abstractNumId w:val="16"/>
  </w:num>
  <w:num w:numId="13" w16cid:durableId="1307278903">
    <w:abstractNumId w:val="11"/>
  </w:num>
  <w:num w:numId="14" w16cid:durableId="61678343">
    <w:abstractNumId w:val="17"/>
  </w:num>
  <w:num w:numId="15" w16cid:durableId="1264416241">
    <w:abstractNumId w:val="14"/>
  </w:num>
  <w:num w:numId="16" w16cid:durableId="1475219515">
    <w:abstractNumId w:val="12"/>
  </w:num>
  <w:num w:numId="17" w16cid:durableId="149293341">
    <w:abstractNumId w:val="15"/>
  </w:num>
  <w:num w:numId="18" w16cid:durableId="5996072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DB"/>
    <w:rsid w:val="000147A9"/>
    <w:rsid w:val="000169DB"/>
    <w:rsid w:val="00042755"/>
    <w:rsid w:val="00053E4E"/>
    <w:rsid w:val="0006107D"/>
    <w:rsid w:val="000623A3"/>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C34DD"/>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475C8"/>
    <w:rsid w:val="00A93FBA"/>
    <w:rsid w:val="00A95C7E"/>
    <w:rsid w:val="00AB609D"/>
    <w:rsid w:val="00AC3AB8"/>
    <w:rsid w:val="00AE4348"/>
    <w:rsid w:val="00AE4BAF"/>
    <w:rsid w:val="00B02007"/>
    <w:rsid w:val="00B03D5A"/>
    <w:rsid w:val="00B23297"/>
    <w:rsid w:val="00B360EE"/>
    <w:rsid w:val="00B53B6F"/>
    <w:rsid w:val="00B651D9"/>
    <w:rsid w:val="00B67231"/>
    <w:rsid w:val="00B73742"/>
    <w:rsid w:val="00B914E6"/>
    <w:rsid w:val="00BB60B3"/>
    <w:rsid w:val="00BC4186"/>
    <w:rsid w:val="00BC5F25"/>
    <w:rsid w:val="00BD7714"/>
    <w:rsid w:val="00BD7C9B"/>
    <w:rsid w:val="00C072F8"/>
    <w:rsid w:val="00C17D79"/>
    <w:rsid w:val="00C24A8A"/>
    <w:rsid w:val="00C54722"/>
    <w:rsid w:val="00C5585A"/>
    <w:rsid w:val="00C65F70"/>
    <w:rsid w:val="00C96A36"/>
    <w:rsid w:val="00CA350B"/>
    <w:rsid w:val="00CA3F60"/>
    <w:rsid w:val="00CC2EFF"/>
    <w:rsid w:val="00CC4FEF"/>
    <w:rsid w:val="00CD39F1"/>
    <w:rsid w:val="00CF74EF"/>
    <w:rsid w:val="00D02AC8"/>
    <w:rsid w:val="00D0623C"/>
    <w:rsid w:val="00D07271"/>
    <w:rsid w:val="00D16917"/>
    <w:rsid w:val="00D62CF2"/>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7051"/>
    <w:rsid w:val="00EC68EB"/>
    <w:rsid w:val="00EC7C43"/>
    <w:rsid w:val="00F012E4"/>
    <w:rsid w:val="00F248D2"/>
    <w:rsid w:val="00F27F00"/>
    <w:rsid w:val="00F71153"/>
    <w:rsid w:val="00F858D4"/>
    <w:rsid w:val="00FB2653"/>
    <w:rsid w:val="00FC6BF6"/>
    <w:rsid w:val="00FC7B56"/>
    <w:rsid w:val="00FE3AD9"/>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267E43"/>
  <w15:chartTrackingRefBased/>
  <w15:docId w15:val="{E126C15A-3C08-5B49-8053-067D5520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16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69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9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69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69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69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69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69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D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169D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169D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0169D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169D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169D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169D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169D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169D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169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D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169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D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169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69D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169DB"/>
    <w:pPr>
      <w:ind w:left="720"/>
      <w:contextualSpacing/>
    </w:pPr>
  </w:style>
  <w:style w:type="character" w:styleId="IntenseEmphasis">
    <w:name w:val="Intense Emphasis"/>
    <w:basedOn w:val="DefaultParagraphFont"/>
    <w:uiPriority w:val="21"/>
    <w:qFormat/>
    <w:rsid w:val="000169DB"/>
    <w:rPr>
      <w:i/>
      <w:iCs/>
      <w:color w:val="2F5496" w:themeColor="accent1" w:themeShade="BF"/>
    </w:rPr>
  </w:style>
  <w:style w:type="paragraph" w:styleId="IntenseQuote">
    <w:name w:val="Intense Quote"/>
    <w:basedOn w:val="Normal"/>
    <w:next w:val="Normal"/>
    <w:link w:val="IntenseQuoteChar"/>
    <w:uiPriority w:val="30"/>
    <w:qFormat/>
    <w:rsid w:val="00016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9D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169DB"/>
    <w:rPr>
      <w:b/>
      <w:bCs/>
      <w:smallCaps/>
      <w:color w:val="2F5496" w:themeColor="accent1" w:themeShade="BF"/>
      <w:spacing w:val="5"/>
    </w:rPr>
  </w:style>
  <w:style w:type="character" w:styleId="Strong">
    <w:name w:val="Strong"/>
    <w:basedOn w:val="DefaultParagraphFont"/>
    <w:uiPriority w:val="22"/>
    <w:qFormat/>
    <w:rsid w:val="005C34DD"/>
    <w:rPr>
      <w:b/>
      <w:bCs/>
    </w:rPr>
  </w:style>
  <w:style w:type="paragraph" w:styleId="NormalWeb">
    <w:name w:val="Normal (Web)"/>
    <w:basedOn w:val="Normal"/>
    <w:uiPriority w:val="99"/>
    <w:semiHidden/>
    <w:unhideWhenUsed/>
    <w:rsid w:val="00053E4E"/>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7254934">
      <w:bodyDiv w:val="1"/>
      <w:marLeft w:val="0"/>
      <w:marRight w:val="0"/>
      <w:marTop w:val="0"/>
      <w:marBottom w:val="0"/>
      <w:divBdr>
        <w:top w:val="none" w:sz="0" w:space="0" w:color="auto"/>
        <w:left w:val="none" w:sz="0" w:space="0" w:color="auto"/>
        <w:bottom w:val="none" w:sz="0" w:space="0" w:color="auto"/>
        <w:right w:val="none" w:sz="0" w:space="0" w:color="auto"/>
      </w:divBdr>
    </w:div>
    <w:div w:id="130550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2159</Words>
  <Characters>12310</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9</cp:revision>
  <dcterms:created xsi:type="dcterms:W3CDTF">2024-11-25T15:08:00Z</dcterms:created>
  <dcterms:modified xsi:type="dcterms:W3CDTF">2024-11-25T20:17:00Z</dcterms:modified>
</cp:coreProperties>
</file>