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9CCCA" w14:textId="77777777" w:rsidR="00CA6DC2" w:rsidRDefault="00124FE0" w:rsidP="00CA6DC2">
      <w:pPr>
        <w:spacing w:before="100" w:beforeAutospacing="1" w:after="240" w:line="360" w:lineRule="auto"/>
        <w:outlineLvl w:val="2"/>
        <w:rPr>
          <w:rFonts w:ascii="Times New Roman" w:hAnsi="Times New Roman"/>
          <w:b/>
          <w:bCs/>
          <w:color w:val="000000" w:themeColor="text1"/>
          <w:lang w:val="en-HK"/>
        </w:rPr>
      </w:pPr>
      <w:r w:rsidRPr="00B90364">
        <w:rPr>
          <w:rFonts w:ascii="Times New Roman" w:hAnsi="Times New Roman"/>
          <w:b/>
          <w:bCs/>
          <w:color w:val="000000" w:themeColor="text1"/>
          <w:lang w:val="en-HK"/>
        </w:rPr>
        <w:t>Introduction</w:t>
      </w:r>
    </w:p>
    <w:p w14:paraId="305D5049" w14:textId="112E296B" w:rsidR="00124FE0" w:rsidRPr="00CA6DC2" w:rsidRDefault="00CA6DC2" w:rsidP="00CA6DC2">
      <w:pPr>
        <w:spacing w:before="100" w:beforeAutospacing="1" w:after="240" w:line="360" w:lineRule="auto"/>
        <w:outlineLvl w:val="2"/>
        <w:rPr>
          <w:rFonts w:ascii="Times New Roman" w:hAnsi="Times New Roman"/>
          <w:b/>
          <w:bCs/>
          <w:color w:val="000000" w:themeColor="text1"/>
          <w:lang w:val="en-HK"/>
        </w:rPr>
      </w:pPr>
      <w:r>
        <w:rPr>
          <w:rFonts w:ascii="Times New Roman" w:hAnsi="Times New Roman"/>
          <w:b/>
          <w:bCs/>
          <w:color w:val="000000" w:themeColor="text1"/>
          <w:lang w:val="en-HK"/>
        </w:rPr>
        <w:t xml:space="preserve">1. </w:t>
      </w:r>
      <w:r w:rsidR="00124FE0" w:rsidRPr="00B90364">
        <w:rPr>
          <w:rFonts w:ascii="Times New Roman" w:hAnsi="Times New Roman"/>
          <w:b/>
          <w:bCs/>
          <w:color w:val="000000" w:themeColor="text1"/>
          <w:lang w:val="en-HK"/>
        </w:rPr>
        <w:t>Definition of Trusts</w:t>
      </w:r>
      <w:r w:rsidR="00124FE0" w:rsidRPr="00B90364">
        <w:rPr>
          <w:rFonts w:ascii="Times New Roman" w:hAnsi="Times New Roman"/>
          <w:color w:val="000000" w:themeColor="text1"/>
          <w:lang w:val="en-HK"/>
        </w:rPr>
        <w:t>:</w:t>
      </w:r>
    </w:p>
    <w:p w14:paraId="06DDBB58" w14:textId="77777777" w:rsidR="00124FE0" w:rsidRPr="00B90364" w:rsidRDefault="00124FE0"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Express Trusts</w:t>
      </w:r>
      <w:r w:rsidRPr="00B90364">
        <w:rPr>
          <w:rFonts w:ascii="Times New Roman" w:hAnsi="Times New Roman"/>
          <w:color w:val="000000" w:themeColor="text1"/>
          <w:lang w:val="en-HK"/>
        </w:rPr>
        <w:t>: Created intentionally by a settlor who transfers property to a trustee under specific terms. The trustee assumes management duties for the beneficiaries.</w:t>
      </w:r>
    </w:p>
    <w:p w14:paraId="0368C2A3" w14:textId="77777777" w:rsidR="00124FE0" w:rsidRPr="00B90364" w:rsidRDefault="00124FE0"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Constructive Trusts</w:t>
      </w:r>
      <w:r w:rsidRPr="00B90364">
        <w:rPr>
          <w:rFonts w:ascii="Times New Roman" w:hAnsi="Times New Roman"/>
          <w:color w:val="000000" w:themeColor="text1"/>
          <w:lang w:val="en-HK"/>
        </w:rPr>
        <w:t>: Arise by law to prevent or rectify injustice, without explicit intention from the transferor. These trusts provide the claimant (C) a proprietary claim against the defendant (D) based on circumstances like mistaken or unauthorized payments.</w:t>
      </w:r>
    </w:p>
    <w:p w14:paraId="64FFAC5F" w14:textId="739271D7" w:rsidR="00124FE0"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2. </w:t>
      </w:r>
      <w:r w:rsidR="00124FE0" w:rsidRPr="00B90364">
        <w:rPr>
          <w:rFonts w:ascii="Times New Roman" w:hAnsi="Times New Roman"/>
          <w:b/>
          <w:bCs/>
          <w:color w:val="000000" w:themeColor="text1"/>
          <w:lang w:val="en-HK"/>
        </w:rPr>
        <w:t>Focus of the Paper</w:t>
      </w:r>
      <w:r w:rsidR="00124FE0" w:rsidRPr="00B90364">
        <w:rPr>
          <w:rFonts w:ascii="Times New Roman" w:hAnsi="Times New Roman"/>
          <w:color w:val="000000" w:themeColor="text1"/>
          <w:lang w:val="en-HK"/>
        </w:rPr>
        <w:t xml:space="preserve">: Examines the principle of </w:t>
      </w:r>
      <w:r w:rsidR="00124FE0" w:rsidRPr="00B90364">
        <w:rPr>
          <w:rFonts w:ascii="Times New Roman" w:hAnsi="Times New Roman"/>
          <w:b/>
          <w:bCs/>
          <w:color w:val="000000" w:themeColor="text1"/>
          <w:lang w:val="en-HK"/>
        </w:rPr>
        <w:t>“Remedial Consistency”</w:t>
      </w:r>
      <w:r w:rsidR="00124FE0" w:rsidRPr="00B90364">
        <w:rPr>
          <w:rFonts w:ascii="Times New Roman" w:hAnsi="Times New Roman"/>
          <w:color w:val="000000" w:themeColor="text1"/>
          <w:lang w:val="en-HK"/>
        </w:rPr>
        <w:t xml:space="preserve"> in the context of three controversial areas of constructive trusts: mistaken or unauthorized payments, fiduciary profits, and matrimonial property disputes.</w:t>
      </w:r>
    </w:p>
    <w:p w14:paraId="3F84AB74" w14:textId="77777777" w:rsidR="00124FE0"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79E935A5">
          <v:rect id="_x0000_i1040" alt="" style="width:451.3pt;height:.05pt;mso-width-percent:0;mso-height-percent:0;mso-width-percent:0;mso-height-percent:0" o:hralign="center" o:hrstd="t" o:hr="t" fillcolor="#a0a0a0" stroked="f"/>
        </w:pict>
      </w:r>
    </w:p>
    <w:p w14:paraId="15F795BE" w14:textId="1C69E360" w:rsidR="00D84B3C" w:rsidRPr="00B90364" w:rsidRDefault="00D84B3C" w:rsidP="00B90364">
      <w:pPr>
        <w:pStyle w:val="NormalWeb"/>
        <w:spacing w:after="240" w:afterAutospacing="0" w:line="360" w:lineRule="auto"/>
        <w:rPr>
          <w:color w:val="000000" w:themeColor="text1"/>
        </w:rPr>
      </w:pPr>
      <w:r w:rsidRPr="00B90364">
        <w:rPr>
          <w:b/>
          <w:bCs/>
          <w:color w:val="000000" w:themeColor="text1"/>
        </w:rPr>
        <w:t xml:space="preserve">Section 1 </w:t>
      </w:r>
      <w:r w:rsidRPr="00B90364">
        <w:rPr>
          <w:color w:val="000000" w:themeColor="text1"/>
        </w:rPr>
        <w:t xml:space="preserve">Remedial consistency </w:t>
      </w:r>
    </w:p>
    <w:p w14:paraId="46378C73" w14:textId="59C58C11" w:rsidR="00BF76E9" w:rsidRPr="00B90364" w:rsidRDefault="00D84B3C"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 xml:space="preserve">1.1 </w:t>
      </w:r>
      <w:r w:rsidR="00BF76E9" w:rsidRPr="00B90364">
        <w:rPr>
          <w:rFonts w:ascii="Times New Roman" w:hAnsi="Times New Roman"/>
          <w:b/>
          <w:bCs/>
          <w:color w:val="000000" w:themeColor="text1"/>
          <w:lang w:val="en-HK"/>
        </w:rPr>
        <w:t>The Idea of Remedial Consistency</w:t>
      </w:r>
    </w:p>
    <w:p w14:paraId="5C140060"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Primary and Remedial Relations</w:t>
      </w:r>
      <w:r w:rsidRPr="00B90364">
        <w:rPr>
          <w:rFonts w:ascii="Times New Roman" w:hAnsi="Times New Roman"/>
          <w:color w:val="000000" w:themeColor="text1"/>
          <w:lang w:val="en-HK"/>
        </w:rPr>
        <w:t>:</w:t>
      </w:r>
    </w:p>
    <w:p w14:paraId="065F5299" w14:textId="2F1EC82B"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BF76E9" w:rsidRPr="00B90364">
        <w:rPr>
          <w:rFonts w:ascii="Times New Roman" w:hAnsi="Times New Roman"/>
          <w:b/>
          <w:bCs/>
          <w:color w:val="000000" w:themeColor="text1"/>
          <w:lang w:val="en-HK"/>
        </w:rPr>
        <w:t>Primary relation</w:t>
      </w:r>
      <w:r w:rsidR="00BF76E9" w:rsidRPr="00B90364">
        <w:rPr>
          <w:rFonts w:ascii="Times New Roman" w:hAnsi="Times New Roman"/>
          <w:color w:val="000000" w:themeColor="text1"/>
          <w:lang w:val="en-HK"/>
        </w:rPr>
        <w:t xml:space="preserve"> refers to the duty or liability that exists before a legal claim arises (e.g., a contractual duty).</w:t>
      </w:r>
    </w:p>
    <w:p w14:paraId="11F06464" w14:textId="3F2706C3"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BF76E9" w:rsidRPr="00B90364">
        <w:rPr>
          <w:rFonts w:ascii="Times New Roman" w:hAnsi="Times New Roman"/>
          <w:b/>
          <w:bCs/>
          <w:color w:val="000000" w:themeColor="text1"/>
          <w:lang w:val="en-HK"/>
        </w:rPr>
        <w:t>Remedial relation</w:t>
      </w:r>
      <w:r w:rsidR="00BF76E9" w:rsidRPr="00B90364">
        <w:rPr>
          <w:rFonts w:ascii="Times New Roman" w:hAnsi="Times New Roman"/>
          <w:color w:val="000000" w:themeColor="text1"/>
          <w:lang w:val="en-HK"/>
        </w:rPr>
        <w:t xml:space="preserve"> is the claim C has against D to enforce or satisfy the primary relation, which the court must identify and enforce.</w:t>
      </w:r>
    </w:p>
    <w:p w14:paraId="4E481BA1"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Consistency Between Primary and Remedial Relations</w:t>
      </w:r>
      <w:r w:rsidRPr="00B90364">
        <w:rPr>
          <w:rFonts w:ascii="Times New Roman" w:hAnsi="Times New Roman"/>
          <w:color w:val="000000" w:themeColor="text1"/>
          <w:lang w:val="en-HK"/>
        </w:rPr>
        <w:t>:</w:t>
      </w:r>
    </w:p>
    <w:p w14:paraId="3F58DE62"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The remedy should align with the primary legal duty to maintain </w:t>
      </w:r>
      <w:r w:rsidRPr="00B90364">
        <w:rPr>
          <w:rFonts w:ascii="Times New Roman" w:hAnsi="Times New Roman"/>
          <w:b/>
          <w:bCs/>
          <w:color w:val="000000" w:themeColor="text1"/>
          <w:lang w:val="en-HK"/>
        </w:rPr>
        <w:t>remedial consistency</w:t>
      </w:r>
      <w:r w:rsidRPr="00B90364">
        <w:rPr>
          <w:rFonts w:ascii="Times New Roman" w:hAnsi="Times New Roman"/>
          <w:color w:val="000000" w:themeColor="text1"/>
          <w:lang w:val="en-HK"/>
        </w:rPr>
        <w:t>.</w:t>
      </w:r>
    </w:p>
    <w:p w14:paraId="4F5828D9"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Example</w:t>
      </w:r>
      <w:r w:rsidRPr="00B90364">
        <w:rPr>
          <w:rFonts w:ascii="Times New Roman" w:hAnsi="Times New Roman"/>
          <w:color w:val="000000" w:themeColor="text1"/>
          <w:lang w:val="en-HK"/>
        </w:rPr>
        <w:t xml:space="preserve">: If D breaches a duty and causes harm, C's remedy must compensate based on the position C would have been in had the duty been performed, typically through </w:t>
      </w:r>
      <w:r w:rsidRPr="00B90364">
        <w:rPr>
          <w:rFonts w:ascii="Times New Roman" w:hAnsi="Times New Roman"/>
          <w:b/>
          <w:bCs/>
          <w:color w:val="000000" w:themeColor="text1"/>
          <w:lang w:val="en-HK"/>
        </w:rPr>
        <w:t>expectation damages</w:t>
      </w:r>
      <w:r w:rsidRPr="00B90364">
        <w:rPr>
          <w:rFonts w:ascii="Times New Roman" w:hAnsi="Times New Roman"/>
          <w:color w:val="000000" w:themeColor="text1"/>
          <w:lang w:val="en-HK"/>
        </w:rPr>
        <w:t xml:space="preserve"> for contract breaches.</w:t>
      </w:r>
    </w:p>
    <w:p w14:paraId="0423DF1B"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Importance of Correctly Identifying the Primary Relation</w:t>
      </w:r>
      <w:r w:rsidRPr="00B90364">
        <w:rPr>
          <w:rFonts w:ascii="Times New Roman" w:hAnsi="Times New Roman"/>
          <w:color w:val="000000" w:themeColor="text1"/>
          <w:lang w:val="en-HK"/>
        </w:rPr>
        <w:t>:</w:t>
      </w:r>
    </w:p>
    <w:p w14:paraId="6F32D337" w14:textId="19270E20"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lastRenderedPageBreak/>
        <w:t xml:space="preserve">- </w:t>
      </w:r>
      <w:r w:rsidR="00BF76E9" w:rsidRPr="00B90364">
        <w:rPr>
          <w:rFonts w:ascii="Times New Roman" w:hAnsi="Times New Roman"/>
          <w:color w:val="000000" w:themeColor="text1"/>
          <w:lang w:val="en-HK"/>
        </w:rPr>
        <w:t>Mischaracterizing the primary relation may lead to inappropriate remedies, undermining remedial consistency.</w:t>
      </w:r>
    </w:p>
    <w:p w14:paraId="0BDDDEF8" w14:textId="10BE92B0"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BF76E9" w:rsidRPr="00B90364">
        <w:rPr>
          <w:rFonts w:ascii="Times New Roman" w:hAnsi="Times New Roman"/>
          <w:b/>
          <w:bCs/>
          <w:color w:val="000000" w:themeColor="text1"/>
          <w:lang w:val="en-HK"/>
        </w:rPr>
        <w:t>Illustration</w:t>
      </w:r>
      <w:r w:rsidR="00BF76E9" w:rsidRPr="00B90364">
        <w:rPr>
          <w:rFonts w:ascii="Times New Roman" w:hAnsi="Times New Roman"/>
          <w:color w:val="000000" w:themeColor="text1"/>
          <w:lang w:val="en-HK"/>
        </w:rPr>
        <w:t>: For a breach of contract, compensation must match the expected benefit, not just the reliance on the contract.</w:t>
      </w:r>
    </w:p>
    <w:p w14:paraId="59BF787B" w14:textId="77777777" w:rsidR="00BF76E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434B98F3">
          <v:rect id="_x0000_i1039" alt="" style="width:451.3pt;height:.05pt;mso-width-percent:0;mso-height-percent:0;mso-width-percent:0;mso-height-percent:0" o:hralign="center" o:hrstd="t" o:hr="t" fillcolor="#a0a0a0" stroked="f"/>
        </w:pict>
      </w:r>
    </w:p>
    <w:p w14:paraId="217DDCDA" w14:textId="77777777" w:rsidR="00BF76E9" w:rsidRPr="00B90364" w:rsidRDefault="00BF76E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1.2 Remedial Consistency and Property</w:t>
      </w:r>
    </w:p>
    <w:p w14:paraId="748E6CB0" w14:textId="35D3D46C"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1. </w:t>
      </w:r>
      <w:r w:rsidR="00BF76E9" w:rsidRPr="00B90364">
        <w:rPr>
          <w:rFonts w:ascii="Times New Roman" w:hAnsi="Times New Roman"/>
          <w:b/>
          <w:bCs/>
          <w:color w:val="000000" w:themeColor="text1"/>
          <w:lang w:val="en-HK"/>
        </w:rPr>
        <w:t>Property Rights and Duty</w:t>
      </w:r>
      <w:r w:rsidR="00BF76E9" w:rsidRPr="00B90364">
        <w:rPr>
          <w:rFonts w:ascii="Times New Roman" w:hAnsi="Times New Roman"/>
          <w:color w:val="000000" w:themeColor="text1"/>
          <w:lang w:val="en-HK"/>
        </w:rPr>
        <w:t>:</w:t>
      </w:r>
    </w:p>
    <w:p w14:paraId="16EC7F72"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Owners' rights</w:t>
      </w:r>
      <w:r w:rsidRPr="00B90364">
        <w:rPr>
          <w:rFonts w:ascii="Times New Roman" w:hAnsi="Times New Roman"/>
          <w:color w:val="000000" w:themeColor="text1"/>
          <w:lang w:val="en-HK"/>
        </w:rPr>
        <w:t xml:space="preserve"> are correlated with others' duty not to interfere with their property.</w:t>
      </w:r>
    </w:p>
    <w:p w14:paraId="09E1F449"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Claims to protect property usually arise from breaches of duty, and remedies aim to restore the property to the owner or compensate for the intrusion.</w:t>
      </w:r>
    </w:p>
    <w:p w14:paraId="4518CCAF" w14:textId="77777777" w:rsidR="00CA6DC2"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2. </w:t>
      </w:r>
      <w:r w:rsidR="00BF76E9" w:rsidRPr="00B90364">
        <w:rPr>
          <w:rFonts w:ascii="Times New Roman" w:hAnsi="Times New Roman"/>
          <w:b/>
          <w:bCs/>
          <w:color w:val="000000" w:themeColor="text1"/>
          <w:lang w:val="en-HK"/>
        </w:rPr>
        <w:t>Two Types of Property Claims</w:t>
      </w:r>
      <w:r w:rsidR="00BF76E9" w:rsidRPr="00B90364">
        <w:rPr>
          <w:rFonts w:ascii="Times New Roman" w:hAnsi="Times New Roman"/>
          <w:color w:val="000000" w:themeColor="text1"/>
          <w:lang w:val="en-HK"/>
        </w:rPr>
        <w:t>:</w:t>
      </w:r>
    </w:p>
    <w:p w14:paraId="15486AA6" w14:textId="2EE29969"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1. </w:t>
      </w:r>
      <w:r w:rsidR="00BF76E9" w:rsidRPr="00B90364">
        <w:rPr>
          <w:rFonts w:ascii="Times New Roman" w:hAnsi="Times New Roman"/>
          <w:b/>
          <w:bCs/>
          <w:color w:val="000000" w:themeColor="text1"/>
          <w:lang w:val="en-HK"/>
        </w:rPr>
        <w:t>Breach of Duty Claims</w:t>
      </w:r>
      <w:r w:rsidR="00BF76E9" w:rsidRPr="00B90364">
        <w:rPr>
          <w:rFonts w:ascii="Times New Roman" w:hAnsi="Times New Roman"/>
          <w:color w:val="000000" w:themeColor="text1"/>
          <w:lang w:val="en-HK"/>
        </w:rPr>
        <w:t>:</w:t>
      </w:r>
    </w:p>
    <w:p w14:paraId="16300DC4" w14:textId="744FBA31"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Arise when D acts contrary to a duty (e.g., taking property without authority).</w:t>
      </w:r>
    </w:p>
    <w:p w14:paraId="4C8CD92A" w14:textId="684FBDDB"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The remedy is </w:t>
      </w:r>
      <w:r w:rsidR="00BF76E9" w:rsidRPr="00B90364">
        <w:rPr>
          <w:rFonts w:ascii="Times New Roman" w:hAnsi="Times New Roman"/>
          <w:b/>
          <w:bCs/>
          <w:color w:val="000000" w:themeColor="text1"/>
          <w:lang w:val="en-HK"/>
        </w:rPr>
        <w:t>personal</w:t>
      </w:r>
      <w:r w:rsidR="00BF76E9" w:rsidRPr="00B90364">
        <w:rPr>
          <w:rFonts w:ascii="Times New Roman" w:hAnsi="Times New Roman"/>
          <w:color w:val="000000" w:themeColor="text1"/>
          <w:lang w:val="en-HK"/>
        </w:rPr>
        <w:t>, typically compensating for the loss caused by the breach.</w:t>
      </w:r>
    </w:p>
    <w:p w14:paraId="52740C9A" w14:textId="76AC6032"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2. </w:t>
      </w:r>
      <w:r w:rsidR="00BF76E9" w:rsidRPr="00B90364">
        <w:rPr>
          <w:rFonts w:ascii="Times New Roman" w:hAnsi="Times New Roman"/>
          <w:b/>
          <w:bCs/>
          <w:color w:val="000000" w:themeColor="text1"/>
          <w:lang w:val="en-HK"/>
        </w:rPr>
        <w:t>Invalid Transfer Claims</w:t>
      </w:r>
      <w:r w:rsidR="00BF76E9" w:rsidRPr="00B90364">
        <w:rPr>
          <w:rFonts w:ascii="Times New Roman" w:hAnsi="Times New Roman"/>
          <w:color w:val="000000" w:themeColor="text1"/>
          <w:lang w:val="en-HK"/>
        </w:rPr>
        <w:t>:</w:t>
      </w:r>
    </w:p>
    <w:p w14:paraId="491462CF" w14:textId="0A6725B2"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Arise when property is transferred without valid authority, regardless of whether D breached a duty.</w:t>
      </w:r>
    </w:p>
    <w:p w14:paraId="2E1F8A7F" w14:textId="3C8E4805"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These claims focus on the </w:t>
      </w:r>
      <w:r w:rsidR="00BF76E9" w:rsidRPr="00B90364">
        <w:rPr>
          <w:rFonts w:ascii="Times New Roman" w:hAnsi="Times New Roman"/>
          <w:b/>
          <w:bCs/>
          <w:color w:val="000000" w:themeColor="text1"/>
          <w:lang w:val="en-HK"/>
        </w:rPr>
        <w:t>invalidity</w:t>
      </w:r>
      <w:r w:rsidR="00BF76E9" w:rsidRPr="00B90364">
        <w:rPr>
          <w:rFonts w:ascii="Times New Roman" w:hAnsi="Times New Roman"/>
          <w:color w:val="000000" w:themeColor="text1"/>
          <w:lang w:val="en-HK"/>
        </w:rPr>
        <w:t xml:space="preserve"> of the transfer, leading to a </w:t>
      </w:r>
      <w:r w:rsidR="00BF76E9" w:rsidRPr="00B90364">
        <w:rPr>
          <w:rFonts w:ascii="Times New Roman" w:hAnsi="Times New Roman"/>
          <w:b/>
          <w:bCs/>
          <w:color w:val="000000" w:themeColor="text1"/>
          <w:lang w:val="en-HK"/>
        </w:rPr>
        <w:t>proprietary claim</w:t>
      </w:r>
      <w:r w:rsidR="00BF76E9" w:rsidRPr="00B90364">
        <w:rPr>
          <w:rFonts w:ascii="Times New Roman" w:hAnsi="Times New Roman"/>
          <w:color w:val="000000" w:themeColor="text1"/>
          <w:lang w:val="en-HK"/>
        </w:rPr>
        <w:t xml:space="preserve"> to recover the property.</w:t>
      </w:r>
    </w:p>
    <w:p w14:paraId="0B11082D" w14:textId="4595C5E9"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3. </w:t>
      </w:r>
      <w:r w:rsidR="00BF76E9" w:rsidRPr="00B90364">
        <w:rPr>
          <w:rFonts w:ascii="Times New Roman" w:hAnsi="Times New Roman"/>
          <w:b/>
          <w:bCs/>
          <w:color w:val="000000" w:themeColor="text1"/>
          <w:lang w:val="en-HK"/>
        </w:rPr>
        <w:t>Remedial Consistency in Property Claims</w:t>
      </w:r>
      <w:r w:rsidR="00BF76E9" w:rsidRPr="00B90364">
        <w:rPr>
          <w:rFonts w:ascii="Times New Roman" w:hAnsi="Times New Roman"/>
          <w:color w:val="000000" w:themeColor="text1"/>
          <w:lang w:val="en-HK"/>
        </w:rPr>
        <w:t>:</w:t>
      </w:r>
    </w:p>
    <w:p w14:paraId="27735840" w14:textId="44B0EFAA"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BF76E9" w:rsidRPr="00B90364">
        <w:rPr>
          <w:rFonts w:ascii="Times New Roman" w:hAnsi="Times New Roman"/>
          <w:b/>
          <w:bCs/>
          <w:color w:val="000000" w:themeColor="text1"/>
          <w:lang w:val="en-HK"/>
        </w:rPr>
        <w:t>Breach of duty</w:t>
      </w:r>
      <w:r w:rsidR="00BF76E9" w:rsidRPr="00B90364">
        <w:rPr>
          <w:rFonts w:ascii="Times New Roman" w:hAnsi="Times New Roman"/>
          <w:color w:val="000000" w:themeColor="text1"/>
          <w:lang w:val="en-HK"/>
        </w:rPr>
        <w:t xml:space="preserve"> leads to </w:t>
      </w:r>
      <w:r w:rsidR="00BF76E9" w:rsidRPr="00B90364">
        <w:rPr>
          <w:rFonts w:ascii="Times New Roman" w:hAnsi="Times New Roman"/>
          <w:b/>
          <w:bCs/>
          <w:color w:val="000000" w:themeColor="text1"/>
          <w:lang w:val="en-HK"/>
        </w:rPr>
        <w:t>personal remedies</w:t>
      </w:r>
      <w:r w:rsidR="00BF76E9" w:rsidRPr="00B90364">
        <w:rPr>
          <w:rFonts w:ascii="Times New Roman" w:hAnsi="Times New Roman"/>
          <w:color w:val="000000" w:themeColor="text1"/>
          <w:lang w:val="en-HK"/>
        </w:rPr>
        <w:t>, such as compensation.</w:t>
      </w:r>
    </w:p>
    <w:p w14:paraId="0F0D680B" w14:textId="08CC0CBE"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BF76E9" w:rsidRPr="00B90364">
        <w:rPr>
          <w:rFonts w:ascii="Times New Roman" w:hAnsi="Times New Roman"/>
          <w:b/>
          <w:bCs/>
          <w:color w:val="000000" w:themeColor="text1"/>
          <w:lang w:val="en-HK"/>
        </w:rPr>
        <w:t>Invalid transfer</w:t>
      </w:r>
      <w:r w:rsidR="00BF76E9" w:rsidRPr="00B90364">
        <w:rPr>
          <w:rFonts w:ascii="Times New Roman" w:hAnsi="Times New Roman"/>
          <w:color w:val="000000" w:themeColor="text1"/>
          <w:lang w:val="en-HK"/>
        </w:rPr>
        <w:t xml:space="preserve"> triggers </w:t>
      </w:r>
      <w:r w:rsidR="00BF76E9" w:rsidRPr="00B90364">
        <w:rPr>
          <w:rFonts w:ascii="Times New Roman" w:hAnsi="Times New Roman"/>
          <w:b/>
          <w:bCs/>
          <w:color w:val="000000" w:themeColor="text1"/>
          <w:lang w:val="en-HK"/>
        </w:rPr>
        <w:t>proprietary claims</w:t>
      </w:r>
      <w:r w:rsidR="00BF76E9" w:rsidRPr="00B90364">
        <w:rPr>
          <w:rFonts w:ascii="Times New Roman" w:hAnsi="Times New Roman"/>
          <w:color w:val="000000" w:themeColor="text1"/>
          <w:lang w:val="en-HK"/>
        </w:rPr>
        <w:t>, since the transfer is invalid and cannot be upheld against the owner or third parties.</w:t>
      </w:r>
    </w:p>
    <w:p w14:paraId="105D2AD7" w14:textId="61B5BE15"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lastRenderedPageBreak/>
        <w:t xml:space="preserve">4. </w:t>
      </w:r>
      <w:r w:rsidR="00BF76E9" w:rsidRPr="00B90364">
        <w:rPr>
          <w:rFonts w:ascii="Times New Roman" w:hAnsi="Times New Roman"/>
          <w:b/>
          <w:bCs/>
          <w:color w:val="000000" w:themeColor="text1"/>
          <w:lang w:val="en-HK"/>
        </w:rPr>
        <w:t>Equity’s Role</w:t>
      </w:r>
      <w:r w:rsidR="00BF76E9" w:rsidRPr="00B90364">
        <w:rPr>
          <w:rFonts w:ascii="Times New Roman" w:hAnsi="Times New Roman"/>
          <w:color w:val="000000" w:themeColor="text1"/>
          <w:lang w:val="en-HK"/>
        </w:rPr>
        <w:t>:</w:t>
      </w:r>
    </w:p>
    <w:p w14:paraId="61414076"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Equity recognizes </w:t>
      </w:r>
      <w:r w:rsidRPr="00B90364">
        <w:rPr>
          <w:rFonts w:ascii="Times New Roman" w:hAnsi="Times New Roman"/>
          <w:b/>
          <w:bCs/>
          <w:color w:val="000000" w:themeColor="text1"/>
          <w:lang w:val="en-HK"/>
        </w:rPr>
        <w:t>proprietary claims</w:t>
      </w:r>
      <w:r w:rsidRPr="00B90364">
        <w:rPr>
          <w:rFonts w:ascii="Times New Roman" w:hAnsi="Times New Roman"/>
          <w:color w:val="000000" w:themeColor="text1"/>
          <w:lang w:val="en-HK"/>
        </w:rPr>
        <w:t xml:space="preserve"> through </w:t>
      </w:r>
      <w:r w:rsidRPr="00B90364">
        <w:rPr>
          <w:rFonts w:ascii="Times New Roman" w:hAnsi="Times New Roman"/>
          <w:b/>
          <w:bCs/>
          <w:color w:val="000000" w:themeColor="text1"/>
          <w:lang w:val="en-HK"/>
        </w:rPr>
        <w:t>constructive trusts</w:t>
      </w:r>
      <w:r w:rsidRPr="00B90364">
        <w:rPr>
          <w:rFonts w:ascii="Times New Roman" w:hAnsi="Times New Roman"/>
          <w:color w:val="000000" w:themeColor="text1"/>
          <w:lang w:val="en-HK"/>
        </w:rPr>
        <w:t>, distinguishing between claims arising from breach of duty and those based on invalid transfers.</w:t>
      </w:r>
    </w:p>
    <w:p w14:paraId="6A267E00" w14:textId="6C33D2C2"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Common law often conflates the two types of claims, leading to inadequate protection for property rights. Equity, however, provides a more consistent approach, particularly with </w:t>
      </w:r>
      <w:r w:rsidRPr="00B90364">
        <w:rPr>
          <w:rFonts w:ascii="Times New Roman" w:hAnsi="Times New Roman"/>
          <w:b/>
          <w:bCs/>
          <w:color w:val="000000" w:themeColor="text1"/>
          <w:lang w:val="en-HK"/>
        </w:rPr>
        <w:t>constructive trusts</w:t>
      </w:r>
      <w:r w:rsidRPr="00B90364">
        <w:rPr>
          <w:rFonts w:ascii="Times New Roman" w:hAnsi="Times New Roman"/>
          <w:color w:val="000000" w:themeColor="text1"/>
          <w:lang w:val="en-HK"/>
        </w:rPr>
        <w:t xml:space="preserve"> that protect the owner’s pre-existing property rights.</w:t>
      </w:r>
    </w:p>
    <w:p w14:paraId="22F4ECE4" w14:textId="5684B00D" w:rsidR="00BF76E9" w:rsidRPr="00B90364" w:rsidRDefault="00BF76E9" w:rsidP="00B90364">
      <w:pPr>
        <w:spacing w:before="100" w:beforeAutospacing="1" w:after="240" w:line="360" w:lineRule="auto"/>
        <w:outlineLvl w:val="2"/>
        <w:rPr>
          <w:rFonts w:ascii="Times New Roman" w:hAnsi="Times New Roman"/>
          <w:b/>
          <w:bCs/>
          <w:color w:val="000000" w:themeColor="text1"/>
          <w:lang w:val="en-HK"/>
        </w:rPr>
      </w:pPr>
      <w:r w:rsidRPr="00B90364">
        <w:rPr>
          <w:rFonts w:ascii="Times New Roman" w:hAnsi="Times New Roman"/>
          <w:b/>
          <w:bCs/>
          <w:color w:val="000000" w:themeColor="text1"/>
          <w:lang w:val="en-HK"/>
        </w:rPr>
        <w:t>1.3 Remedial Consistency and the Trust</w:t>
      </w:r>
    </w:p>
    <w:p w14:paraId="2930AC5D" w14:textId="77777777" w:rsidR="00BF76E9" w:rsidRPr="00B90364" w:rsidRDefault="00BF76E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Remedial Consistency’s Role in Trust Law</w:t>
      </w:r>
    </w:p>
    <w:p w14:paraId="4B5134D7"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Core Concept</w:t>
      </w:r>
      <w:r w:rsidRPr="00B90364">
        <w:rPr>
          <w:rFonts w:ascii="Times New Roman" w:hAnsi="Times New Roman"/>
          <w:color w:val="000000" w:themeColor="text1"/>
          <w:lang w:val="en-HK"/>
        </w:rPr>
        <w:t xml:space="preserve">: The principle of </w:t>
      </w:r>
      <w:r w:rsidRPr="00B90364">
        <w:rPr>
          <w:rFonts w:ascii="Times New Roman" w:hAnsi="Times New Roman"/>
          <w:b/>
          <w:bCs/>
          <w:color w:val="000000" w:themeColor="text1"/>
          <w:lang w:val="en-HK"/>
        </w:rPr>
        <w:t>remedial consistency</w:t>
      </w:r>
      <w:r w:rsidRPr="00B90364">
        <w:rPr>
          <w:rFonts w:ascii="Times New Roman" w:hAnsi="Times New Roman"/>
          <w:color w:val="000000" w:themeColor="text1"/>
          <w:lang w:val="en-HK"/>
        </w:rPr>
        <w:t xml:space="preserve"> is crucial for explaining the dual nature of the beneficiary's right under a trust, whether it is </w:t>
      </w:r>
      <w:r w:rsidRPr="00B90364">
        <w:rPr>
          <w:rFonts w:ascii="Times New Roman" w:hAnsi="Times New Roman"/>
          <w:b/>
          <w:bCs/>
          <w:color w:val="000000" w:themeColor="text1"/>
          <w:lang w:val="en-HK"/>
        </w:rPr>
        <w:t>personal</w:t>
      </w:r>
      <w:r w:rsidRPr="00B90364">
        <w:rPr>
          <w:rFonts w:ascii="Times New Roman" w:hAnsi="Times New Roman"/>
          <w:color w:val="000000" w:themeColor="text1"/>
          <w:lang w:val="en-HK"/>
        </w:rPr>
        <w:t xml:space="preserve"> (binding only the trustee) or </w:t>
      </w:r>
      <w:r w:rsidRPr="00B90364">
        <w:rPr>
          <w:rFonts w:ascii="Times New Roman" w:hAnsi="Times New Roman"/>
          <w:b/>
          <w:bCs/>
          <w:color w:val="000000" w:themeColor="text1"/>
          <w:lang w:val="en-HK"/>
        </w:rPr>
        <w:t>proprietary</w:t>
      </w:r>
      <w:r w:rsidRPr="00B90364">
        <w:rPr>
          <w:rFonts w:ascii="Times New Roman" w:hAnsi="Times New Roman"/>
          <w:color w:val="000000" w:themeColor="text1"/>
          <w:lang w:val="en-HK"/>
        </w:rPr>
        <w:t xml:space="preserve"> (binding third parties).</w:t>
      </w:r>
    </w:p>
    <w:p w14:paraId="0564F9C5" w14:textId="79921DCD"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This issue is central to determining how the law protects trust beneficiaries when a trustee breaches their duties or improperly transfers trust property.</w:t>
      </w:r>
    </w:p>
    <w:p w14:paraId="0DCEAFFE" w14:textId="77777777" w:rsidR="00BF76E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4F3624EB">
          <v:rect id="_x0000_i1038" alt="" style="width:451.3pt;height:.05pt;mso-width-percent:0;mso-height-percent:0;mso-width-percent:0;mso-height-percent:0" o:hralign="center" o:hrstd="t" o:hr="t" fillcolor="#a0a0a0" stroked="f"/>
        </w:pict>
      </w:r>
    </w:p>
    <w:p w14:paraId="4D426A4E" w14:textId="77777777" w:rsidR="00BF76E9" w:rsidRPr="00B90364" w:rsidRDefault="00BF76E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The Trustee’s Duty: Personal and Contractual in Nature</w:t>
      </w:r>
    </w:p>
    <w:p w14:paraId="07F513AC"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Nature of the Obligation</w:t>
      </w:r>
      <w:r w:rsidRPr="00B90364">
        <w:rPr>
          <w:rFonts w:ascii="Times New Roman" w:hAnsi="Times New Roman"/>
          <w:color w:val="000000" w:themeColor="text1"/>
          <w:lang w:val="en-HK"/>
        </w:rPr>
        <w:t>:</w:t>
      </w:r>
    </w:p>
    <w:p w14:paraId="60005F16" w14:textId="40A50E17"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The trustee’s duty arises from their </w:t>
      </w:r>
      <w:r w:rsidR="00BF76E9" w:rsidRPr="00B90364">
        <w:rPr>
          <w:rFonts w:ascii="Times New Roman" w:hAnsi="Times New Roman"/>
          <w:b/>
          <w:bCs/>
          <w:color w:val="000000" w:themeColor="text1"/>
          <w:lang w:val="en-HK"/>
        </w:rPr>
        <w:t>undertaking</w:t>
      </w:r>
      <w:r w:rsidR="00BF76E9" w:rsidRPr="00B90364">
        <w:rPr>
          <w:rFonts w:ascii="Times New Roman" w:hAnsi="Times New Roman"/>
          <w:color w:val="000000" w:themeColor="text1"/>
          <w:lang w:val="en-HK"/>
        </w:rPr>
        <w:t xml:space="preserve"> to act as trustee, imposing a personal obligation to manage and distribute the trust property according to the trust terms.</w:t>
      </w:r>
    </w:p>
    <w:p w14:paraId="094CB247" w14:textId="6841C056"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This duty is </w:t>
      </w:r>
      <w:r w:rsidR="00BF76E9" w:rsidRPr="00B90364">
        <w:rPr>
          <w:rFonts w:ascii="Times New Roman" w:hAnsi="Times New Roman"/>
          <w:b/>
          <w:bCs/>
          <w:color w:val="000000" w:themeColor="text1"/>
          <w:lang w:val="en-HK"/>
        </w:rPr>
        <w:t>personal</w:t>
      </w:r>
      <w:r w:rsidR="00BF76E9" w:rsidRPr="00B90364">
        <w:rPr>
          <w:rFonts w:ascii="Times New Roman" w:hAnsi="Times New Roman"/>
          <w:color w:val="000000" w:themeColor="text1"/>
          <w:lang w:val="en-HK"/>
        </w:rPr>
        <w:t>, comparable to a contractual obligation, binding only the trustee and not third parties.</w:t>
      </w:r>
    </w:p>
    <w:p w14:paraId="5E5FF4C1" w14:textId="6FBFB34B"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BF76E9" w:rsidRPr="00B90364">
        <w:rPr>
          <w:rFonts w:ascii="Times New Roman" w:hAnsi="Times New Roman"/>
          <w:b/>
          <w:bCs/>
          <w:color w:val="000000" w:themeColor="text1"/>
          <w:lang w:val="en-HK"/>
        </w:rPr>
        <w:t>Rationale</w:t>
      </w:r>
      <w:r w:rsidR="00BF76E9" w:rsidRPr="00B90364">
        <w:rPr>
          <w:rFonts w:ascii="Times New Roman" w:hAnsi="Times New Roman"/>
          <w:color w:val="000000" w:themeColor="text1"/>
          <w:lang w:val="en-HK"/>
        </w:rPr>
        <w:t>: Subjecting a trustee to such duties is justified because the trustee voluntarily assumes the responsibility.</w:t>
      </w:r>
    </w:p>
    <w:p w14:paraId="223D7B56" w14:textId="5B601BA6"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Implications</w:t>
      </w:r>
      <w:r w:rsidRPr="00B90364">
        <w:rPr>
          <w:rFonts w:ascii="Times New Roman" w:hAnsi="Times New Roman"/>
          <w:color w:val="000000" w:themeColor="text1"/>
          <w:lang w:val="en-HK"/>
        </w:rPr>
        <w:t>:</w:t>
      </w:r>
    </w:p>
    <w:p w14:paraId="2BB1694F"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lastRenderedPageBreak/>
        <w:t xml:space="preserve">If the beneficiary’s right is confined to enforcing this duty, their remedies are </w:t>
      </w:r>
      <w:r w:rsidRPr="00B90364">
        <w:rPr>
          <w:rFonts w:ascii="Times New Roman" w:hAnsi="Times New Roman"/>
          <w:b/>
          <w:bCs/>
          <w:color w:val="000000" w:themeColor="text1"/>
          <w:lang w:val="en-HK"/>
        </w:rPr>
        <w:t>limited to personal claims</w:t>
      </w:r>
      <w:r w:rsidRPr="00B90364">
        <w:rPr>
          <w:rFonts w:ascii="Times New Roman" w:hAnsi="Times New Roman"/>
          <w:color w:val="000000" w:themeColor="text1"/>
          <w:lang w:val="en-HK"/>
        </w:rPr>
        <w:t>:</w:t>
      </w:r>
    </w:p>
    <w:p w14:paraId="5021D816" w14:textId="68068AC7"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BF76E9" w:rsidRPr="00B90364">
        <w:rPr>
          <w:rFonts w:ascii="Times New Roman" w:hAnsi="Times New Roman"/>
          <w:b/>
          <w:bCs/>
          <w:color w:val="000000" w:themeColor="text1"/>
          <w:lang w:val="en-HK"/>
        </w:rPr>
        <w:t>Against the trustee</w:t>
      </w:r>
      <w:r w:rsidR="00BF76E9" w:rsidRPr="00B90364">
        <w:rPr>
          <w:rFonts w:ascii="Times New Roman" w:hAnsi="Times New Roman"/>
          <w:color w:val="000000" w:themeColor="text1"/>
          <w:lang w:val="en-HK"/>
        </w:rPr>
        <w:t xml:space="preserve"> for breach of duty.</w:t>
      </w:r>
    </w:p>
    <w:p w14:paraId="3D6B9C68" w14:textId="472FD3BD"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BF76E9" w:rsidRPr="00B90364">
        <w:rPr>
          <w:rFonts w:ascii="Times New Roman" w:hAnsi="Times New Roman"/>
          <w:b/>
          <w:bCs/>
          <w:color w:val="000000" w:themeColor="text1"/>
          <w:lang w:val="en-HK"/>
        </w:rPr>
        <w:t>Against third-party accessories</w:t>
      </w:r>
      <w:r w:rsidR="00BF76E9" w:rsidRPr="00B90364">
        <w:rPr>
          <w:rFonts w:ascii="Times New Roman" w:hAnsi="Times New Roman"/>
          <w:color w:val="000000" w:themeColor="text1"/>
          <w:lang w:val="en-HK"/>
        </w:rPr>
        <w:t xml:space="preserve"> for knowing or dishonest assistance (</w:t>
      </w:r>
      <w:r w:rsidR="00BF76E9" w:rsidRPr="00B90364">
        <w:rPr>
          <w:rFonts w:ascii="Times New Roman" w:hAnsi="Times New Roman"/>
          <w:i/>
          <w:iCs/>
          <w:color w:val="000000" w:themeColor="text1"/>
          <w:lang w:val="en-HK"/>
        </w:rPr>
        <w:t>Royal Brunei Airlines v Tan</w:t>
      </w:r>
      <w:r w:rsidR="00BF76E9" w:rsidRPr="00B90364">
        <w:rPr>
          <w:rFonts w:ascii="Times New Roman" w:hAnsi="Times New Roman"/>
          <w:color w:val="000000" w:themeColor="text1"/>
          <w:lang w:val="en-HK"/>
        </w:rPr>
        <w:t xml:space="preserve"> [1995]).</w:t>
      </w:r>
    </w:p>
    <w:p w14:paraId="645C2882" w14:textId="77777777" w:rsidR="00BF76E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6B3339BD">
          <v:rect id="_x0000_i1037" alt="" style="width:451.3pt;height:.05pt;mso-width-percent:0;mso-height-percent:0;mso-width-percent:0;mso-height-percent:0" o:hralign="center" o:hrstd="t" o:hr="t" fillcolor="#a0a0a0" stroked="f"/>
        </w:pict>
      </w:r>
    </w:p>
    <w:p w14:paraId="3E8ADE31" w14:textId="77777777" w:rsidR="00BF76E9" w:rsidRPr="00B90364" w:rsidRDefault="00BF76E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Proprietary Claims and Invalid Transfers</w:t>
      </w:r>
    </w:p>
    <w:p w14:paraId="707AC4E8"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Equitable Proprietary Claim</w:t>
      </w:r>
      <w:r w:rsidRPr="00B90364">
        <w:rPr>
          <w:rFonts w:ascii="Times New Roman" w:hAnsi="Times New Roman"/>
          <w:color w:val="000000" w:themeColor="text1"/>
          <w:lang w:val="en-HK"/>
        </w:rPr>
        <w:t>:</w:t>
      </w:r>
    </w:p>
    <w:p w14:paraId="30E0E095" w14:textId="34B19587"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The </w:t>
      </w:r>
      <w:r w:rsidR="00BF76E9" w:rsidRPr="00B90364">
        <w:rPr>
          <w:rFonts w:ascii="Times New Roman" w:hAnsi="Times New Roman"/>
          <w:b/>
          <w:bCs/>
          <w:color w:val="000000" w:themeColor="text1"/>
          <w:lang w:val="en-HK"/>
        </w:rPr>
        <w:t>equitable proprietary claim</w:t>
      </w:r>
      <w:r w:rsidR="00BF76E9" w:rsidRPr="00B90364">
        <w:rPr>
          <w:rFonts w:ascii="Times New Roman" w:hAnsi="Times New Roman"/>
          <w:color w:val="000000" w:themeColor="text1"/>
          <w:lang w:val="en-HK"/>
        </w:rPr>
        <w:t xml:space="preserve"> arises when trust property is improperly transferred to a third party, allowing the beneficiary to assert a </w:t>
      </w:r>
      <w:r w:rsidR="00BF76E9" w:rsidRPr="00B90364">
        <w:rPr>
          <w:rFonts w:ascii="Times New Roman" w:hAnsi="Times New Roman"/>
          <w:b/>
          <w:bCs/>
          <w:color w:val="000000" w:themeColor="text1"/>
          <w:lang w:val="en-HK"/>
        </w:rPr>
        <w:t>persisting property right</w:t>
      </w:r>
      <w:r w:rsidR="00BF76E9" w:rsidRPr="00B90364">
        <w:rPr>
          <w:rFonts w:ascii="Times New Roman" w:hAnsi="Times New Roman"/>
          <w:color w:val="000000" w:themeColor="text1"/>
          <w:lang w:val="en-HK"/>
        </w:rPr>
        <w:t>.</w:t>
      </w:r>
    </w:p>
    <w:p w14:paraId="3E1487F9" w14:textId="07ECBFE5"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Invalidity of Transfer</w:t>
      </w:r>
      <w:r w:rsidRPr="00B90364">
        <w:rPr>
          <w:rFonts w:ascii="Times New Roman" w:hAnsi="Times New Roman"/>
          <w:color w:val="000000" w:themeColor="text1"/>
          <w:lang w:val="en-HK"/>
        </w:rPr>
        <w:t>:</w:t>
      </w:r>
    </w:p>
    <w:p w14:paraId="34B13F1D" w14:textId="775C0C70"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The claim is based not on the trustee’s breach of duty but on the </w:t>
      </w:r>
      <w:r w:rsidR="00BF76E9" w:rsidRPr="00B90364">
        <w:rPr>
          <w:rFonts w:ascii="Times New Roman" w:hAnsi="Times New Roman"/>
          <w:b/>
          <w:bCs/>
          <w:color w:val="000000" w:themeColor="text1"/>
          <w:lang w:val="en-HK"/>
        </w:rPr>
        <w:t>invalidity of the transfer</w:t>
      </w:r>
      <w:r w:rsidR="00BF76E9" w:rsidRPr="00B90364">
        <w:rPr>
          <w:rFonts w:ascii="Times New Roman" w:hAnsi="Times New Roman"/>
          <w:color w:val="000000" w:themeColor="text1"/>
          <w:lang w:val="en-HK"/>
        </w:rPr>
        <w:t>, as the trustee acted beyond their authority under the trust.</w:t>
      </w:r>
    </w:p>
    <w:p w14:paraId="0ECF0558" w14:textId="4A83E2A2"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The </w:t>
      </w:r>
      <w:r w:rsidR="00BF76E9" w:rsidRPr="00B90364">
        <w:rPr>
          <w:rFonts w:ascii="Times New Roman" w:hAnsi="Times New Roman"/>
          <w:b/>
          <w:bCs/>
          <w:color w:val="000000" w:themeColor="text1"/>
          <w:lang w:val="en-HK"/>
        </w:rPr>
        <w:t>invalid transfer</w:t>
      </w:r>
      <w:r w:rsidR="00BF76E9" w:rsidRPr="00B90364">
        <w:rPr>
          <w:rFonts w:ascii="Times New Roman" w:hAnsi="Times New Roman"/>
          <w:color w:val="000000" w:themeColor="text1"/>
          <w:lang w:val="en-HK"/>
        </w:rPr>
        <w:t xml:space="preserve"> sustains the beneficiary’s proprietary interest, aligning with remedial consistency since the remedy reflects the underlying property right, not just a personal wrong.</w:t>
      </w:r>
    </w:p>
    <w:p w14:paraId="370CB139" w14:textId="77777777" w:rsidR="00BF76E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273AF6DB">
          <v:rect id="_x0000_i1036" alt="" style="width:451.3pt;height:.05pt;mso-width-percent:0;mso-height-percent:0;mso-width-percent:0;mso-height-percent:0" o:hralign="center" o:hrstd="t" o:hr="t" fillcolor="#a0a0a0" stroked="f"/>
        </w:pict>
      </w:r>
    </w:p>
    <w:p w14:paraId="7CF7B0A5" w14:textId="77777777" w:rsidR="00BF76E9" w:rsidRPr="00B90364" w:rsidRDefault="00BF76E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Two Dimensions of Trusts: Contractual and Property</w:t>
      </w:r>
    </w:p>
    <w:p w14:paraId="45409B15"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Express Trust Structure</w:t>
      </w:r>
      <w:r w:rsidRPr="00B90364">
        <w:rPr>
          <w:rFonts w:ascii="Times New Roman" w:hAnsi="Times New Roman"/>
          <w:color w:val="000000" w:themeColor="text1"/>
          <w:lang w:val="en-HK"/>
        </w:rPr>
        <w:t>:</w:t>
      </w:r>
    </w:p>
    <w:p w14:paraId="5A8A591B"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Trusts consist of two intertwined elements:</w:t>
      </w:r>
    </w:p>
    <w:p w14:paraId="088950E8" w14:textId="77777777" w:rsidR="00BF76E9" w:rsidRPr="00B90364" w:rsidRDefault="00BF76E9" w:rsidP="00B90364">
      <w:pPr>
        <w:numPr>
          <w:ilvl w:val="2"/>
          <w:numId w:val="7"/>
        </w:num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Contractual Dimension</w:t>
      </w:r>
      <w:r w:rsidRPr="00B90364">
        <w:rPr>
          <w:rFonts w:ascii="Times New Roman" w:hAnsi="Times New Roman"/>
          <w:color w:val="000000" w:themeColor="text1"/>
          <w:lang w:val="en-HK"/>
        </w:rPr>
        <w:t>: The trustee’s duty to administer the trust, enforceable through personal claims.</w:t>
      </w:r>
    </w:p>
    <w:p w14:paraId="16F17D92" w14:textId="77777777" w:rsidR="00BF76E9" w:rsidRPr="00B90364" w:rsidRDefault="00BF76E9" w:rsidP="00B90364">
      <w:pPr>
        <w:numPr>
          <w:ilvl w:val="2"/>
          <w:numId w:val="7"/>
        </w:num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Property Dimension</w:t>
      </w:r>
      <w:r w:rsidRPr="00B90364">
        <w:rPr>
          <w:rFonts w:ascii="Times New Roman" w:hAnsi="Times New Roman"/>
          <w:color w:val="000000" w:themeColor="text1"/>
          <w:lang w:val="en-HK"/>
        </w:rPr>
        <w:t xml:space="preserve">: The beneficiary’s </w:t>
      </w:r>
      <w:r w:rsidRPr="00B90364">
        <w:rPr>
          <w:rFonts w:ascii="Times New Roman" w:hAnsi="Times New Roman"/>
          <w:b/>
          <w:bCs/>
          <w:color w:val="000000" w:themeColor="text1"/>
          <w:lang w:val="en-HK"/>
        </w:rPr>
        <w:t>proprietary right</w:t>
      </w:r>
      <w:r w:rsidRPr="00B90364">
        <w:rPr>
          <w:rFonts w:ascii="Times New Roman" w:hAnsi="Times New Roman"/>
          <w:color w:val="000000" w:themeColor="text1"/>
          <w:lang w:val="en-HK"/>
        </w:rPr>
        <w:t xml:space="preserve"> in the trust property, enforceable against third parties.</w:t>
      </w:r>
    </w:p>
    <w:p w14:paraId="496B00BD"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lastRenderedPageBreak/>
        <w:t>Combination of Rights</w:t>
      </w:r>
      <w:r w:rsidRPr="00B90364">
        <w:rPr>
          <w:rFonts w:ascii="Times New Roman" w:hAnsi="Times New Roman"/>
          <w:color w:val="000000" w:themeColor="text1"/>
          <w:lang w:val="en-HK"/>
        </w:rPr>
        <w:t>:</w:t>
      </w:r>
    </w:p>
    <w:p w14:paraId="29081D11"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The beneficiary holds both:</w:t>
      </w:r>
    </w:p>
    <w:p w14:paraId="374FD6D0" w14:textId="46172821"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A </w:t>
      </w:r>
      <w:r w:rsidR="00BF76E9" w:rsidRPr="00B90364">
        <w:rPr>
          <w:rFonts w:ascii="Times New Roman" w:hAnsi="Times New Roman"/>
          <w:b/>
          <w:bCs/>
          <w:color w:val="000000" w:themeColor="text1"/>
          <w:lang w:val="en-HK"/>
        </w:rPr>
        <w:t>personal right</w:t>
      </w:r>
      <w:r w:rsidR="00BF76E9" w:rsidRPr="00B90364">
        <w:rPr>
          <w:rFonts w:ascii="Times New Roman" w:hAnsi="Times New Roman"/>
          <w:color w:val="000000" w:themeColor="text1"/>
          <w:lang w:val="en-HK"/>
        </w:rPr>
        <w:t xml:space="preserve"> to enforce the trustee’s performance.</w:t>
      </w:r>
    </w:p>
    <w:p w14:paraId="0CF0C7E7" w14:textId="0BC6D159"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A </w:t>
      </w:r>
      <w:r w:rsidR="00BF76E9" w:rsidRPr="00B90364">
        <w:rPr>
          <w:rFonts w:ascii="Times New Roman" w:hAnsi="Times New Roman"/>
          <w:b/>
          <w:bCs/>
          <w:color w:val="000000" w:themeColor="text1"/>
          <w:lang w:val="en-HK"/>
        </w:rPr>
        <w:t>proprietary right</w:t>
      </w:r>
      <w:r w:rsidR="00BF76E9" w:rsidRPr="00B90364">
        <w:rPr>
          <w:rFonts w:ascii="Times New Roman" w:hAnsi="Times New Roman"/>
          <w:color w:val="000000" w:themeColor="text1"/>
          <w:lang w:val="en-HK"/>
        </w:rPr>
        <w:t xml:space="preserve"> that binds third parties, preserving their interest even after unauthorized transfers.</w:t>
      </w:r>
    </w:p>
    <w:p w14:paraId="0C319055" w14:textId="77777777" w:rsidR="00BF76E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1C1CF851">
          <v:rect id="_x0000_i1035" alt="" style="width:451.3pt;height:.05pt;mso-width-percent:0;mso-height-percent:0;mso-width-percent:0;mso-height-percent:0" o:hralign="center" o:hrstd="t" o:hr="t" fillcolor="#a0a0a0" stroked="f"/>
        </w:pict>
      </w:r>
    </w:p>
    <w:p w14:paraId="647AD52F" w14:textId="77777777" w:rsidR="00BF76E9" w:rsidRPr="00B90364" w:rsidRDefault="00BF76E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Constructive Trust and Remedial Consistency</w:t>
      </w:r>
    </w:p>
    <w:p w14:paraId="575150C7" w14:textId="77777777"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Constructive Trust</w:t>
      </w:r>
      <w:r w:rsidRPr="00B90364">
        <w:rPr>
          <w:rFonts w:ascii="Times New Roman" w:hAnsi="Times New Roman"/>
          <w:color w:val="000000" w:themeColor="text1"/>
          <w:lang w:val="en-HK"/>
        </w:rPr>
        <w:t>:</w:t>
      </w:r>
    </w:p>
    <w:p w14:paraId="6594C0ED" w14:textId="492FEB6C"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The beneficiary’s equitable proprietary claim can be described as a </w:t>
      </w:r>
      <w:r w:rsidR="00BF76E9" w:rsidRPr="00B90364">
        <w:rPr>
          <w:rFonts w:ascii="Times New Roman" w:hAnsi="Times New Roman"/>
          <w:b/>
          <w:bCs/>
          <w:color w:val="000000" w:themeColor="text1"/>
          <w:lang w:val="en-HK"/>
        </w:rPr>
        <w:t>constructive trust</w:t>
      </w:r>
      <w:r w:rsidR="00BF76E9" w:rsidRPr="00B90364">
        <w:rPr>
          <w:rFonts w:ascii="Times New Roman" w:hAnsi="Times New Roman"/>
          <w:color w:val="000000" w:themeColor="text1"/>
          <w:lang w:val="en-HK"/>
        </w:rPr>
        <w:t xml:space="preserve"> because it arises from a </w:t>
      </w:r>
      <w:r w:rsidR="00BF76E9" w:rsidRPr="00B90364">
        <w:rPr>
          <w:rFonts w:ascii="Times New Roman" w:hAnsi="Times New Roman"/>
          <w:b/>
          <w:bCs/>
          <w:color w:val="000000" w:themeColor="text1"/>
          <w:lang w:val="en-HK"/>
        </w:rPr>
        <w:t>pre-existing property right</w:t>
      </w:r>
      <w:r w:rsidR="00BF76E9" w:rsidRPr="00B90364">
        <w:rPr>
          <w:rFonts w:ascii="Times New Roman" w:hAnsi="Times New Roman"/>
          <w:color w:val="000000" w:themeColor="text1"/>
          <w:lang w:val="en-HK"/>
        </w:rPr>
        <w:t xml:space="preserve"> that continues against third-party recipients.</w:t>
      </w:r>
    </w:p>
    <w:p w14:paraId="16BA2DC0" w14:textId="3FF6FC73" w:rsidR="00BF76E9" w:rsidRPr="00B90364" w:rsidRDefault="00BF76E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Difference from Express Trust</w:t>
      </w:r>
      <w:r w:rsidRPr="00B90364">
        <w:rPr>
          <w:rFonts w:ascii="Times New Roman" w:hAnsi="Times New Roman"/>
          <w:color w:val="000000" w:themeColor="text1"/>
          <w:lang w:val="en-HK"/>
        </w:rPr>
        <w:t>:</w:t>
      </w:r>
    </w:p>
    <w:p w14:paraId="7F79D691" w14:textId="1E6518CE" w:rsidR="00BF76E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BF76E9" w:rsidRPr="00B90364">
        <w:rPr>
          <w:rFonts w:ascii="Times New Roman" w:hAnsi="Times New Roman"/>
          <w:color w:val="000000" w:themeColor="text1"/>
          <w:lang w:val="en-HK"/>
        </w:rPr>
        <w:t xml:space="preserve">Unlike express trusts, constructive trusts do not impose a </w:t>
      </w:r>
      <w:r w:rsidR="00BF76E9" w:rsidRPr="00B90364">
        <w:rPr>
          <w:rFonts w:ascii="Times New Roman" w:hAnsi="Times New Roman"/>
          <w:b/>
          <w:bCs/>
          <w:color w:val="000000" w:themeColor="text1"/>
          <w:lang w:val="en-HK"/>
        </w:rPr>
        <w:t>contractual obligation</w:t>
      </w:r>
      <w:r w:rsidR="00BF76E9" w:rsidRPr="00B90364">
        <w:rPr>
          <w:rFonts w:ascii="Times New Roman" w:hAnsi="Times New Roman"/>
          <w:color w:val="000000" w:themeColor="text1"/>
          <w:lang w:val="en-HK"/>
        </w:rPr>
        <w:t xml:space="preserve"> on third-party recipients since they have not undertaken any duties as trustees.</w:t>
      </w:r>
    </w:p>
    <w:p w14:paraId="5E636FFF" w14:textId="77777777" w:rsidR="00124FE0"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02BBF2AE">
          <v:rect id="_x0000_i1034" alt="" style="width:451.3pt;height:.05pt;mso-width-percent:0;mso-height-percent:0;mso-width-percent:0;mso-height-percent:0" o:hralign="center" o:hrstd="t" o:hr="t" fillcolor="#a0a0a0" stroked="f"/>
        </w:pict>
      </w:r>
    </w:p>
    <w:p w14:paraId="2127786A" w14:textId="013FA405" w:rsidR="00BE611B" w:rsidRPr="00BE611B" w:rsidRDefault="00DE15F9" w:rsidP="00BE611B">
      <w:pPr>
        <w:spacing w:before="100" w:beforeAutospacing="1" w:after="240" w:line="360" w:lineRule="auto"/>
        <w:outlineLvl w:val="2"/>
        <w:rPr>
          <w:rFonts w:ascii="Times New Roman" w:hAnsi="Times New Roman"/>
          <w:b/>
          <w:bCs/>
          <w:color w:val="000000" w:themeColor="text1"/>
          <w:lang w:val="en-HK"/>
        </w:rPr>
      </w:pPr>
      <w:r w:rsidRPr="00B90364">
        <w:rPr>
          <w:rFonts w:ascii="Times New Roman" w:hAnsi="Times New Roman"/>
          <w:b/>
          <w:bCs/>
          <w:color w:val="000000" w:themeColor="text1"/>
          <w:lang w:val="en-HK"/>
        </w:rPr>
        <w:t>Section 2: The Constructive Trust to Recover a Mistaken or Unauthorized Payment</w:t>
      </w:r>
    </w:p>
    <w:p w14:paraId="5816004E" w14:textId="77777777" w:rsidR="00DE15F9" w:rsidRPr="00B90364" w:rsidRDefault="00DE15F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Introduction to Remedial Consistency and Property Transfers</w:t>
      </w:r>
    </w:p>
    <w:p w14:paraId="5F16878D"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Invalid Transfer of Property</w:t>
      </w:r>
      <w:r w:rsidRPr="00B90364">
        <w:rPr>
          <w:rFonts w:ascii="Times New Roman" w:hAnsi="Times New Roman"/>
          <w:color w:val="000000" w:themeColor="text1"/>
          <w:lang w:val="en-HK"/>
        </w:rPr>
        <w:t>:</w:t>
      </w:r>
    </w:p>
    <w:p w14:paraId="7E5B168B" w14:textId="3ECB546E"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DE15F9" w:rsidRPr="00B90364">
        <w:rPr>
          <w:rFonts w:ascii="Times New Roman" w:hAnsi="Times New Roman"/>
          <w:b/>
          <w:bCs/>
          <w:color w:val="000000" w:themeColor="text1"/>
          <w:lang w:val="en-HK"/>
        </w:rPr>
        <w:t>Remedial consistency</w:t>
      </w:r>
      <w:r w:rsidR="00DE15F9" w:rsidRPr="00B90364">
        <w:rPr>
          <w:rFonts w:ascii="Times New Roman" w:hAnsi="Times New Roman"/>
          <w:color w:val="000000" w:themeColor="text1"/>
          <w:lang w:val="en-HK"/>
        </w:rPr>
        <w:t xml:space="preserve"> requires that an invalid transfer of property should give rise to a </w:t>
      </w:r>
      <w:r w:rsidR="00DE15F9" w:rsidRPr="00B90364">
        <w:rPr>
          <w:rFonts w:ascii="Times New Roman" w:hAnsi="Times New Roman"/>
          <w:b/>
          <w:bCs/>
          <w:color w:val="000000" w:themeColor="text1"/>
          <w:lang w:val="en-HK"/>
        </w:rPr>
        <w:t>proprietary claim</w:t>
      </w:r>
      <w:r w:rsidR="00DE15F9" w:rsidRPr="00B90364">
        <w:rPr>
          <w:rFonts w:ascii="Times New Roman" w:hAnsi="Times New Roman"/>
          <w:color w:val="000000" w:themeColor="text1"/>
          <w:lang w:val="en-HK"/>
        </w:rPr>
        <w:t>. This is because the transfer, being invalid, violates the property owner's rights, and thus the proper remedy should be to restore or protect the property.</w:t>
      </w:r>
    </w:p>
    <w:p w14:paraId="077CC909" w14:textId="67E1E3AE"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Common law has traditionally recognized that if a payment or transfer is unauthorized or mistaken, the claim for recovery has been </w:t>
      </w:r>
      <w:r w:rsidR="00DE15F9" w:rsidRPr="00B90364">
        <w:rPr>
          <w:rFonts w:ascii="Times New Roman" w:hAnsi="Times New Roman"/>
          <w:b/>
          <w:bCs/>
          <w:color w:val="000000" w:themeColor="text1"/>
          <w:lang w:val="en-HK"/>
        </w:rPr>
        <w:t>personal</w:t>
      </w:r>
      <w:r w:rsidR="00DE15F9" w:rsidRPr="00B90364">
        <w:rPr>
          <w:rFonts w:ascii="Times New Roman" w:hAnsi="Times New Roman"/>
          <w:color w:val="000000" w:themeColor="text1"/>
          <w:lang w:val="en-HK"/>
        </w:rPr>
        <w:t xml:space="preserve">, not proprietary. This means that the </w:t>
      </w:r>
      <w:r w:rsidR="00DE15F9" w:rsidRPr="00B90364">
        <w:rPr>
          <w:rFonts w:ascii="Times New Roman" w:hAnsi="Times New Roman"/>
          <w:color w:val="000000" w:themeColor="text1"/>
          <w:lang w:val="en-HK"/>
        </w:rPr>
        <w:lastRenderedPageBreak/>
        <w:t xml:space="preserve">claimant cannot claim the property itself but is limited to a personal remedy, typically </w:t>
      </w:r>
      <w:r w:rsidR="00DE15F9" w:rsidRPr="00B90364">
        <w:rPr>
          <w:rFonts w:ascii="Times New Roman" w:hAnsi="Times New Roman"/>
          <w:b/>
          <w:bCs/>
          <w:color w:val="000000" w:themeColor="text1"/>
          <w:lang w:val="en-HK"/>
        </w:rPr>
        <w:t>unjust enrichment</w:t>
      </w:r>
      <w:r w:rsidR="00DE15F9" w:rsidRPr="00B90364">
        <w:rPr>
          <w:rFonts w:ascii="Times New Roman" w:hAnsi="Times New Roman"/>
          <w:color w:val="000000" w:themeColor="text1"/>
          <w:lang w:val="en-HK"/>
        </w:rPr>
        <w:t xml:space="preserve"> or compensation.</w:t>
      </w:r>
    </w:p>
    <w:p w14:paraId="59391F62" w14:textId="77777777" w:rsidR="00DE15F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5C438B55">
          <v:rect id="_x0000_i1033" alt="" style="width:451.3pt;height:.05pt;mso-width-percent:0;mso-height-percent:0;mso-width-percent:0;mso-height-percent:0" o:hralign="center" o:hrstd="t" o:hr="t" fillcolor="#a0a0a0" stroked="f"/>
        </w:pict>
      </w:r>
    </w:p>
    <w:p w14:paraId="7F75C685" w14:textId="77777777" w:rsidR="00DE15F9" w:rsidRPr="00B90364" w:rsidRDefault="00DE15F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Common Law and Its Approach to Unauthorized Transfers</w:t>
      </w:r>
    </w:p>
    <w:p w14:paraId="644DC6F0"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Common Law Issues</w:t>
      </w:r>
      <w:r w:rsidRPr="00B90364">
        <w:rPr>
          <w:rFonts w:ascii="Times New Roman" w:hAnsi="Times New Roman"/>
          <w:color w:val="000000" w:themeColor="text1"/>
          <w:lang w:val="en-HK"/>
        </w:rPr>
        <w:t>:</w:t>
      </w:r>
    </w:p>
    <w:p w14:paraId="16D5D150" w14:textId="72FC8540"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When a transfer occurs without valid authority, common law generally treats it as a </w:t>
      </w:r>
      <w:r w:rsidR="00DE15F9" w:rsidRPr="00B90364">
        <w:rPr>
          <w:rFonts w:ascii="Times New Roman" w:hAnsi="Times New Roman"/>
          <w:b/>
          <w:bCs/>
          <w:color w:val="000000" w:themeColor="text1"/>
          <w:lang w:val="en-HK"/>
        </w:rPr>
        <w:t>personal claim</w:t>
      </w:r>
      <w:r w:rsidR="00DE15F9" w:rsidRPr="00B90364">
        <w:rPr>
          <w:rFonts w:ascii="Times New Roman" w:hAnsi="Times New Roman"/>
          <w:color w:val="000000" w:themeColor="text1"/>
          <w:lang w:val="en-HK"/>
        </w:rPr>
        <w:t>, where the title to the property passes to the recipient (D). Thus, the claimant (C) loses any proprietary interest in the asset, even though the transfer was invalid.</w:t>
      </w:r>
    </w:p>
    <w:p w14:paraId="23CBA1A9" w14:textId="3EB6B5F0"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In the context of </w:t>
      </w:r>
      <w:r w:rsidR="00DE15F9" w:rsidRPr="00B90364">
        <w:rPr>
          <w:rFonts w:ascii="Times New Roman" w:hAnsi="Times New Roman"/>
          <w:b/>
          <w:bCs/>
          <w:color w:val="000000" w:themeColor="text1"/>
          <w:lang w:val="en-HK"/>
        </w:rPr>
        <w:t>money transfers</w:t>
      </w:r>
      <w:r w:rsidR="00DE15F9" w:rsidRPr="00B90364">
        <w:rPr>
          <w:rFonts w:ascii="Times New Roman" w:hAnsi="Times New Roman"/>
          <w:color w:val="000000" w:themeColor="text1"/>
          <w:lang w:val="en-HK"/>
        </w:rPr>
        <w:t>, once the money is transferred to the recipient's account, the title passes to D. This rule is in place to protect third-party interests and to keep money in circulation.</w:t>
      </w:r>
    </w:p>
    <w:p w14:paraId="5605A1B1" w14:textId="68353915"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If the transfer is </w:t>
      </w:r>
      <w:r w:rsidR="00DE15F9" w:rsidRPr="00B90364">
        <w:rPr>
          <w:rFonts w:ascii="Times New Roman" w:hAnsi="Times New Roman"/>
          <w:b/>
          <w:bCs/>
          <w:color w:val="000000" w:themeColor="text1"/>
          <w:lang w:val="en-HK"/>
        </w:rPr>
        <w:t>invalid</w:t>
      </w:r>
      <w:r w:rsidR="00DE15F9" w:rsidRPr="00B90364">
        <w:rPr>
          <w:rFonts w:ascii="Times New Roman" w:hAnsi="Times New Roman"/>
          <w:color w:val="000000" w:themeColor="text1"/>
          <w:lang w:val="en-HK"/>
        </w:rPr>
        <w:t xml:space="preserve"> (e.g., due to mistake or lack of authority), common law still recognizes that title passes, and therefore the rightful owner (C) is limited to a </w:t>
      </w:r>
      <w:r w:rsidR="00DE15F9" w:rsidRPr="00B90364">
        <w:rPr>
          <w:rFonts w:ascii="Times New Roman" w:hAnsi="Times New Roman"/>
          <w:b/>
          <w:bCs/>
          <w:color w:val="000000" w:themeColor="text1"/>
          <w:lang w:val="en-HK"/>
        </w:rPr>
        <w:t>personal claim</w:t>
      </w:r>
      <w:r w:rsidR="00DE15F9" w:rsidRPr="00B90364">
        <w:rPr>
          <w:rFonts w:ascii="Times New Roman" w:hAnsi="Times New Roman"/>
          <w:color w:val="000000" w:themeColor="text1"/>
          <w:lang w:val="en-HK"/>
        </w:rPr>
        <w:t xml:space="preserve"> for recovery, rather than a </w:t>
      </w:r>
      <w:r w:rsidR="00DE15F9" w:rsidRPr="00B90364">
        <w:rPr>
          <w:rFonts w:ascii="Times New Roman" w:hAnsi="Times New Roman"/>
          <w:b/>
          <w:bCs/>
          <w:color w:val="000000" w:themeColor="text1"/>
          <w:lang w:val="en-HK"/>
        </w:rPr>
        <w:t>proprietary claim</w:t>
      </w:r>
      <w:r w:rsidR="00DE15F9" w:rsidRPr="00B90364">
        <w:rPr>
          <w:rFonts w:ascii="Times New Roman" w:hAnsi="Times New Roman"/>
          <w:color w:val="000000" w:themeColor="text1"/>
          <w:lang w:val="en-HK"/>
        </w:rPr>
        <w:t>.</w:t>
      </w:r>
    </w:p>
    <w:p w14:paraId="3118E037" w14:textId="77777777" w:rsidR="00DE15F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264524DB">
          <v:rect id="_x0000_i1032" alt="" style="width:451.3pt;height:.05pt;mso-width-percent:0;mso-height-percent:0;mso-width-percent:0;mso-height-percent:0" o:hralign="center" o:hrstd="t" o:hr="t" fillcolor="#a0a0a0" stroked="f"/>
        </w:pict>
      </w:r>
    </w:p>
    <w:p w14:paraId="225E5A73" w14:textId="77777777" w:rsidR="00DE15F9" w:rsidRPr="00B90364" w:rsidRDefault="00DE15F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Equity and Proprietary Claims for Mistaken Transfers</w:t>
      </w:r>
    </w:p>
    <w:p w14:paraId="18C0B7A9"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Equity’s Advantage Over Common Law</w:t>
      </w:r>
      <w:r w:rsidRPr="00B90364">
        <w:rPr>
          <w:rFonts w:ascii="Times New Roman" w:hAnsi="Times New Roman"/>
          <w:color w:val="000000" w:themeColor="text1"/>
          <w:lang w:val="en-HK"/>
        </w:rPr>
        <w:t>:</w:t>
      </w:r>
    </w:p>
    <w:p w14:paraId="3452859E" w14:textId="76114C76"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Unlike common law, </w:t>
      </w:r>
      <w:r w:rsidR="00DE15F9" w:rsidRPr="00B90364">
        <w:rPr>
          <w:rFonts w:ascii="Times New Roman" w:hAnsi="Times New Roman"/>
          <w:b/>
          <w:bCs/>
          <w:color w:val="000000" w:themeColor="text1"/>
          <w:lang w:val="en-HK"/>
        </w:rPr>
        <w:t>equity</w:t>
      </w:r>
      <w:r w:rsidR="00DE15F9" w:rsidRPr="00B90364">
        <w:rPr>
          <w:rFonts w:ascii="Times New Roman" w:hAnsi="Times New Roman"/>
          <w:color w:val="000000" w:themeColor="text1"/>
          <w:lang w:val="en-HK"/>
        </w:rPr>
        <w:t xml:space="preserve"> allows for a </w:t>
      </w:r>
      <w:r w:rsidR="00DE15F9" w:rsidRPr="00B90364">
        <w:rPr>
          <w:rFonts w:ascii="Times New Roman" w:hAnsi="Times New Roman"/>
          <w:b/>
          <w:bCs/>
          <w:color w:val="000000" w:themeColor="text1"/>
          <w:lang w:val="en-HK"/>
        </w:rPr>
        <w:t>proprietary claim</w:t>
      </w:r>
      <w:r w:rsidR="00DE15F9" w:rsidRPr="00B90364">
        <w:rPr>
          <w:rFonts w:ascii="Times New Roman" w:hAnsi="Times New Roman"/>
          <w:color w:val="000000" w:themeColor="text1"/>
          <w:lang w:val="en-HK"/>
        </w:rPr>
        <w:t xml:space="preserve"> in cases where trust property is transferred outside the terms of the trust. This means that </w:t>
      </w:r>
      <w:r w:rsidR="00DE15F9" w:rsidRPr="00B90364">
        <w:rPr>
          <w:rFonts w:ascii="Times New Roman" w:hAnsi="Times New Roman"/>
          <w:b/>
          <w:bCs/>
          <w:color w:val="000000" w:themeColor="text1"/>
          <w:lang w:val="en-HK"/>
        </w:rPr>
        <w:t>legal title</w:t>
      </w:r>
      <w:r w:rsidR="00DE15F9" w:rsidRPr="00B90364">
        <w:rPr>
          <w:rFonts w:ascii="Times New Roman" w:hAnsi="Times New Roman"/>
          <w:color w:val="000000" w:themeColor="text1"/>
          <w:lang w:val="en-HK"/>
        </w:rPr>
        <w:t xml:space="preserve"> to the property might pass to D, but the </w:t>
      </w:r>
      <w:r w:rsidR="00DE15F9" w:rsidRPr="00B90364">
        <w:rPr>
          <w:rFonts w:ascii="Times New Roman" w:hAnsi="Times New Roman"/>
          <w:b/>
          <w:bCs/>
          <w:color w:val="000000" w:themeColor="text1"/>
          <w:lang w:val="en-HK"/>
        </w:rPr>
        <w:t>beneficiary</w:t>
      </w:r>
      <w:r w:rsidR="00DE15F9" w:rsidRPr="00B90364">
        <w:rPr>
          <w:rFonts w:ascii="Times New Roman" w:hAnsi="Times New Roman"/>
          <w:color w:val="000000" w:themeColor="text1"/>
          <w:lang w:val="en-HK"/>
        </w:rPr>
        <w:t xml:space="preserve"> (C) retains beneficial ownership and thus has a proprietary claim against the recipient.</w:t>
      </w:r>
    </w:p>
    <w:p w14:paraId="5CDCD337" w14:textId="2DE5DA0C"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This ability to recognize a proprietary claim in equity is significant because it allows C to claim the property itself, even if legal title has been transferred. Common law lacks this conceptual apparatus, which restricts C to a </w:t>
      </w:r>
      <w:r w:rsidR="00DE15F9" w:rsidRPr="00B90364">
        <w:rPr>
          <w:rFonts w:ascii="Times New Roman" w:hAnsi="Times New Roman"/>
          <w:b/>
          <w:bCs/>
          <w:color w:val="000000" w:themeColor="text1"/>
          <w:lang w:val="en-HK"/>
        </w:rPr>
        <w:t>personal claim</w:t>
      </w:r>
      <w:r w:rsidR="00DE15F9" w:rsidRPr="00B90364">
        <w:rPr>
          <w:rFonts w:ascii="Times New Roman" w:hAnsi="Times New Roman"/>
          <w:color w:val="000000" w:themeColor="text1"/>
          <w:lang w:val="en-HK"/>
        </w:rPr>
        <w:t>.</w:t>
      </w:r>
    </w:p>
    <w:p w14:paraId="1E9FD680" w14:textId="77777777" w:rsidR="00DE15F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45A3AB64">
          <v:rect id="_x0000_i1031" alt="" style="width:451.3pt;height:.05pt;mso-width-percent:0;mso-height-percent:0;mso-width-percent:0;mso-height-percent:0" o:hralign="center" o:hrstd="t" o:hr="t" fillcolor="#a0a0a0" stroked="f"/>
        </w:pict>
      </w:r>
    </w:p>
    <w:p w14:paraId="74F4A717" w14:textId="77777777" w:rsidR="00DE15F9" w:rsidRPr="00B90364" w:rsidRDefault="00DE15F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lastRenderedPageBreak/>
        <w:t>Proprietary Claim Arising from Invalid Transfer</w:t>
      </w:r>
    </w:p>
    <w:p w14:paraId="68BB1F34"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Key Idea</w:t>
      </w:r>
      <w:r w:rsidRPr="00B90364">
        <w:rPr>
          <w:rFonts w:ascii="Times New Roman" w:hAnsi="Times New Roman"/>
          <w:color w:val="000000" w:themeColor="text1"/>
          <w:lang w:val="en-HK"/>
        </w:rPr>
        <w:t>:</w:t>
      </w:r>
    </w:p>
    <w:p w14:paraId="6DA905D9" w14:textId="7DE50927"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The </w:t>
      </w:r>
      <w:r w:rsidR="00DE15F9" w:rsidRPr="00B90364">
        <w:rPr>
          <w:rFonts w:ascii="Times New Roman" w:hAnsi="Times New Roman"/>
          <w:b/>
          <w:bCs/>
          <w:color w:val="000000" w:themeColor="text1"/>
          <w:lang w:val="en-HK"/>
        </w:rPr>
        <w:t>proprietary claim</w:t>
      </w:r>
      <w:r w:rsidR="00DE15F9" w:rsidRPr="00B90364">
        <w:rPr>
          <w:rFonts w:ascii="Times New Roman" w:hAnsi="Times New Roman"/>
          <w:color w:val="000000" w:themeColor="text1"/>
          <w:lang w:val="en-HK"/>
        </w:rPr>
        <w:t xml:space="preserve"> arises from the </w:t>
      </w:r>
      <w:r w:rsidR="00DE15F9" w:rsidRPr="00B90364">
        <w:rPr>
          <w:rFonts w:ascii="Times New Roman" w:hAnsi="Times New Roman"/>
          <w:b/>
          <w:bCs/>
          <w:color w:val="000000" w:themeColor="text1"/>
          <w:lang w:val="en-HK"/>
        </w:rPr>
        <w:t>invalidity</w:t>
      </w:r>
      <w:r w:rsidR="00DE15F9" w:rsidRPr="00B90364">
        <w:rPr>
          <w:rFonts w:ascii="Times New Roman" w:hAnsi="Times New Roman"/>
          <w:color w:val="000000" w:themeColor="text1"/>
          <w:lang w:val="en-HK"/>
        </w:rPr>
        <w:t xml:space="preserve"> of the transfer, not from a breach of any duty. If C’s property is transferred without authority, the invalidity of the transfer creates a proprietary claim, as the ownership rights remain with C. This principle also reflects the idea of </w:t>
      </w:r>
      <w:r w:rsidR="00DE15F9" w:rsidRPr="00B90364">
        <w:rPr>
          <w:rFonts w:ascii="Times New Roman" w:hAnsi="Times New Roman"/>
          <w:b/>
          <w:bCs/>
          <w:color w:val="000000" w:themeColor="text1"/>
          <w:lang w:val="en-HK"/>
        </w:rPr>
        <w:t>proprietary inertia</w:t>
      </w:r>
      <w:r w:rsidR="00DE15F9" w:rsidRPr="00B90364">
        <w:rPr>
          <w:rFonts w:ascii="Times New Roman" w:hAnsi="Times New Roman"/>
          <w:color w:val="000000" w:themeColor="text1"/>
          <w:lang w:val="en-HK"/>
        </w:rPr>
        <w:t xml:space="preserve"> or the </w:t>
      </w:r>
      <w:r w:rsidR="00DE15F9" w:rsidRPr="00B90364">
        <w:rPr>
          <w:rFonts w:ascii="Times New Roman" w:hAnsi="Times New Roman"/>
          <w:b/>
          <w:bCs/>
          <w:color w:val="000000" w:themeColor="text1"/>
          <w:lang w:val="en-HK"/>
        </w:rPr>
        <w:t>continuity of property rights</w:t>
      </w:r>
      <w:r w:rsidR="00DE15F9" w:rsidRPr="00B90364">
        <w:rPr>
          <w:rFonts w:ascii="Times New Roman" w:hAnsi="Times New Roman"/>
          <w:color w:val="000000" w:themeColor="text1"/>
          <w:lang w:val="en-HK"/>
        </w:rPr>
        <w:t>, which means the original owner (C) still holds a right to the property, regardless of the transfer.</w:t>
      </w:r>
    </w:p>
    <w:p w14:paraId="08524E9F"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Proprietary Claim vs. Personal Claim</w:t>
      </w:r>
      <w:r w:rsidRPr="00B90364">
        <w:rPr>
          <w:rFonts w:ascii="Times New Roman" w:hAnsi="Times New Roman"/>
          <w:color w:val="000000" w:themeColor="text1"/>
          <w:lang w:val="en-HK"/>
        </w:rPr>
        <w:t>:</w:t>
      </w:r>
    </w:p>
    <w:p w14:paraId="589ED5BE" w14:textId="4FD636F6"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b/>
          <w:bCs/>
          <w:color w:val="000000" w:themeColor="text1"/>
          <w:lang w:val="en-HK"/>
        </w:rPr>
        <w:t xml:space="preserve">- </w:t>
      </w:r>
      <w:r w:rsidR="00DE15F9" w:rsidRPr="00B90364">
        <w:rPr>
          <w:rFonts w:ascii="Times New Roman" w:hAnsi="Times New Roman"/>
          <w:b/>
          <w:bCs/>
          <w:color w:val="000000" w:themeColor="text1"/>
          <w:lang w:val="en-HK"/>
        </w:rPr>
        <w:t>Breach of duty</w:t>
      </w:r>
      <w:r w:rsidR="00DE15F9" w:rsidRPr="00B90364">
        <w:rPr>
          <w:rFonts w:ascii="Times New Roman" w:hAnsi="Times New Roman"/>
          <w:color w:val="000000" w:themeColor="text1"/>
          <w:lang w:val="en-HK"/>
        </w:rPr>
        <w:t xml:space="preserve"> (e.g., theft or misappropriation) generally results in a </w:t>
      </w:r>
      <w:r w:rsidR="00DE15F9" w:rsidRPr="00B90364">
        <w:rPr>
          <w:rFonts w:ascii="Times New Roman" w:hAnsi="Times New Roman"/>
          <w:b/>
          <w:bCs/>
          <w:color w:val="000000" w:themeColor="text1"/>
          <w:lang w:val="en-HK"/>
        </w:rPr>
        <w:t>personal remedy</w:t>
      </w:r>
      <w:r w:rsidR="00DE15F9" w:rsidRPr="00B90364">
        <w:rPr>
          <w:rFonts w:ascii="Times New Roman" w:hAnsi="Times New Roman"/>
          <w:color w:val="000000" w:themeColor="text1"/>
          <w:lang w:val="en-HK"/>
        </w:rPr>
        <w:t xml:space="preserve"> for compensation. However, when the transfer itself is invalid, it triggers a </w:t>
      </w:r>
      <w:r w:rsidR="00DE15F9" w:rsidRPr="00B90364">
        <w:rPr>
          <w:rFonts w:ascii="Times New Roman" w:hAnsi="Times New Roman"/>
          <w:b/>
          <w:bCs/>
          <w:color w:val="000000" w:themeColor="text1"/>
          <w:lang w:val="en-HK"/>
        </w:rPr>
        <w:t>proprietary claim</w:t>
      </w:r>
      <w:r w:rsidR="00DE15F9" w:rsidRPr="00B90364">
        <w:rPr>
          <w:rFonts w:ascii="Times New Roman" w:hAnsi="Times New Roman"/>
          <w:color w:val="000000" w:themeColor="text1"/>
          <w:lang w:val="en-HK"/>
        </w:rPr>
        <w:t xml:space="preserve"> because the property right persists in the original owner.</w:t>
      </w:r>
    </w:p>
    <w:p w14:paraId="607ACBC3" w14:textId="7E482DCF"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This distinction is important because a </w:t>
      </w:r>
      <w:r w:rsidR="00DE15F9" w:rsidRPr="00B90364">
        <w:rPr>
          <w:rFonts w:ascii="Times New Roman" w:hAnsi="Times New Roman"/>
          <w:b/>
          <w:bCs/>
          <w:color w:val="000000" w:themeColor="text1"/>
          <w:lang w:val="en-HK"/>
        </w:rPr>
        <w:t>proprietary claim</w:t>
      </w:r>
      <w:r w:rsidR="00DE15F9" w:rsidRPr="00B90364">
        <w:rPr>
          <w:rFonts w:ascii="Times New Roman" w:hAnsi="Times New Roman"/>
          <w:color w:val="000000" w:themeColor="text1"/>
          <w:lang w:val="en-HK"/>
        </w:rPr>
        <w:t xml:space="preserve"> binds third parties (e.g., creditors of D), while a </w:t>
      </w:r>
      <w:r w:rsidR="00DE15F9" w:rsidRPr="00B90364">
        <w:rPr>
          <w:rFonts w:ascii="Times New Roman" w:hAnsi="Times New Roman"/>
          <w:b/>
          <w:bCs/>
          <w:color w:val="000000" w:themeColor="text1"/>
          <w:lang w:val="en-HK"/>
        </w:rPr>
        <w:t>personal claim</w:t>
      </w:r>
      <w:r w:rsidR="00DE15F9" w:rsidRPr="00B90364">
        <w:rPr>
          <w:rFonts w:ascii="Times New Roman" w:hAnsi="Times New Roman"/>
          <w:color w:val="000000" w:themeColor="text1"/>
          <w:lang w:val="en-HK"/>
        </w:rPr>
        <w:t xml:space="preserve"> does not. Therefore, the legal remedy must respect the nature of the primary relation.</w:t>
      </w:r>
    </w:p>
    <w:p w14:paraId="61E7EDB3" w14:textId="77777777" w:rsidR="00DE15F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32F30042">
          <v:rect id="_x0000_i1030" alt="" style="width:451.3pt;height:.05pt;mso-width-percent:0;mso-height-percent:0;mso-width-percent:0;mso-height-percent:0" o:hralign="center" o:hrstd="t" o:hr="t" fillcolor="#a0a0a0" stroked="f"/>
        </w:pict>
      </w:r>
    </w:p>
    <w:p w14:paraId="1996E184" w14:textId="77777777" w:rsidR="00DE15F9" w:rsidRPr="00B90364" w:rsidRDefault="00DE15F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Judicial Precedents and Scholarly Opinions</w:t>
      </w:r>
    </w:p>
    <w:p w14:paraId="4C565799"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Case Law</w:t>
      </w:r>
      <w:r w:rsidRPr="00B90364">
        <w:rPr>
          <w:rFonts w:ascii="Times New Roman" w:hAnsi="Times New Roman"/>
          <w:color w:val="000000" w:themeColor="text1"/>
          <w:lang w:val="en-HK"/>
        </w:rPr>
        <w:t>:</w:t>
      </w:r>
    </w:p>
    <w:p w14:paraId="276B6FD6" w14:textId="77777777" w:rsidR="00DE15F9" w:rsidRPr="00CA6DC2" w:rsidRDefault="00DE15F9" w:rsidP="00CA6DC2">
      <w:pPr>
        <w:pStyle w:val="ListParagraph"/>
        <w:numPr>
          <w:ilvl w:val="0"/>
          <w:numId w:val="49"/>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Lipkin Gorman v Karpnale</w:t>
      </w:r>
      <w:r w:rsidRPr="00CA6DC2">
        <w:rPr>
          <w:rFonts w:ascii="Times New Roman" w:hAnsi="Times New Roman"/>
          <w:color w:val="000000" w:themeColor="text1"/>
          <w:lang w:val="en-HK"/>
        </w:rPr>
        <w:t xml:space="preserve"> ([1991] 2 AC 548): In this case, the court dealt with the issue of unauthorized payments and the subsequent claim for recovery. Despite the transfer being invalid, the claimant was limited to a </w:t>
      </w:r>
      <w:r w:rsidRPr="00CA6DC2">
        <w:rPr>
          <w:rFonts w:ascii="Times New Roman" w:hAnsi="Times New Roman"/>
          <w:b/>
          <w:bCs/>
          <w:color w:val="000000" w:themeColor="text1"/>
          <w:lang w:val="en-HK"/>
        </w:rPr>
        <w:t>personal claim</w:t>
      </w:r>
      <w:r w:rsidRPr="00CA6DC2">
        <w:rPr>
          <w:rFonts w:ascii="Times New Roman" w:hAnsi="Times New Roman"/>
          <w:color w:val="000000" w:themeColor="text1"/>
          <w:lang w:val="en-HK"/>
        </w:rPr>
        <w:t xml:space="preserve"> under common law, highlighting the gap between common law and equity in recognizing proprietary claims.</w:t>
      </w:r>
    </w:p>
    <w:p w14:paraId="5FAE23C1" w14:textId="77777777" w:rsidR="00DE15F9" w:rsidRPr="00CA6DC2" w:rsidRDefault="00DE15F9" w:rsidP="00CA6DC2">
      <w:pPr>
        <w:pStyle w:val="ListParagraph"/>
        <w:numPr>
          <w:ilvl w:val="0"/>
          <w:numId w:val="49"/>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Chase Manhattan Bank v Israel-British Bank</w:t>
      </w:r>
      <w:r w:rsidRPr="00CA6DC2">
        <w:rPr>
          <w:rFonts w:ascii="Times New Roman" w:hAnsi="Times New Roman"/>
          <w:color w:val="000000" w:themeColor="text1"/>
          <w:lang w:val="en-HK"/>
        </w:rPr>
        <w:t xml:space="preserve"> ([1981] Ch 105): This case recognized the possibility of a proprietary claim in cases of </w:t>
      </w:r>
      <w:r w:rsidRPr="00CA6DC2">
        <w:rPr>
          <w:rFonts w:ascii="Times New Roman" w:hAnsi="Times New Roman"/>
          <w:b/>
          <w:bCs/>
          <w:color w:val="000000" w:themeColor="text1"/>
          <w:lang w:val="en-HK"/>
        </w:rPr>
        <w:t>invalid transfer</w:t>
      </w:r>
      <w:r w:rsidRPr="00CA6DC2">
        <w:rPr>
          <w:rFonts w:ascii="Times New Roman" w:hAnsi="Times New Roman"/>
          <w:color w:val="000000" w:themeColor="text1"/>
          <w:lang w:val="en-HK"/>
        </w:rPr>
        <w:t xml:space="preserve">, challenging the traditional limitation that proprietary claims arise only in cases of </w:t>
      </w:r>
      <w:r w:rsidRPr="00CA6DC2">
        <w:rPr>
          <w:rFonts w:ascii="Times New Roman" w:hAnsi="Times New Roman"/>
          <w:b/>
          <w:bCs/>
          <w:color w:val="000000" w:themeColor="text1"/>
          <w:lang w:val="en-HK"/>
        </w:rPr>
        <w:t>breach of trust</w:t>
      </w:r>
      <w:r w:rsidRPr="00CA6DC2">
        <w:rPr>
          <w:rFonts w:ascii="Times New Roman" w:hAnsi="Times New Roman"/>
          <w:color w:val="000000" w:themeColor="text1"/>
          <w:lang w:val="en-HK"/>
        </w:rPr>
        <w:t xml:space="preserve"> or fiduciary duty.</w:t>
      </w:r>
    </w:p>
    <w:p w14:paraId="369E9A1A" w14:textId="77777777" w:rsidR="00DE15F9" w:rsidRPr="00CA6DC2" w:rsidRDefault="00DE15F9" w:rsidP="00CA6DC2">
      <w:pPr>
        <w:pStyle w:val="ListParagraph"/>
        <w:numPr>
          <w:ilvl w:val="0"/>
          <w:numId w:val="49"/>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Westdeutsche Landesbank Girozentrale v Islington Borough Council</w:t>
      </w:r>
      <w:r w:rsidRPr="00CA6DC2">
        <w:rPr>
          <w:rFonts w:ascii="Times New Roman" w:hAnsi="Times New Roman"/>
          <w:color w:val="000000" w:themeColor="text1"/>
          <w:lang w:val="en-HK"/>
        </w:rPr>
        <w:t xml:space="preserve"> ([1996] AC 669): The court reaffirmed the traditional view that proprietary claims are typically limited to breaches of trust, illustrating the tension between equity and common law.</w:t>
      </w:r>
    </w:p>
    <w:p w14:paraId="7D8A9C00" w14:textId="77777777" w:rsidR="00DE15F9" w:rsidRPr="00CA6DC2" w:rsidRDefault="00DE15F9" w:rsidP="00CA6DC2">
      <w:pPr>
        <w:pStyle w:val="ListParagraph"/>
        <w:numPr>
          <w:ilvl w:val="0"/>
          <w:numId w:val="49"/>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lastRenderedPageBreak/>
        <w:t>Re Polly Peck International</w:t>
      </w:r>
      <w:r w:rsidRPr="00CA6DC2">
        <w:rPr>
          <w:rFonts w:ascii="Times New Roman" w:hAnsi="Times New Roman"/>
          <w:color w:val="000000" w:themeColor="text1"/>
          <w:lang w:val="en-HK"/>
        </w:rPr>
        <w:t xml:space="preserve"> ([1995] 3 All ER 812): This case also reflects the limitations of common law in recognizing proprietary claims in cases of invalid transfers.</w:t>
      </w:r>
    </w:p>
    <w:p w14:paraId="498FB3EB"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Scholarly Opinions</w:t>
      </w:r>
      <w:r w:rsidRPr="00B90364">
        <w:rPr>
          <w:rFonts w:ascii="Times New Roman" w:hAnsi="Times New Roman"/>
          <w:color w:val="000000" w:themeColor="text1"/>
          <w:lang w:val="en-HK"/>
        </w:rPr>
        <w:t>:</w:t>
      </w:r>
    </w:p>
    <w:p w14:paraId="28F62B3E"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Scholars like </w:t>
      </w:r>
      <w:r w:rsidRPr="00B90364">
        <w:rPr>
          <w:rFonts w:ascii="Times New Roman" w:hAnsi="Times New Roman"/>
          <w:b/>
          <w:bCs/>
          <w:color w:val="000000" w:themeColor="text1"/>
          <w:lang w:val="en-HK"/>
        </w:rPr>
        <w:t>Peter Birks</w:t>
      </w:r>
      <w:r w:rsidRPr="00B90364">
        <w:rPr>
          <w:rFonts w:ascii="Times New Roman" w:hAnsi="Times New Roman"/>
          <w:color w:val="000000" w:themeColor="text1"/>
          <w:lang w:val="en-HK"/>
        </w:rPr>
        <w:t xml:space="preserve"> and </w:t>
      </w:r>
      <w:r w:rsidRPr="00B90364">
        <w:rPr>
          <w:rFonts w:ascii="Times New Roman" w:hAnsi="Times New Roman"/>
          <w:b/>
          <w:bCs/>
          <w:color w:val="000000" w:themeColor="text1"/>
          <w:lang w:val="en-HK"/>
        </w:rPr>
        <w:t>Peter Millett</w:t>
      </w:r>
      <w:r w:rsidRPr="00B90364">
        <w:rPr>
          <w:rFonts w:ascii="Times New Roman" w:hAnsi="Times New Roman"/>
          <w:color w:val="000000" w:themeColor="text1"/>
          <w:lang w:val="en-HK"/>
        </w:rPr>
        <w:t xml:space="preserve"> have criticized the common law for not allowing proprietary claims in cases of mistaken or unauthorized payments. </w:t>
      </w:r>
      <w:r w:rsidRPr="00B90364">
        <w:rPr>
          <w:rFonts w:ascii="Times New Roman" w:hAnsi="Times New Roman"/>
          <w:b/>
          <w:bCs/>
          <w:color w:val="000000" w:themeColor="text1"/>
          <w:lang w:val="en-HK"/>
        </w:rPr>
        <w:t>Birks</w:t>
      </w:r>
      <w:r w:rsidRPr="00B90364">
        <w:rPr>
          <w:rFonts w:ascii="Times New Roman" w:hAnsi="Times New Roman"/>
          <w:color w:val="000000" w:themeColor="text1"/>
          <w:lang w:val="en-HK"/>
        </w:rPr>
        <w:t xml:space="preserve"> argues for a broader recognition of proprietary claims in cases of invalid transfers, suggesting that common law should evolve to give effect to existing property rights in such cases.</w:t>
      </w:r>
    </w:p>
    <w:p w14:paraId="06E5C072"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Millett</w:t>
      </w:r>
      <w:r w:rsidRPr="00B90364">
        <w:rPr>
          <w:rFonts w:ascii="Times New Roman" w:hAnsi="Times New Roman"/>
          <w:color w:val="000000" w:themeColor="text1"/>
          <w:lang w:val="en-HK"/>
        </w:rPr>
        <w:t xml:space="preserve"> and </w:t>
      </w:r>
      <w:r w:rsidRPr="00B90364">
        <w:rPr>
          <w:rFonts w:ascii="Times New Roman" w:hAnsi="Times New Roman"/>
          <w:b/>
          <w:bCs/>
          <w:color w:val="000000" w:themeColor="text1"/>
          <w:lang w:val="en-HK"/>
        </w:rPr>
        <w:t>Gardner</w:t>
      </w:r>
      <w:r w:rsidRPr="00B90364">
        <w:rPr>
          <w:rFonts w:ascii="Times New Roman" w:hAnsi="Times New Roman"/>
          <w:color w:val="000000" w:themeColor="text1"/>
          <w:lang w:val="en-HK"/>
        </w:rPr>
        <w:t xml:space="preserve"> discuss the </w:t>
      </w:r>
      <w:r w:rsidRPr="00B90364">
        <w:rPr>
          <w:rFonts w:ascii="Times New Roman" w:hAnsi="Times New Roman"/>
          <w:b/>
          <w:bCs/>
          <w:color w:val="000000" w:themeColor="text1"/>
          <w:lang w:val="en-HK"/>
        </w:rPr>
        <w:t>proprietary nature</w:t>
      </w:r>
      <w:r w:rsidRPr="00B90364">
        <w:rPr>
          <w:rFonts w:ascii="Times New Roman" w:hAnsi="Times New Roman"/>
          <w:color w:val="000000" w:themeColor="text1"/>
          <w:lang w:val="en-HK"/>
        </w:rPr>
        <w:t xml:space="preserve"> of claims that arise from invalid transfers, calling for a broader application of equity principles, such as </w:t>
      </w:r>
      <w:r w:rsidRPr="00B90364">
        <w:rPr>
          <w:rFonts w:ascii="Times New Roman" w:hAnsi="Times New Roman"/>
          <w:b/>
          <w:bCs/>
          <w:color w:val="000000" w:themeColor="text1"/>
          <w:lang w:val="en-HK"/>
        </w:rPr>
        <w:t>constructive trusts</w:t>
      </w:r>
      <w:r w:rsidRPr="00B90364">
        <w:rPr>
          <w:rFonts w:ascii="Times New Roman" w:hAnsi="Times New Roman"/>
          <w:color w:val="000000" w:themeColor="text1"/>
          <w:lang w:val="en-HK"/>
        </w:rPr>
        <w:t>, to remedy situations where legal title has been transferred but the claimant retains beneficial ownership.</w:t>
      </w:r>
    </w:p>
    <w:p w14:paraId="37147D80" w14:textId="77777777" w:rsidR="00DE15F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2F5DB127">
          <v:rect id="_x0000_i1029" alt="" style="width:451.3pt;height:.05pt;mso-width-percent:0;mso-height-percent:0;mso-width-percent:0;mso-height-percent:0" o:hralign="center" o:hrstd="t" o:hr="t" fillcolor="#a0a0a0" stroked="f"/>
        </w:pict>
      </w:r>
    </w:p>
    <w:p w14:paraId="281F7829" w14:textId="77777777" w:rsidR="00DE15F9" w:rsidRPr="00B90364" w:rsidRDefault="00DE15F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Remedial Constructive Trusts and Their Controversy</w:t>
      </w:r>
    </w:p>
    <w:p w14:paraId="5A517C82"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Remedial Constructive Trusts</w:t>
      </w:r>
      <w:r w:rsidRPr="00B90364">
        <w:rPr>
          <w:rFonts w:ascii="Times New Roman" w:hAnsi="Times New Roman"/>
          <w:color w:val="000000" w:themeColor="text1"/>
          <w:lang w:val="en-HK"/>
        </w:rPr>
        <w:t>:</w:t>
      </w:r>
    </w:p>
    <w:p w14:paraId="0322693D" w14:textId="3134E093" w:rsidR="00DE15F9" w:rsidRPr="00CA6DC2" w:rsidRDefault="00CA6DC2" w:rsidP="00CA6DC2">
      <w:p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w:t>
      </w:r>
      <w:r>
        <w:rPr>
          <w:rFonts w:ascii="Times New Roman" w:hAnsi="Times New Roman"/>
          <w:b/>
          <w:bCs/>
          <w:color w:val="000000" w:themeColor="text1"/>
          <w:lang w:val="en-HK"/>
        </w:rPr>
        <w:t xml:space="preserve"> </w:t>
      </w:r>
      <w:r w:rsidR="00DE15F9" w:rsidRPr="00CA6DC2">
        <w:rPr>
          <w:rFonts w:ascii="Times New Roman" w:hAnsi="Times New Roman"/>
          <w:b/>
          <w:bCs/>
          <w:color w:val="000000" w:themeColor="text1"/>
          <w:lang w:val="en-HK"/>
        </w:rPr>
        <w:t>Remedial constructive trusts</w:t>
      </w:r>
      <w:r w:rsidR="00DE15F9" w:rsidRPr="00CA6DC2">
        <w:rPr>
          <w:rFonts w:ascii="Times New Roman" w:hAnsi="Times New Roman"/>
          <w:color w:val="000000" w:themeColor="text1"/>
          <w:lang w:val="en-HK"/>
        </w:rPr>
        <w:t xml:space="preserve"> are sometimes suggested as a way to create proprietary claims in response to unauthorized or mistaken payments. These are designed to recognize a </w:t>
      </w:r>
      <w:r w:rsidR="00DE15F9" w:rsidRPr="00CA6DC2">
        <w:rPr>
          <w:rFonts w:ascii="Times New Roman" w:hAnsi="Times New Roman"/>
          <w:b/>
          <w:bCs/>
          <w:color w:val="000000" w:themeColor="text1"/>
          <w:lang w:val="en-HK"/>
        </w:rPr>
        <w:t>subsisting proprietary claim</w:t>
      </w:r>
      <w:r w:rsidR="00DE15F9" w:rsidRPr="00CA6DC2">
        <w:rPr>
          <w:rFonts w:ascii="Times New Roman" w:hAnsi="Times New Roman"/>
          <w:color w:val="000000" w:themeColor="text1"/>
          <w:lang w:val="en-HK"/>
        </w:rPr>
        <w:t>, which would arise from the invalidity of the transfer.</w:t>
      </w:r>
    </w:p>
    <w:p w14:paraId="5A2BECC0" w14:textId="11D0A12F"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However, </w:t>
      </w:r>
      <w:r w:rsidR="00DE15F9" w:rsidRPr="00B90364">
        <w:rPr>
          <w:rFonts w:ascii="Times New Roman" w:hAnsi="Times New Roman"/>
          <w:b/>
          <w:bCs/>
          <w:color w:val="000000" w:themeColor="text1"/>
          <w:lang w:val="en-HK"/>
        </w:rPr>
        <w:t>remedial constructive trusts</w:t>
      </w:r>
      <w:r w:rsidR="00DE15F9" w:rsidRPr="00B90364">
        <w:rPr>
          <w:rFonts w:ascii="Times New Roman" w:hAnsi="Times New Roman"/>
          <w:color w:val="000000" w:themeColor="text1"/>
          <w:lang w:val="en-HK"/>
        </w:rPr>
        <w:t xml:space="preserve"> have been rejected in </w:t>
      </w:r>
      <w:r w:rsidR="00DE15F9" w:rsidRPr="00B90364">
        <w:rPr>
          <w:rFonts w:ascii="Times New Roman" w:hAnsi="Times New Roman"/>
          <w:b/>
          <w:bCs/>
          <w:color w:val="000000" w:themeColor="text1"/>
          <w:lang w:val="en-HK"/>
        </w:rPr>
        <w:t>English law</w:t>
      </w:r>
      <w:r w:rsidR="00DE15F9" w:rsidRPr="00B90364">
        <w:rPr>
          <w:rFonts w:ascii="Times New Roman" w:hAnsi="Times New Roman"/>
          <w:color w:val="000000" w:themeColor="text1"/>
          <w:lang w:val="en-HK"/>
        </w:rPr>
        <w:t xml:space="preserve">, largely because creating such a trust retroactively could undermine the interests of third-party creditors. The </w:t>
      </w:r>
      <w:r w:rsidR="00DE15F9" w:rsidRPr="00B90364">
        <w:rPr>
          <w:rFonts w:ascii="Times New Roman" w:hAnsi="Times New Roman"/>
          <w:b/>
          <w:bCs/>
          <w:color w:val="000000" w:themeColor="text1"/>
          <w:lang w:val="en-HK"/>
        </w:rPr>
        <w:t>objection</w:t>
      </w:r>
      <w:r w:rsidR="00DE15F9" w:rsidRPr="00B90364">
        <w:rPr>
          <w:rFonts w:ascii="Times New Roman" w:hAnsi="Times New Roman"/>
          <w:color w:val="000000" w:themeColor="text1"/>
          <w:lang w:val="en-HK"/>
        </w:rPr>
        <w:t xml:space="preserve"> to remedial constructive trusts is rooted in </w:t>
      </w:r>
      <w:r w:rsidR="00DE15F9" w:rsidRPr="00B90364">
        <w:rPr>
          <w:rFonts w:ascii="Times New Roman" w:hAnsi="Times New Roman"/>
          <w:b/>
          <w:bCs/>
          <w:color w:val="000000" w:themeColor="text1"/>
          <w:lang w:val="en-HK"/>
        </w:rPr>
        <w:t>remedial inconsistency</w:t>
      </w:r>
      <w:r w:rsidR="00DE15F9" w:rsidRPr="00B90364">
        <w:rPr>
          <w:rFonts w:ascii="Times New Roman" w:hAnsi="Times New Roman"/>
          <w:color w:val="000000" w:themeColor="text1"/>
          <w:lang w:val="en-HK"/>
        </w:rPr>
        <w:t xml:space="preserve">, as the court should focus on recognizing </w:t>
      </w:r>
      <w:r w:rsidR="00DE15F9" w:rsidRPr="00B90364">
        <w:rPr>
          <w:rFonts w:ascii="Times New Roman" w:hAnsi="Times New Roman"/>
          <w:b/>
          <w:bCs/>
          <w:color w:val="000000" w:themeColor="text1"/>
          <w:lang w:val="en-HK"/>
        </w:rPr>
        <w:t>existing property rights</w:t>
      </w:r>
      <w:r w:rsidR="00DE15F9" w:rsidRPr="00B90364">
        <w:rPr>
          <w:rFonts w:ascii="Times New Roman" w:hAnsi="Times New Roman"/>
          <w:color w:val="000000" w:themeColor="text1"/>
          <w:lang w:val="en-HK"/>
        </w:rPr>
        <w:t xml:space="preserve"> rather than creating new ones by judicial order.</w:t>
      </w:r>
    </w:p>
    <w:p w14:paraId="6226664E"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Analysis of Proprietary Claims</w:t>
      </w:r>
      <w:r w:rsidRPr="00B90364">
        <w:rPr>
          <w:rFonts w:ascii="Times New Roman" w:hAnsi="Times New Roman"/>
          <w:color w:val="000000" w:themeColor="text1"/>
          <w:lang w:val="en-HK"/>
        </w:rPr>
        <w:t>:</w:t>
      </w:r>
    </w:p>
    <w:p w14:paraId="762FA609" w14:textId="043E4A1A"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DE15F9" w:rsidRPr="00B90364">
        <w:rPr>
          <w:rFonts w:ascii="Times New Roman" w:hAnsi="Times New Roman"/>
          <w:color w:val="000000" w:themeColor="text1"/>
          <w:lang w:val="en-HK"/>
        </w:rPr>
        <w:t xml:space="preserve">The central issue is that a </w:t>
      </w:r>
      <w:r w:rsidR="00DE15F9" w:rsidRPr="00B90364">
        <w:rPr>
          <w:rFonts w:ascii="Times New Roman" w:hAnsi="Times New Roman"/>
          <w:b/>
          <w:bCs/>
          <w:color w:val="000000" w:themeColor="text1"/>
          <w:lang w:val="en-HK"/>
        </w:rPr>
        <w:t>proprietary claim</w:t>
      </w:r>
      <w:r w:rsidR="00DE15F9" w:rsidRPr="00B90364">
        <w:rPr>
          <w:rFonts w:ascii="Times New Roman" w:hAnsi="Times New Roman"/>
          <w:color w:val="000000" w:themeColor="text1"/>
          <w:lang w:val="en-HK"/>
        </w:rPr>
        <w:t xml:space="preserve"> should not depend on </w:t>
      </w:r>
      <w:r w:rsidR="00DE15F9" w:rsidRPr="00B90364">
        <w:rPr>
          <w:rFonts w:ascii="Times New Roman" w:hAnsi="Times New Roman"/>
          <w:b/>
          <w:bCs/>
          <w:color w:val="000000" w:themeColor="text1"/>
          <w:lang w:val="en-HK"/>
        </w:rPr>
        <w:t>D’s knowledge</w:t>
      </w:r>
      <w:r w:rsidR="00DE15F9" w:rsidRPr="00B90364">
        <w:rPr>
          <w:rFonts w:ascii="Times New Roman" w:hAnsi="Times New Roman"/>
          <w:color w:val="000000" w:themeColor="text1"/>
          <w:lang w:val="en-HK"/>
        </w:rPr>
        <w:t xml:space="preserve"> or whether D acted wrongfully. The proprietary nature of the claim should arise from the </w:t>
      </w:r>
      <w:r w:rsidR="00DE15F9" w:rsidRPr="00B90364">
        <w:rPr>
          <w:rFonts w:ascii="Times New Roman" w:hAnsi="Times New Roman"/>
          <w:b/>
          <w:bCs/>
          <w:color w:val="000000" w:themeColor="text1"/>
          <w:lang w:val="en-HK"/>
        </w:rPr>
        <w:t>invalidity of the transfer</w:t>
      </w:r>
      <w:r w:rsidR="00DE15F9" w:rsidRPr="00B90364">
        <w:rPr>
          <w:rFonts w:ascii="Times New Roman" w:hAnsi="Times New Roman"/>
          <w:color w:val="000000" w:themeColor="text1"/>
          <w:lang w:val="en-HK"/>
        </w:rPr>
        <w:t xml:space="preserve">, which is the correct response to the breach of the original property rights, not from any </w:t>
      </w:r>
      <w:r w:rsidR="00DE15F9" w:rsidRPr="00B90364">
        <w:rPr>
          <w:rFonts w:ascii="Times New Roman" w:hAnsi="Times New Roman"/>
          <w:b/>
          <w:bCs/>
          <w:color w:val="000000" w:themeColor="text1"/>
          <w:lang w:val="en-HK"/>
        </w:rPr>
        <w:t>unconscionable conduct</w:t>
      </w:r>
      <w:r w:rsidR="00DE15F9" w:rsidRPr="00B90364">
        <w:rPr>
          <w:rFonts w:ascii="Times New Roman" w:hAnsi="Times New Roman"/>
          <w:color w:val="000000" w:themeColor="text1"/>
          <w:lang w:val="en-HK"/>
        </w:rPr>
        <w:t xml:space="preserve"> on D’s part.</w:t>
      </w:r>
    </w:p>
    <w:p w14:paraId="1D019019" w14:textId="6F9932A9" w:rsidR="00DE15F9"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lastRenderedPageBreak/>
        <w:t xml:space="preserve">- </w:t>
      </w:r>
      <w:r w:rsidR="00DE15F9" w:rsidRPr="00B90364">
        <w:rPr>
          <w:rFonts w:ascii="Times New Roman" w:hAnsi="Times New Roman"/>
          <w:color w:val="000000" w:themeColor="text1"/>
          <w:lang w:val="en-HK"/>
        </w:rPr>
        <w:t xml:space="preserve">Whether a claim is </w:t>
      </w:r>
      <w:r w:rsidR="00DE15F9" w:rsidRPr="00B90364">
        <w:rPr>
          <w:rFonts w:ascii="Times New Roman" w:hAnsi="Times New Roman"/>
          <w:b/>
          <w:bCs/>
          <w:color w:val="000000" w:themeColor="text1"/>
          <w:lang w:val="en-HK"/>
        </w:rPr>
        <w:t>proprietary</w:t>
      </w:r>
      <w:r w:rsidR="00DE15F9" w:rsidRPr="00B90364">
        <w:rPr>
          <w:rFonts w:ascii="Times New Roman" w:hAnsi="Times New Roman"/>
          <w:color w:val="000000" w:themeColor="text1"/>
          <w:lang w:val="en-HK"/>
        </w:rPr>
        <w:t xml:space="preserve"> or </w:t>
      </w:r>
      <w:r w:rsidR="00DE15F9" w:rsidRPr="00B90364">
        <w:rPr>
          <w:rFonts w:ascii="Times New Roman" w:hAnsi="Times New Roman"/>
          <w:b/>
          <w:bCs/>
          <w:color w:val="000000" w:themeColor="text1"/>
          <w:lang w:val="en-HK"/>
        </w:rPr>
        <w:t>personal</w:t>
      </w:r>
      <w:r w:rsidR="00DE15F9" w:rsidRPr="00B90364">
        <w:rPr>
          <w:rFonts w:ascii="Times New Roman" w:hAnsi="Times New Roman"/>
          <w:color w:val="000000" w:themeColor="text1"/>
          <w:lang w:val="en-HK"/>
        </w:rPr>
        <w:t xml:space="preserve"> should primarily affect the interests of </w:t>
      </w:r>
      <w:r w:rsidR="00DE15F9" w:rsidRPr="00B90364">
        <w:rPr>
          <w:rFonts w:ascii="Times New Roman" w:hAnsi="Times New Roman"/>
          <w:b/>
          <w:bCs/>
          <w:color w:val="000000" w:themeColor="text1"/>
          <w:lang w:val="en-HK"/>
        </w:rPr>
        <w:t>third parties</w:t>
      </w:r>
      <w:r w:rsidR="00DE15F9" w:rsidRPr="00B90364">
        <w:rPr>
          <w:rFonts w:ascii="Times New Roman" w:hAnsi="Times New Roman"/>
          <w:color w:val="000000" w:themeColor="text1"/>
          <w:lang w:val="en-HK"/>
        </w:rPr>
        <w:t xml:space="preserve"> (e.g., D’s creditors), not D. As such, the </w:t>
      </w:r>
      <w:r w:rsidR="00DE15F9" w:rsidRPr="00B90364">
        <w:rPr>
          <w:rFonts w:ascii="Times New Roman" w:hAnsi="Times New Roman"/>
          <w:b/>
          <w:bCs/>
          <w:color w:val="000000" w:themeColor="text1"/>
          <w:lang w:val="en-HK"/>
        </w:rPr>
        <w:t>invalidity of the transfer</w:t>
      </w:r>
      <w:r w:rsidR="00DE15F9" w:rsidRPr="00B90364">
        <w:rPr>
          <w:rFonts w:ascii="Times New Roman" w:hAnsi="Times New Roman"/>
          <w:color w:val="000000" w:themeColor="text1"/>
          <w:lang w:val="en-HK"/>
        </w:rPr>
        <w:t xml:space="preserve"> remains the key factor, not whether D acted improperly.</w:t>
      </w:r>
    </w:p>
    <w:p w14:paraId="6001C70D" w14:textId="77777777" w:rsidR="00DE15F9"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38620274">
          <v:rect id="_x0000_i1028" alt="" style="width:451.3pt;height:.05pt;mso-width-percent:0;mso-height-percent:0;mso-width-percent:0;mso-height-percent:0" o:hralign="center" o:hrstd="t" o:hr="t" fillcolor="#a0a0a0" stroked="f"/>
        </w:pict>
      </w:r>
    </w:p>
    <w:p w14:paraId="3F3E31DD" w14:textId="77777777" w:rsidR="00DE15F9" w:rsidRPr="00B90364" w:rsidRDefault="00DE15F9"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Resulting Trusts and the Doctrine of Remedial Consistency</w:t>
      </w:r>
    </w:p>
    <w:p w14:paraId="500BB397"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Resulting Trusts</w:t>
      </w:r>
      <w:r w:rsidRPr="00B90364">
        <w:rPr>
          <w:rFonts w:ascii="Times New Roman" w:hAnsi="Times New Roman"/>
          <w:color w:val="000000" w:themeColor="text1"/>
          <w:lang w:val="en-HK"/>
        </w:rPr>
        <w:t>:</w:t>
      </w:r>
    </w:p>
    <w:p w14:paraId="6BF58C8F"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In cases where the intention to benefit D is absent, the doctrine of </w:t>
      </w:r>
      <w:r w:rsidRPr="00B90364">
        <w:rPr>
          <w:rFonts w:ascii="Times New Roman" w:hAnsi="Times New Roman"/>
          <w:b/>
          <w:bCs/>
          <w:color w:val="000000" w:themeColor="text1"/>
          <w:lang w:val="en-HK"/>
        </w:rPr>
        <w:t>resulting trust</w:t>
      </w:r>
      <w:r w:rsidRPr="00B90364">
        <w:rPr>
          <w:rFonts w:ascii="Times New Roman" w:hAnsi="Times New Roman"/>
          <w:color w:val="000000" w:themeColor="text1"/>
          <w:lang w:val="en-HK"/>
        </w:rPr>
        <w:t xml:space="preserve"> may apply, giving the claimant (C) the beneficial interest in the property.</w:t>
      </w:r>
    </w:p>
    <w:p w14:paraId="461E2895"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Scholars like </w:t>
      </w:r>
      <w:r w:rsidRPr="00B90364">
        <w:rPr>
          <w:rFonts w:ascii="Times New Roman" w:hAnsi="Times New Roman"/>
          <w:b/>
          <w:bCs/>
          <w:color w:val="000000" w:themeColor="text1"/>
          <w:lang w:val="en-HK"/>
        </w:rPr>
        <w:t>Chambers</w:t>
      </w:r>
      <w:r w:rsidRPr="00B90364">
        <w:rPr>
          <w:rFonts w:ascii="Times New Roman" w:hAnsi="Times New Roman"/>
          <w:color w:val="000000" w:themeColor="text1"/>
          <w:lang w:val="en-HK"/>
        </w:rPr>
        <w:t xml:space="preserve"> argue that the resulting trust could apply to </w:t>
      </w:r>
      <w:r w:rsidRPr="00B90364">
        <w:rPr>
          <w:rFonts w:ascii="Times New Roman" w:hAnsi="Times New Roman"/>
          <w:b/>
          <w:bCs/>
          <w:color w:val="000000" w:themeColor="text1"/>
          <w:lang w:val="en-HK"/>
        </w:rPr>
        <w:t>mistaken or unauthorized payments</w:t>
      </w:r>
      <w:r w:rsidRPr="00B90364">
        <w:rPr>
          <w:rFonts w:ascii="Times New Roman" w:hAnsi="Times New Roman"/>
          <w:color w:val="000000" w:themeColor="text1"/>
          <w:lang w:val="en-HK"/>
        </w:rPr>
        <w:t>, drawing a parallel to situations where property is transferred without a valid intention to benefit the recipient.</w:t>
      </w:r>
    </w:p>
    <w:p w14:paraId="0E07C5DB"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Differentiation from Constructive Trusts</w:t>
      </w:r>
      <w:r w:rsidRPr="00B90364">
        <w:rPr>
          <w:rFonts w:ascii="Times New Roman" w:hAnsi="Times New Roman"/>
          <w:color w:val="000000" w:themeColor="text1"/>
          <w:lang w:val="en-HK"/>
        </w:rPr>
        <w:t>:</w:t>
      </w:r>
    </w:p>
    <w:p w14:paraId="5B3E2159" w14:textId="77777777" w:rsidR="00DE15F9" w:rsidRPr="00B90364" w:rsidRDefault="00DE15F9"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Resulting trusts</w:t>
      </w:r>
      <w:r w:rsidRPr="00B90364">
        <w:rPr>
          <w:rFonts w:ascii="Times New Roman" w:hAnsi="Times New Roman"/>
          <w:color w:val="000000" w:themeColor="text1"/>
          <w:lang w:val="en-HK"/>
        </w:rPr>
        <w:t xml:space="preserve"> focus on the lack of intention to benefit D, while </w:t>
      </w:r>
      <w:r w:rsidRPr="00B90364">
        <w:rPr>
          <w:rFonts w:ascii="Times New Roman" w:hAnsi="Times New Roman"/>
          <w:b/>
          <w:bCs/>
          <w:color w:val="000000" w:themeColor="text1"/>
          <w:lang w:val="en-HK"/>
        </w:rPr>
        <w:t>constructive trusts</w:t>
      </w:r>
      <w:r w:rsidRPr="00B90364">
        <w:rPr>
          <w:rFonts w:ascii="Times New Roman" w:hAnsi="Times New Roman"/>
          <w:color w:val="000000" w:themeColor="text1"/>
          <w:lang w:val="en-HK"/>
        </w:rPr>
        <w:t xml:space="preserve"> arise from the </w:t>
      </w:r>
      <w:r w:rsidRPr="00B90364">
        <w:rPr>
          <w:rFonts w:ascii="Times New Roman" w:hAnsi="Times New Roman"/>
          <w:b/>
          <w:bCs/>
          <w:color w:val="000000" w:themeColor="text1"/>
          <w:lang w:val="en-HK"/>
        </w:rPr>
        <w:t>invalidity of the transfer</w:t>
      </w:r>
      <w:r w:rsidRPr="00B90364">
        <w:rPr>
          <w:rFonts w:ascii="Times New Roman" w:hAnsi="Times New Roman"/>
          <w:color w:val="000000" w:themeColor="text1"/>
          <w:lang w:val="en-HK"/>
        </w:rPr>
        <w:t xml:space="preserve">. The two doctrines have different theoretical foundations, and the appropriate remedy depends on whether the focus is on the </w:t>
      </w:r>
      <w:r w:rsidRPr="00B90364">
        <w:rPr>
          <w:rFonts w:ascii="Times New Roman" w:hAnsi="Times New Roman"/>
          <w:b/>
          <w:bCs/>
          <w:color w:val="000000" w:themeColor="text1"/>
          <w:lang w:val="en-HK"/>
        </w:rPr>
        <w:t>intention of the transferor</w:t>
      </w:r>
      <w:r w:rsidRPr="00B90364">
        <w:rPr>
          <w:rFonts w:ascii="Times New Roman" w:hAnsi="Times New Roman"/>
          <w:color w:val="000000" w:themeColor="text1"/>
          <w:lang w:val="en-HK"/>
        </w:rPr>
        <w:t xml:space="preserve"> (resulting trust) or the </w:t>
      </w:r>
      <w:r w:rsidRPr="00B90364">
        <w:rPr>
          <w:rFonts w:ascii="Times New Roman" w:hAnsi="Times New Roman"/>
          <w:b/>
          <w:bCs/>
          <w:color w:val="000000" w:themeColor="text1"/>
          <w:lang w:val="en-HK"/>
        </w:rPr>
        <w:t>invalidity of the transfer</w:t>
      </w:r>
      <w:r w:rsidRPr="00B90364">
        <w:rPr>
          <w:rFonts w:ascii="Times New Roman" w:hAnsi="Times New Roman"/>
          <w:color w:val="000000" w:themeColor="text1"/>
          <w:lang w:val="en-HK"/>
        </w:rPr>
        <w:t xml:space="preserve"> (constructive trust).</w:t>
      </w:r>
    </w:p>
    <w:p w14:paraId="5BF894CE" w14:textId="588ABE1A" w:rsidR="00CD39F1"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2304FB74">
          <v:rect id="_x0000_i1027" alt="" style="width:451.3pt;height:.05pt;mso-width-percent:0;mso-height-percent:0;mso-width-percent:0;mso-height-percent:0" o:hralign="center" o:hrstd="t" o:hr="t" fillcolor="#a0a0a0" stroked="f"/>
        </w:pict>
      </w:r>
    </w:p>
    <w:p w14:paraId="320B5D21" w14:textId="77777777" w:rsidR="00702A83" w:rsidRPr="00B90364" w:rsidRDefault="00702A83" w:rsidP="00B90364">
      <w:pPr>
        <w:spacing w:before="100" w:beforeAutospacing="1" w:after="240" w:line="360" w:lineRule="auto"/>
        <w:outlineLvl w:val="2"/>
        <w:rPr>
          <w:rFonts w:ascii="Times New Roman" w:hAnsi="Times New Roman"/>
          <w:b/>
          <w:bCs/>
          <w:color w:val="000000" w:themeColor="text1"/>
          <w:lang w:val="en-HK"/>
        </w:rPr>
      </w:pPr>
      <w:r w:rsidRPr="00B90364">
        <w:rPr>
          <w:rFonts w:ascii="Times New Roman" w:hAnsi="Times New Roman"/>
          <w:b/>
          <w:bCs/>
          <w:color w:val="000000" w:themeColor="text1"/>
          <w:lang w:val="en-HK"/>
        </w:rPr>
        <w:t>Section 3: The Constructive Trust of Fiduciary Profits</w:t>
      </w:r>
    </w:p>
    <w:p w14:paraId="790084CA"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1. The Fiduciary Relationship</w:t>
      </w:r>
    </w:p>
    <w:p w14:paraId="23F3365E"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Fiduciaries, such as trustees (F), can obtain benefits through their role, which they must surrender to the principal (P). These benefits might arise in several ways:</w:t>
      </w:r>
    </w:p>
    <w:p w14:paraId="447966BA" w14:textId="77777777" w:rsidR="00702A83" w:rsidRPr="00CA6DC2" w:rsidRDefault="00702A83" w:rsidP="00CA6DC2">
      <w:pPr>
        <w:pStyle w:val="ListParagraph"/>
        <w:numPr>
          <w:ilvl w:val="0"/>
          <w:numId w:val="51"/>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Misuse of P’s property</w:t>
      </w:r>
      <w:r w:rsidRPr="00CA6DC2">
        <w:rPr>
          <w:rFonts w:ascii="Times New Roman" w:hAnsi="Times New Roman"/>
          <w:color w:val="000000" w:themeColor="text1"/>
          <w:lang w:val="en-HK"/>
        </w:rPr>
        <w:t xml:space="preserve"> for personal profit.</w:t>
      </w:r>
    </w:p>
    <w:p w14:paraId="0066B85A" w14:textId="77777777" w:rsidR="00702A83" w:rsidRPr="00CA6DC2" w:rsidRDefault="00702A83" w:rsidP="00CA6DC2">
      <w:pPr>
        <w:pStyle w:val="ListParagraph"/>
        <w:numPr>
          <w:ilvl w:val="0"/>
          <w:numId w:val="51"/>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Diversion of third-party property</w:t>
      </w:r>
      <w:r w:rsidRPr="00CA6DC2">
        <w:rPr>
          <w:rFonts w:ascii="Times New Roman" w:hAnsi="Times New Roman"/>
          <w:color w:val="000000" w:themeColor="text1"/>
          <w:lang w:val="en-HK"/>
        </w:rPr>
        <w:t xml:space="preserve"> intended for P.</w:t>
      </w:r>
    </w:p>
    <w:p w14:paraId="7FBB12CF" w14:textId="77777777" w:rsidR="00702A83" w:rsidRPr="00CA6DC2" w:rsidRDefault="00702A83" w:rsidP="00CA6DC2">
      <w:pPr>
        <w:pStyle w:val="ListParagraph"/>
        <w:numPr>
          <w:ilvl w:val="0"/>
          <w:numId w:val="51"/>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Receiving bribes or commissions</w:t>
      </w:r>
      <w:r w:rsidRPr="00CA6DC2">
        <w:rPr>
          <w:rFonts w:ascii="Times New Roman" w:hAnsi="Times New Roman"/>
          <w:color w:val="000000" w:themeColor="text1"/>
          <w:lang w:val="en-HK"/>
        </w:rPr>
        <w:t xml:space="preserve"> from third parties.</w:t>
      </w:r>
    </w:p>
    <w:p w14:paraId="46CD7F4B" w14:textId="77777777" w:rsidR="00702A83" w:rsidRPr="00CA6DC2" w:rsidRDefault="00702A83" w:rsidP="00CA6DC2">
      <w:pPr>
        <w:pStyle w:val="ListParagraph"/>
        <w:numPr>
          <w:ilvl w:val="0"/>
          <w:numId w:val="51"/>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Profiting from opportunities</w:t>
      </w:r>
      <w:r w:rsidRPr="00CA6DC2">
        <w:rPr>
          <w:rFonts w:ascii="Times New Roman" w:hAnsi="Times New Roman"/>
          <w:color w:val="000000" w:themeColor="text1"/>
          <w:lang w:val="en-HK"/>
        </w:rPr>
        <w:t xml:space="preserve"> acquired through their fiduciary position.</w:t>
      </w:r>
    </w:p>
    <w:p w14:paraId="54993E48"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lastRenderedPageBreak/>
        <w:t xml:space="preserve">The key legal question is whether P should have a </w:t>
      </w:r>
      <w:r w:rsidRPr="00B90364">
        <w:rPr>
          <w:rFonts w:ascii="Times New Roman" w:hAnsi="Times New Roman"/>
          <w:b/>
          <w:bCs/>
          <w:color w:val="000000" w:themeColor="text1"/>
          <w:lang w:val="en-HK"/>
        </w:rPr>
        <w:t>proprietary claim</w:t>
      </w:r>
      <w:r w:rsidRPr="00B90364">
        <w:rPr>
          <w:rFonts w:ascii="Times New Roman" w:hAnsi="Times New Roman"/>
          <w:color w:val="000000" w:themeColor="text1"/>
          <w:lang w:val="en-HK"/>
        </w:rPr>
        <w:t xml:space="preserve"> (via a constructive trust) or a </w:t>
      </w:r>
      <w:r w:rsidRPr="00B90364">
        <w:rPr>
          <w:rFonts w:ascii="Times New Roman" w:hAnsi="Times New Roman"/>
          <w:b/>
          <w:bCs/>
          <w:color w:val="000000" w:themeColor="text1"/>
          <w:lang w:val="en-HK"/>
        </w:rPr>
        <w:t>personal claim</w:t>
      </w:r>
      <w:r w:rsidRPr="00B90364">
        <w:rPr>
          <w:rFonts w:ascii="Times New Roman" w:hAnsi="Times New Roman"/>
          <w:color w:val="000000" w:themeColor="text1"/>
          <w:lang w:val="en-HK"/>
        </w:rPr>
        <w:t xml:space="preserve"> (via an account of profits) to recover these benefits. In </w:t>
      </w:r>
      <w:r w:rsidRPr="00B90364">
        <w:rPr>
          <w:rFonts w:ascii="Times New Roman" w:hAnsi="Times New Roman"/>
          <w:b/>
          <w:bCs/>
          <w:color w:val="000000" w:themeColor="text1"/>
          <w:lang w:val="en-HK"/>
        </w:rPr>
        <w:t>FHR European Ventures v Cedar Capital Partners (2014)</w:t>
      </w:r>
      <w:r w:rsidRPr="00B90364">
        <w:rPr>
          <w:rFonts w:ascii="Times New Roman" w:hAnsi="Times New Roman"/>
          <w:color w:val="000000" w:themeColor="text1"/>
          <w:lang w:val="en-HK"/>
        </w:rPr>
        <w:t xml:space="preserve">, the UK Supreme Court ruled that a </w:t>
      </w:r>
      <w:r w:rsidRPr="00B90364">
        <w:rPr>
          <w:rFonts w:ascii="Times New Roman" w:hAnsi="Times New Roman"/>
          <w:b/>
          <w:bCs/>
          <w:color w:val="000000" w:themeColor="text1"/>
          <w:lang w:val="en-HK"/>
        </w:rPr>
        <w:t>proprietary claim</w:t>
      </w:r>
      <w:r w:rsidRPr="00B90364">
        <w:rPr>
          <w:rFonts w:ascii="Times New Roman" w:hAnsi="Times New Roman"/>
          <w:color w:val="000000" w:themeColor="text1"/>
          <w:lang w:val="en-HK"/>
        </w:rPr>
        <w:t xml:space="preserve"> should arise when fiduciary profits are obtained, affirming the role of </w:t>
      </w:r>
      <w:r w:rsidRPr="00B90364">
        <w:rPr>
          <w:rFonts w:ascii="Times New Roman" w:hAnsi="Times New Roman"/>
          <w:b/>
          <w:bCs/>
          <w:color w:val="000000" w:themeColor="text1"/>
          <w:lang w:val="en-HK"/>
        </w:rPr>
        <w:t>constructive trusts</w:t>
      </w:r>
      <w:r w:rsidRPr="00B90364">
        <w:rPr>
          <w:rFonts w:ascii="Times New Roman" w:hAnsi="Times New Roman"/>
          <w:color w:val="000000" w:themeColor="text1"/>
          <w:lang w:val="en-HK"/>
        </w:rPr>
        <w:t xml:space="preserve"> in these cases. This ruling was a significant development but remains controversial, with scholars debating its fairness and rationale.</w:t>
      </w:r>
    </w:p>
    <w:p w14:paraId="15F7286D"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Scholarly Arguments</w:t>
      </w:r>
    </w:p>
    <w:p w14:paraId="45D69006"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Proponents of Proprietary Claims</w:t>
      </w:r>
      <w:r w:rsidRPr="00B90364">
        <w:rPr>
          <w:rFonts w:ascii="Times New Roman" w:hAnsi="Times New Roman"/>
          <w:color w:val="000000" w:themeColor="text1"/>
          <w:lang w:val="en-HK"/>
        </w:rPr>
        <w:t xml:space="preserve">: Some scholars, such as </w:t>
      </w:r>
      <w:r w:rsidRPr="00B90364">
        <w:rPr>
          <w:rFonts w:ascii="Times New Roman" w:hAnsi="Times New Roman"/>
          <w:b/>
          <w:bCs/>
          <w:color w:val="000000" w:themeColor="text1"/>
          <w:lang w:val="en-HK"/>
        </w:rPr>
        <w:t>Peter Devonshire</w:t>
      </w:r>
      <w:r w:rsidRPr="00B90364">
        <w:rPr>
          <w:rFonts w:ascii="Times New Roman" w:hAnsi="Times New Roman"/>
          <w:color w:val="000000" w:themeColor="text1"/>
          <w:lang w:val="en-HK"/>
        </w:rPr>
        <w:t xml:space="preserve">, argue that a </w:t>
      </w:r>
      <w:r w:rsidRPr="00B90364">
        <w:rPr>
          <w:rFonts w:ascii="Times New Roman" w:hAnsi="Times New Roman"/>
          <w:b/>
          <w:bCs/>
          <w:color w:val="000000" w:themeColor="text1"/>
          <w:lang w:val="en-HK"/>
        </w:rPr>
        <w:t>proprietary remedy</w:t>
      </w:r>
      <w:r w:rsidRPr="00B90364">
        <w:rPr>
          <w:rFonts w:ascii="Times New Roman" w:hAnsi="Times New Roman"/>
          <w:color w:val="000000" w:themeColor="text1"/>
          <w:lang w:val="en-HK"/>
        </w:rPr>
        <w:t xml:space="preserve"> is necessary to ensure that fiduciaries are accountable for any profits derived from their breach of duty. They believe that </w:t>
      </w:r>
      <w:r w:rsidRPr="00B90364">
        <w:rPr>
          <w:rFonts w:ascii="Times New Roman" w:hAnsi="Times New Roman"/>
          <w:b/>
          <w:bCs/>
          <w:color w:val="000000" w:themeColor="text1"/>
          <w:lang w:val="en-HK"/>
        </w:rPr>
        <w:t>constructive trusts</w:t>
      </w:r>
      <w:r w:rsidRPr="00B90364">
        <w:rPr>
          <w:rFonts w:ascii="Times New Roman" w:hAnsi="Times New Roman"/>
          <w:color w:val="000000" w:themeColor="text1"/>
          <w:lang w:val="en-HK"/>
        </w:rPr>
        <w:t xml:space="preserve"> serve to align fiduciary behavior with equitable principles by ensuring that the </w:t>
      </w:r>
      <w:r w:rsidRPr="00B90364">
        <w:rPr>
          <w:rFonts w:ascii="Times New Roman" w:hAnsi="Times New Roman"/>
          <w:b/>
          <w:bCs/>
          <w:color w:val="000000" w:themeColor="text1"/>
          <w:lang w:val="en-HK"/>
        </w:rPr>
        <w:t>beneficiary’s rights</w:t>
      </w:r>
      <w:r w:rsidRPr="00B90364">
        <w:rPr>
          <w:rFonts w:ascii="Times New Roman" w:hAnsi="Times New Roman"/>
          <w:color w:val="000000" w:themeColor="text1"/>
          <w:lang w:val="en-HK"/>
        </w:rPr>
        <w:t xml:space="preserve"> are protected over the profits made from the fiduciary’s misuse of property or position.</w:t>
      </w:r>
    </w:p>
    <w:p w14:paraId="53601962"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Critics</w:t>
      </w:r>
      <w:r w:rsidRPr="00B90364">
        <w:rPr>
          <w:rFonts w:ascii="Times New Roman" w:hAnsi="Times New Roman"/>
          <w:color w:val="000000" w:themeColor="text1"/>
          <w:lang w:val="en-HK"/>
        </w:rPr>
        <w:t xml:space="preserve">: Scholars like </w:t>
      </w:r>
      <w:r w:rsidRPr="00B90364">
        <w:rPr>
          <w:rFonts w:ascii="Times New Roman" w:hAnsi="Times New Roman"/>
          <w:b/>
          <w:bCs/>
          <w:color w:val="000000" w:themeColor="text1"/>
          <w:lang w:val="en-HK"/>
        </w:rPr>
        <w:t>Andrew Hicks</w:t>
      </w:r>
      <w:r w:rsidRPr="00B90364">
        <w:rPr>
          <w:rFonts w:ascii="Times New Roman" w:hAnsi="Times New Roman"/>
          <w:color w:val="000000" w:themeColor="text1"/>
          <w:lang w:val="en-HK"/>
        </w:rPr>
        <w:t xml:space="preserve"> and </w:t>
      </w:r>
      <w:r w:rsidRPr="00B90364">
        <w:rPr>
          <w:rFonts w:ascii="Times New Roman" w:hAnsi="Times New Roman"/>
          <w:b/>
          <w:bCs/>
          <w:color w:val="000000" w:themeColor="text1"/>
          <w:lang w:val="en-HK"/>
        </w:rPr>
        <w:t>K. Barnett</w:t>
      </w:r>
      <w:r w:rsidRPr="00B90364">
        <w:rPr>
          <w:rFonts w:ascii="Times New Roman" w:hAnsi="Times New Roman"/>
          <w:color w:val="000000" w:themeColor="text1"/>
          <w:lang w:val="en-HK"/>
        </w:rPr>
        <w:t xml:space="preserve"> caution against extending proprietary remedies too broadly in cases of fiduciary breaches. They argue that doing so could create </w:t>
      </w:r>
      <w:r w:rsidRPr="00B90364">
        <w:rPr>
          <w:rFonts w:ascii="Times New Roman" w:hAnsi="Times New Roman"/>
          <w:b/>
          <w:bCs/>
          <w:color w:val="000000" w:themeColor="text1"/>
          <w:lang w:val="en-HK"/>
        </w:rPr>
        <w:t>distributive injustice</w:t>
      </w:r>
      <w:r w:rsidRPr="00B90364">
        <w:rPr>
          <w:rFonts w:ascii="Times New Roman" w:hAnsi="Times New Roman"/>
          <w:color w:val="000000" w:themeColor="text1"/>
          <w:lang w:val="en-HK"/>
        </w:rPr>
        <w:t xml:space="preserve">, as it may prioritize the interests of the beneficiary over those of third-party creditors. In their view, fiduciary profits should be dealt with more carefully to avoid overextending </w:t>
      </w:r>
      <w:r w:rsidRPr="00B90364">
        <w:rPr>
          <w:rFonts w:ascii="Times New Roman" w:hAnsi="Times New Roman"/>
          <w:b/>
          <w:bCs/>
          <w:color w:val="000000" w:themeColor="text1"/>
          <w:lang w:val="en-HK"/>
        </w:rPr>
        <w:t>equity principles</w:t>
      </w:r>
      <w:r w:rsidRPr="00B90364">
        <w:rPr>
          <w:rFonts w:ascii="Times New Roman" w:hAnsi="Times New Roman"/>
          <w:color w:val="000000" w:themeColor="text1"/>
          <w:lang w:val="en-HK"/>
        </w:rPr>
        <w:t xml:space="preserve"> into areas that traditionally fall under </w:t>
      </w:r>
      <w:r w:rsidRPr="00B90364">
        <w:rPr>
          <w:rFonts w:ascii="Times New Roman" w:hAnsi="Times New Roman"/>
          <w:b/>
          <w:bCs/>
          <w:color w:val="000000" w:themeColor="text1"/>
          <w:lang w:val="en-HK"/>
        </w:rPr>
        <w:t>personal obligations</w:t>
      </w:r>
      <w:r w:rsidRPr="00B90364">
        <w:rPr>
          <w:rFonts w:ascii="Times New Roman" w:hAnsi="Times New Roman"/>
          <w:color w:val="000000" w:themeColor="text1"/>
          <w:lang w:val="en-HK"/>
        </w:rPr>
        <w:t>.</w:t>
      </w:r>
    </w:p>
    <w:p w14:paraId="28BAB153"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The Character of Disgorgement</w:t>
      </w:r>
    </w:p>
    <w:p w14:paraId="1D318623"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Disgorgement is a remedy that forces a fiduciary (F) to surrender profits made from their fiduciary role. The main aim is to remove the </w:t>
      </w:r>
      <w:r w:rsidRPr="00B90364">
        <w:rPr>
          <w:rFonts w:ascii="Times New Roman" w:hAnsi="Times New Roman"/>
          <w:b/>
          <w:bCs/>
          <w:color w:val="000000" w:themeColor="text1"/>
          <w:lang w:val="en-HK"/>
        </w:rPr>
        <w:t>incentive to breach fiduciary duties</w:t>
      </w:r>
      <w:r w:rsidRPr="00B90364">
        <w:rPr>
          <w:rFonts w:ascii="Times New Roman" w:hAnsi="Times New Roman"/>
          <w:color w:val="000000" w:themeColor="text1"/>
          <w:lang w:val="en-HK"/>
        </w:rPr>
        <w:t xml:space="preserve"> by taking away the profits obtained through </w:t>
      </w:r>
      <w:r w:rsidRPr="00B90364">
        <w:rPr>
          <w:rFonts w:ascii="Times New Roman" w:hAnsi="Times New Roman"/>
          <w:b/>
          <w:bCs/>
          <w:color w:val="000000" w:themeColor="text1"/>
          <w:lang w:val="en-HK"/>
        </w:rPr>
        <w:t>conflict of interest</w:t>
      </w:r>
      <w:r w:rsidRPr="00B90364">
        <w:rPr>
          <w:rFonts w:ascii="Times New Roman" w:hAnsi="Times New Roman"/>
          <w:color w:val="000000" w:themeColor="text1"/>
          <w:lang w:val="en-HK"/>
        </w:rPr>
        <w:t>. Disgorgement does not restore the property to the principal; it simply ensures that the fiduciary does not retain the profit.</w:t>
      </w:r>
    </w:p>
    <w:p w14:paraId="0FF39D0C"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Court’s Approach</w:t>
      </w:r>
    </w:p>
    <w:p w14:paraId="0FDC8EE8"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Courts have applied disgorgement in fiduciary breach cases, even if F did not act </w:t>
      </w:r>
      <w:r w:rsidRPr="00B90364">
        <w:rPr>
          <w:rFonts w:ascii="Times New Roman" w:hAnsi="Times New Roman"/>
          <w:b/>
          <w:bCs/>
          <w:color w:val="000000" w:themeColor="text1"/>
          <w:lang w:val="en-HK"/>
        </w:rPr>
        <w:t>wrongfully</w:t>
      </w:r>
      <w:r w:rsidRPr="00B90364">
        <w:rPr>
          <w:rFonts w:ascii="Times New Roman" w:hAnsi="Times New Roman"/>
          <w:color w:val="000000" w:themeColor="text1"/>
          <w:lang w:val="en-HK"/>
        </w:rPr>
        <w:t xml:space="preserve">. For example, in </w:t>
      </w:r>
      <w:r w:rsidRPr="00B90364">
        <w:rPr>
          <w:rFonts w:ascii="Times New Roman" w:hAnsi="Times New Roman"/>
          <w:b/>
          <w:bCs/>
          <w:color w:val="000000" w:themeColor="text1"/>
          <w:lang w:val="en-HK"/>
        </w:rPr>
        <w:t>Keech v Sandford (1726)</w:t>
      </w:r>
      <w:r w:rsidRPr="00B90364">
        <w:rPr>
          <w:rFonts w:ascii="Times New Roman" w:hAnsi="Times New Roman"/>
          <w:color w:val="000000" w:themeColor="text1"/>
          <w:lang w:val="en-HK"/>
        </w:rPr>
        <w:t xml:space="preserve"> and </w:t>
      </w:r>
      <w:r w:rsidRPr="00B90364">
        <w:rPr>
          <w:rFonts w:ascii="Times New Roman" w:hAnsi="Times New Roman"/>
          <w:b/>
          <w:bCs/>
          <w:color w:val="000000" w:themeColor="text1"/>
          <w:lang w:val="en-HK"/>
        </w:rPr>
        <w:t>Boardman v Phipps (1967)</w:t>
      </w:r>
      <w:r w:rsidRPr="00B90364">
        <w:rPr>
          <w:rFonts w:ascii="Times New Roman" w:hAnsi="Times New Roman"/>
          <w:color w:val="000000" w:themeColor="text1"/>
          <w:lang w:val="en-HK"/>
        </w:rPr>
        <w:t xml:space="preserve">, courts applied disgorgement because of the </w:t>
      </w:r>
      <w:r w:rsidRPr="00B90364">
        <w:rPr>
          <w:rFonts w:ascii="Times New Roman" w:hAnsi="Times New Roman"/>
          <w:b/>
          <w:bCs/>
          <w:color w:val="000000" w:themeColor="text1"/>
          <w:lang w:val="en-HK"/>
        </w:rPr>
        <w:t>no-conflict rule</w:t>
      </w:r>
      <w:r w:rsidRPr="00B90364">
        <w:rPr>
          <w:rFonts w:ascii="Times New Roman" w:hAnsi="Times New Roman"/>
          <w:color w:val="000000" w:themeColor="text1"/>
          <w:lang w:val="en-HK"/>
        </w:rPr>
        <w:t xml:space="preserve"> — the </w:t>
      </w:r>
      <w:r w:rsidRPr="00B90364">
        <w:rPr>
          <w:rFonts w:ascii="Times New Roman" w:hAnsi="Times New Roman"/>
          <w:b/>
          <w:bCs/>
          <w:color w:val="000000" w:themeColor="text1"/>
          <w:lang w:val="en-HK"/>
        </w:rPr>
        <w:t>possibility of a conflict of interest</w:t>
      </w:r>
      <w:r w:rsidRPr="00B90364">
        <w:rPr>
          <w:rFonts w:ascii="Times New Roman" w:hAnsi="Times New Roman"/>
          <w:color w:val="000000" w:themeColor="text1"/>
          <w:lang w:val="en-HK"/>
        </w:rPr>
        <w:t xml:space="preserve"> triggers disgorgement, even when F did not intentionally breach their duty.</w:t>
      </w:r>
    </w:p>
    <w:p w14:paraId="1B6320F1"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lastRenderedPageBreak/>
        <w:t xml:space="preserve">Disgorgement is seen as a </w:t>
      </w:r>
      <w:r w:rsidRPr="00B90364">
        <w:rPr>
          <w:rFonts w:ascii="Times New Roman" w:hAnsi="Times New Roman"/>
          <w:b/>
          <w:bCs/>
          <w:color w:val="000000" w:themeColor="text1"/>
          <w:lang w:val="en-HK"/>
        </w:rPr>
        <w:t>personal remedy</w:t>
      </w:r>
      <w:r w:rsidRPr="00B90364">
        <w:rPr>
          <w:rFonts w:ascii="Times New Roman" w:hAnsi="Times New Roman"/>
          <w:color w:val="000000" w:themeColor="text1"/>
          <w:lang w:val="en-HK"/>
        </w:rPr>
        <w:t xml:space="preserve"> because it affects only the fiduciary (F) and does not confer any proprietary rights to the beneficiary over the profits. This ensures protection for </w:t>
      </w:r>
      <w:r w:rsidRPr="00B90364">
        <w:rPr>
          <w:rFonts w:ascii="Times New Roman" w:hAnsi="Times New Roman"/>
          <w:b/>
          <w:bCs/>
          <w:color w:val="000000" w:themeColor="text1"/>
          <w:lang w:val="en-HK"/>
        </w:rPr>
        <w:t>third parties</w:t>
      </w:r>
      <w:r w:rsidRPr="00B90364">
        <w:rPr>
          <w:rFonts w:ascii="Times New Roman" w:hAnsi="Times New Roman"/>
          <w:color w:val="000000" w:themeColor="text1"/>
          <w:lang w:val="en-HK"/>
        </w:rPr>
        <w:t>, including creditors, from being unfairly disadvantaged by a fiduciary’s breach.</w:t>
      </w:r>
    </w:p>
    <w:p w14:paraId="44F37C0A"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Distinction from Proprietary Claims</w:t>
      </w:r>
    </w:p>
    <w:p w14:paraId="4BEA7834"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Disgorgement</w:t>
      </w:r>
      <w:r w:rsidRPr="00B90364">
        <w:rPr>
          <w:rFonts w:ascii="Times New Roman" w:hAnsi="Times New Roman"/>
          <w:color w:val="000000" w:themeColor="text1"/>
          <w:lang w:val="en-HK"/>
        </w:rPr>
        <w:t xml:space="preserve"> is </w:t>
      </w:r>
      <w:r w:rsidRPr="00B90364">
        <w:rPr>
          <w:rFonts w:ascii="Times New Roman" w:hAnsi="Times New Roman"/>
          <w:b/>
          <w:bCs/>
          <w:color w:val="000000" w:themeColor="text1"/>
          <w:lang w:val="en-HK"/>
        </w:rPr>
        <w:t>personal</w:t>
      </w:r>
      <w:r w:rsidRPr="00B90364">
        <w:rPr>
          <w:rFonts w:ascii="Times New Roman" w:hAnsi="Times New Roman"/>
          <w:color w:val="000000" w:themeColor="text1"/>
          <w:lang w:val="en-HK"/>
        </w:rPr>
        <w:t xml:space="preserve"> and aims to prevent the fiduciary from profiting from a breach. It doesn’t involve the restoration of property to the principal and doesn't bind third parties (e.g., creditors or transferees).</w:t>
      </w:r>
    </w:p>
    <w:p w14:paraId="7D12444B"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Proprietary Claims</w:t>
      </w:r>
      <w:r w:rsidRPr="00B90364">
        <w:rPr>
          <w:rFonts w:ascii="Times New Roman" w:hAnsi="Times New Roman"/>
          <w:color w:val="000000" w:themeColor="text1"/>
          <w:lang w:val="en-HK"/>
        </w:rPr>
        <w:t xml:space="preserve">, in contrast, focus on </w:t>
      </w:r>
      <w:r w:rsidRPr="00B90364">
        <w:rPr>
          <w:rFonts w:ascii="Times New Roman" w:hAnsi="Times New Roman"/>
          <w:b/>
          <w:bCs/>
          <w:color w:val="000000" w:themeColor="text1"/>
          <w:lang w:val="en-HK"/>
        </w:rPr>
        <w:t>restoring property to the principal</w:t>
      </w:r>
      <w:r w:rsidRPr="00B90364">
        <w:rPr>
          <w:rFonts w:ascii="Times New Roman" w:hAnsi="Times New Roman"/>
          <w:color w:val="000000" w:themeColor="text1"/>
          <w:lang w:val="en-HK"/>
        </w:rPr>
        <w:t>. These claims recognize that the original owner’s property right persists and provides a remedy that binds third parties, including creditors of the fiduciary.</w:t>
      </w:r>
    </w:p>
    <w:p w14:paraId="40D2F68B"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Scholarly Criticism</w:t>
      </w:r>
    </w:p>
    <w:p w14:paraId="784911BA"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E.J. Weinrib</w:t>
      </w:r>
      <w:r w:rsidRPr="00B90364">
        <w:rPr>
          <w:rFonts w:ascii="Times New Roman" w:hAnsi="Times New Roman"/>
          <w:color w:val="000000" w:themeColor="text1"/>
          <w:lang w:val="en-HK"/>
        </w:rPr>
        <w:t xml:space="preserve"> criticizes disgorgement for failing to align with </w:t>
      </w:r>
      <w:r w:rsidRPr="00B90364">
        <w:rPr>
          <w:rFonts w:ascii="Times New Roman" w:hAnsi="Times New Roman"/>
          <w:b/>
          <w:bCs/>
          <w:color w:val="000000" w:themeColor="text1"/>
          <w:lang w:val="en-HK"/>
        </w:rPr>
        <w:t>remedial consistency</w:t>
      </w:r>
      <w:r w:rsidRPr="00B90364">
        <w:rPr>
          <w:rFonts w:ascii="Times New Roman" w:hAnsi="Times New Roman"/>
          <w:color w:val="000000" w:themeColor="text1"/>
          <w:lang w:val="en-HK"/>
        </w:rPr>
        <w:t xml:space="preserve">. He argues that disgorgement does not </w:t>
      </w:r>
      <w:r w:rsidRPr="00B90364">
        <w:rPr>
          <w:rFonts w:ascii="Times New Roman" w:hAnsi="Times New Roman"/>
          <w:b/>
          <w:bCs/>
          <w:color w:val="000000" w:themeColor="text1"/>
          <w:lang w:val="en-HK"/>
        </w:rPr>
        <w:t>directly fulfill the primary right</w:t>
      </w:r>
      <w:r w:rsidRPr="00B90364">
        <w:rPr>
          <w:rFonts w:ascii="Times New Roman" w:hAnsi="Times New Roman"/>
          <w:color w:val="000000" w:themeColor="text1"/>
          <w:lang w:val="en-HK"/>
        </w:rPr>
        <w:t xml:space="preserve"> of the principal (P) but serves more as a </w:t>
      </w:r>
      <w:r w:rsidRPr="00B90364">
        <w:rPr>
          <w:rFonts w:ascii="Times New Roman" w:hAnsi="Times New Roman"/>
          <w:b/>
          <w:bCs/>
          <w:color w:val="000000" w:themeColor="text1"/>
          <w:lang w:val="en-HK"/>
        </w:rPr>
        <w:t>punitive</w:t>
      </w:r>
      <w:r w:rsidRPr="00B90364">
        <w:rPr>
          <w:rFonts w:ascii="Times New Roman" w:hAnsi="Times New Roman"/>
          <w:color w:val="000000" w:themeColor="text1"/>
          <w:lang w:val="en-HK"/>
        </w:rPr>
        <w:t xml:space="preserve"> measure to deter fiduciaries from breaching their duties.</w:t>
      </w:r>
    </w:p>
    <w:p w14:paraId="263A079B"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Conaglen</w:t>
      </w:r>
      <w:r w:rsidRPr="00B90364">
        <w:rPr>
          <w:rFonts w:ascii="Times New Roman" w:hAnsi="Times New Roman"/>
          <w:color w:val="000000" w:themeColor="text1"/>
          <w:lang w:val="en-HK"/>
        </w:rPr>
        <w:t xml:space="preserve"> defends the use of disgorgement as an effective tool to deter disloyalty, arguing that its role in promoting fiduciary loyalty justifies its application even if it deviates from traditional property law norms.</w:t>
      </w:r>
    </w:p>
    <w:p w14:paraId="1B428287"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Should There Be a True Proprietary Claim?</w:t>
      </w:r>
    </w:p>
    <w:p w14:paraId="619637E1"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There is significant debate over whether fiduciary breaches should give rise to </w:t>
      </w:r>
      <w:r w:rsidRPr="00B90364">
        <w:rPr>
          <w:rFonts w:ascii="Times New Roman" w:hAnsi="Times New Roman"/>
          <w:b/>
          <w:bCs/>
          <w:color w:val="000000" w:themeColor="text1"/>
          <w:lang w:val="en-HK"/>
        </w:rPr>
        <w:t>true proprietary claims</w:t>
      </w:r>
      <w:r w:rsidRPr="00B90364">
        <w:rPr>
          <w:rFonts w:ascii="Times New Roman" w:hAnsi="Times New Roman"/>
          <w:color w:val="000000" w:themeColor="text1"/>
          <w:lang w:val="en-HK"/>
        </w:rPr>
        <w:t xml:space="preserve"> or remain within the realm of </w:t>
      </w:r>
      <w:r w:rsidRPr="00B90364">
        <w:rPr>
          <w:rFonts w:ascii="Times New Roman" w:hAnsi="Times New Roman"/>
          <w:b/>
          <w:bCs/>
          <w:color w:val="000000" w:themeColor="text1"/>
          <w:lang w:val="en-HK"/>
        </w:rPr>
        <w:t>personal disgorgement</w:t>
      </w:r>
      <w:r w:rsidRPr="00B90364">
        <w:rPr>
          <w:rFonts w:ascii="Times New Roman" w:hAnsi="Times New Roman"/>
          <w:color w:val="000000" w:themeColor="text1"/>
          <w:lang w:val="en-HK"/>
        </w:rPr>
        <w:t>.</w:t>
      </w:r>
    </w:p>
    <w:p w14:paraId="5AEA8D7A"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Court’s Approach</w:t>
      </w:r>
    </w:p>
    <w:p w14:paraId="734259E2"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In </w:t>
      </w:r>
      <w:r w:rsidRPr="00B90364">
        <w:rPr>
          <w:rFonts w:ascii="Times New Roman" w:hAnsi="Times New Roman"/>
          <w:b/>
          <w:bCs/>
          <w:color w:val="000000" w:themeColor="text1"/>
          <w:lang w:val="en-HK"/>
        </w:rPr>
        <w:t>Sinclair Investments v Versailles (2011)</w:t>
      </w:r>
      <w:r w:rsidRPr="00B90364">
        <w:rPr>
          <w:rFonts w:ascii="Times New Roman" w:hAnsi="Times New Roman"/>
          <w:color w:val="000000" w:themeColor="text1"/>
          <w:lang w:val="en-HK"/>
        </w:rPr>
        <w:t xml:space="preserve">, the court held that proprietary claims could arise from assets derived directly from </w:t>
      </w:r>
      <w:r w:rsidRPr="00B90364">
        <w:rPr>
          <w:rFonts w:ascii="Times New Roman" w:hAnsi="Times New Roman"/>
          <w:b/>
          <w:bCs/>
          <w:color w:val="000000" w:themeColor="text1"/>
          <w:lang w:val="en-HK"/>
        </w:rPr>
        <w:t>P’s property</w:t>
      </w:r>
      <w:r w:rsidRPr="00B90364">
        <w:rPr>
          <w:rFonts w:ascii="Times New Roman" w:hAnsi="Times New Roman"/>
          <w:color w:val="000000" w:themeColor="text1"/>
          <w:lang w:val="en-HK"/>
        </w:rPr>
        <w:t xml:space="preserve">. The claim was linked to the principal’s </w:t>
      </w:r>
      <w:r w:rsidRPr="00B90364">
        <w:rPr>
          <w:rFonts w:ascii="Times New Roman" w:hAnsi="Times New Roman"/>
          <w:b/>
          <w:bCs/>
          <w:color w:val="000000" w:themeColor="text1"/>
          <w:lang w:val="en-HK"/>
        </w:rPr>
        <w:t>ownership rights</w:t>
      </w:r>
      <w:r w:rsidRPr="00B90364">
        <w:rPr>
          <w:rFonts w:ascii="Times New Roman" w:hAnsi="Times New Roman"/>
          <w:color w:val="000000" w:themeColor="text1"/>
          <w:lang w:val="en-HK"/>
        </w:rPr>
        <w:t xml:space="preserve"> rather than the fiduciary’s breach of duty. In </w:t>
      </w:r>
      <w:r w:rsidRPr="00B90364">
        <w:rPr>
          <w:rFonts w:ascii="Times New Roman" w:hAnsi="Times New Roman"/>
          <w:b/>
          <w:bCs/>
          <w:color w:val="000000" w:themeColor="text1"/>
          <w:lang w:val="en-HK"/>
        </w:rPr>
        <w:t>FHR European Ventures</w:t>
      </w:r>
      <w:r w:rsidRPr="00B90364">
        <w:rPr>
          <w:rFonts w:ascii="Times New Roman" w:hAnsi="Times New Roman"/>
          <w:color w:val="000000" w:themeColor="text1"/>
          <w:lang w:val="en-HK"/>
        </w:rPr>
        <w:t xml:space="preserve">, however, the court extended </w:t>
      </w:r>
      <w:r w:rsidRPr="00B90364">
        <w:rPr>
          <w:rFonts w:ascii="Times New Roman" w:hAnsi="Times New Roman"/>
          <w:b/>
          <w:bCs/>
          <w:color w:val="000000" w:themeColor="text1"/>
          <w:lang w:val="en-HK"/>
        </w:rPr>
        <w:t>proprietary claims</w:t>
      </w:r>
      <w:r w:rsidRPr="00B90364">
        <w:rPr>
          <w:rFonts w:ascii="Times New Roman" w:hAnsi="Times New Roman"/>
          <w:color w:val="000000" w:themeColor="text1"/>
          <w:lang w:val="en-HK"/>
        </w:rPr>
        <w:t xml:space="preserve"> to </w:t>
      </w:r>
      <w:r w:rsidRPr="00B90364">
        <w:rPr>
          <w:rFonts w:ascii="Times New Roman" w:hAnsi="Times New Roman"/>
          <w:b/>
          <w:bCs/>
          <w:color w:val="000000" w:themeColor="text1"/>
          <w:lang w:val="en-HK"/>
        </w:rPr>
        <w:t>bribes</w:t>
      </w:r>
      <w:r w:rsidRPr="00B90364">
        <w:rPr>
          <w:rFonts w:ascii="Times New Roman" w:hAnsi="Times New Roman"/>
          <w:color w:val="000000" w:themeColor="text1"/>
          <w:lang w:val="en-HK"/>
        </w:rPr>
        <w:t xml:space="preserve"> and profits derived from breaches </w:t>
      </w:r>
      <w:r w:rsidRPr="00B90364">
        <w:rPr>
          <w:rFonts w:ascii="Times New Roman" w:hAnsi="Times New Roman"/>
          <w:color w:val="000000" w:themeColor="text1"/>
          <w:lang w:val="en-HK"/>
        </w:rPr>
        <w:lastRenderedPageBreak/>
        <w:t>of fiduciary duty, even though these profits were not directly linked to the principal’s property.</w:t>
      </w:r>
    </w:p>
    <w:p w14:paraId="537F27C4"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Scholarly Views</w:t>
      </w:r>
    </w:p>
    <w:p w14:paraId="50255D00"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Support for Proprietary Claims</w:t>
      </w:r>
      <w:r w:rsidRPr="00B90364">
        <w:rPr>
          <w:rFonts w:ascii="Times New Roman" w:hAnsi="Times New Roman"/>
          <w:color w:val="000000" w:themeColor="text1"/>
          <w:lang w:val="en-HK"/>
        </w:rPr>
        <w:t xml:space="preserve">: Scholars argue that intangible assets like </w:t>
      </w:r>
      <w:r w:rsidRPr="00B90364">
        <w:rPr>
          <w:rFonts w:ascii="Times New Roman" w:hAnsi="Times New Roman"/>
          <w:b/>
          <w:bCs/>
          <w:color w:val="000000" w:themeColor="text1"/>
          <w:lang w:val="en-HK"/>
        </w:rPr>
        <w:t>confidential information</w:t>
      </w:r>
      <w:r w:rsidRPr="00B90364">
        <w:rPr>
          <w:rFonts w:ascii="Times New Roman" w:hAnsi="Times New Roman"/>
          <w:color w:val="000000" w:themeColor="text1"/>
          <w:lang w:val="en-HK"/>
        </w:rPr>
        <w:t xml:space="preserve"> or </w:t>
      </w:r>
      <w:r w:rsidRPr="00B90364">
        <w:rPr>
          <w:rFonts w:ascii="Times New Roman" w:hAnsi="Times New Roman"/>
          <w:b/>
          <w:bCs/>
          <w:color w:val="000000" w:themeColor="text1"/>
          <w:lang w:val="en-HK"/>
        </w:rPr>
        <w:t>business opportunities</w:t>
      </w:r>
      <w:r w:rsidRPr="00B90364">
        <w:rPr>
          <w:rFonts w:ascii="Times New Roman" w:hAnsi="Times New Roman"/>
          <w:color w:val="000000" w:themeColor="text1"/>
          <w:lang w:val="en-HK"/>
        </w:rPr>
        <w:t xml:space="preserve"> can be treated as </w:t>
      </w:r>
      <w:r w:rsidRPr="00B90364">
        <w:rPr>
          <w:rFonts w:ascii="Times New Roman" w:hAnsi="Times New Roman"/>
          <w:b/>
          <w:bCs/>
          <w:color w:val="000000" w:themeColor="text1"/>
          <w:lang w:val="en-HK"/>
        </w:rPr>
        <w:t>property</w:t>
      </w:r>
      <w:r w:rsidRPr="00B90364">
        <w:rPr>
          <w:rFonts w:ascii="Times New Roman" w:hAnsi="Times New Roman"/>
          <w:color w:val="000000" w:themeColor="text1"/>
          <w:lang w:val="en-HK"/>
        </w:rPr>
        <w:t xml:space="preserve">. This would justify the </w:t>
      </w:r>
      <w:r w:rsidRPr="00B90364">
        <w:rPr>
          <w:rFonts w:ascii="Times New Roman" w:hAnsi="Times New Roman"/>
          <w:b/>
          <w:bCs/>
          <w:color w:val="000000" w:themeColor="text1"/>
          <w:lang w:val="en-HK"/>
        </w:rPr>
        <w:t>proprietary claim</w:t>
      </w:r>
      <w:r w:rsidRPr="00B90364">
        <w:rPr>
          <w:rFonts w:ascii="Times New Roman" w:hAnsi="Times New Roman"/>
          <w:color w:val="000000" w:themeColor="text1"/>
          <w:lang w:val="en-HK"/>
        </w:rPr>
        <w:t xml:space="preserve"> for profits made by fiduciaries who misuse these assets. This approach protects the principal's interests and prevents fiduciaries from using their position for personal gain at the expense of the owner.</w:t>
      </w:r>
    </w:p>
    <w:p w14:paraId="446D97D3"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Opposition</w:t>
      </w:r>
      <w:r w:rsidRPr="00B90364">
        <w:rPr>
          <w:rFonts w:ascii="Times New Roman" w:hAnsi="Times New Roman"/>
          <w:color w:val="000000" w:themeColor="text1"/>
          <w:lang w:val="en-HK"/>
        </w:rPr>
        <w:t xml:space="preserve">: Critics caution that broadening proprietary claims could distort the clear line between </w:t>
      </w:r>
      <w:r w:rsidRPr="00B90364">
        <w:rPr>
          <w:rFonts w:ascii="Times New Roman" w:hAnsi="Times New Roman"/>
          <w:b/>
          <w:bCs/>
          <w:color w:val="000000" w:themeColor="text1"/>
          <w:lang w:val="en-HK"/>
        </w:rPr>
        <w:t>ownership</w:t>
      </w:r>
      <w:r w:rsidRPr="00B90364">
        <w:rPr>
          <w:rFonts w:ascii="Times New Roman" w:hAnsi="Times New Roman"/>
          <w:color w:val="000000" w:themeColor="text1"/>
          <w:lang w:val="en-HK"/>
        </w:rPr>
        <w:t xml:space="preserve"> of property and the enforcement of </w:t>
      </w:r>
      <w:r w:rsidRPr="00B90364">
        <w:rPr>
          <w:rFonts w:ascii="Times New Roman" w:hAnsi="Times New Roman"/>
          <w:b/>
          <w:bCs/>
          <w:color w:val="000000" w:themeColor="text1"/>
          <w:lang w:val="en-HK"/>
        </w:rPr>
        <w:t>fiduciary duties</w:t>
      </w:r>
      <w:r w:rsidRPr="00B90364">
        <w:rPr>
          <w:rFonts w:ascii="Times New Roman" w:hAnsi="Times New Roman"/>
          <w:color w:val="000000" w:themeColor="text1"/>
          <w:lang w:val="en-HK"/>
        </w:rPr>
        <w:t>, complicating legal distinctions in equity.</w:t>
      </w:r>
    </w:p>
    <w:p w14:paraId="3B6656CA"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Key Considerations</w:t>
      </w:r>
    </w:p>
    <w:p w14:paraId="601C54C1"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Property as a Precondition</w:t>
      </w:r>
      <w:r w:rsidRPr="00B90364">
        <w:rPr>
          <w:rFonts w:ascii="Times New Roman" w:hAnsi="Times New Roman"/>
          <w:color w:val="000000" w:themeColor="text1"/>
          <w:lang w:val="en-HK"/>
        </w:rPr>
        <w:t xml:space="preserve">: </w:t>
      </w:r>
      <w:r w:rsidRPr="00B90364">
        <w:rPr>
          <w:rFonts w:ascii="Times New Roman" w:hAnsi="Times New Roman"/>
          <w:b/>
          <w:bCs/>
          <w:color w:val="000000" w:themeColor="text1"/>
          <w:lang w:val="en-HK"/>
        </w:rPr>
        <w:t>Lord Neuberger</w:t>
      </w:r>
      <w:r w:rsidRPr="00B90364">
        <w:rPr>
          <w:rFonts w:ascii="Times New Roman" w:hAnsi="Times New Roman"/>
          <w:color w:val="000000" w:themeColor="text1"/>
          <w:lang w:val="en-HK"/>
        </w:rPr>
        <w:t xml:space="preserve">, in </w:t>
      </w:r>
      <w:r w:rsidRPr="00B90364">
        <w:rPr>
          <w:rFonts w:ascii="Times New Roman" w:hAnsi="Times New Roman"/>
          <w:b/>
          <w:bCs/>
          <w:color w:val="000000" w:themeColor="text1"/>
          <w:lang w:val="en-HK"/>
        </w:rPr>
        <w:t>Sinclair Investments</w:t>
      </w:r>
      <w:r w:rsidRPr="00B90364">
        <w:rPr>
          <w:rFonts w:ascii="Times New Roman" w:hAnsi="Times New Roman"/>
          <w:color w:val="000000" w:themeColor="text1"/>
          <w:lang w:val="en-HK"/>
        </w:rPr>
        <w:t xml:space="preserve">, argued that proprietary claims should arise based on </w:t>
      </w:r>
      <w:r w:rsidRPr="00B90364">
        <w:rPr>
          <w:rFonts w:ascii="Times New Roman" w:hAnsi="Times New Roman"/>
          <w:b/>
          <w:bCs/>
          <w:color w:val="000000" w:themeColor="text1"/>
          <w:lang w:val="en-HK"/>
        </w:rPr>
        <w:t>P’s ownership rights</w:t>
      </w:r>
      <w:r w:rsidRPr="00B90364">
        <w:rPr>
          <w:rFonts w:ascii="Times New Roman" w:hAnsi="Times New Roman"/>
          <w:color w:val="000000" w:themeColor="text1"/>
          <w:lang w:val="en-HK"/>
        </w:rPr>
        <w:t xml:space="preserve"> over the asset, not solely from the fiduciary’s breach of duty or the </w:t>
      </w:r>
      <w:r w:rsidRPr="00B90364">
        <w:rPr>
          <w:rFonts w:ascii="Times New Roman" w:hAnsi="Times New Roman"/>
          <w:b/>
          <w:bCs/>
          <w:color w:val="000000" w:themeColor="text1"/>
          <w:lang w:val="en-HK"/>
        </w:rPr>
        <w:t>no-conflict rule</w:t>
      </w:r>
      <w:r w:rsidRPr="00B90364">
        <w:rPr>
          <w:rFonts w:ascii="Times New Roman" w:hAnsi="Times New Roman"/>
          <w:color w:val="000000" w:themeColor="text1"/>
          <w:lang w:val="en-HK"/>
        </w:rPr>
        <w:t xml:space="preserve">. Thus, for a fiduciary breach to trigger a proprietary claim, the </w:t>
      </w:r>
      <w:r w:rsidRPr="00B90364">
        <w:rPr>
          <w:rFonts w:ascii="Times New Roman" w:hAnsi="Times New Roman"/>
          <w:b/>
          <w:bCs/>
          <w:color w:val="000000" w:themeColor="text1"/>
          <w:lang w:val="en-HK"/>
        </w:rPr>
        <w:t>asset must be connected</w:t>
      </w:r>
      <w:r w:rsidRPr="00B90364">
        <w:rPr>
          <w:rFonts w:ascii="Times New Roman" w:hAnsi="Times New Roman"/>
          <w:color w:val="000000" w:themeColor="text1"/>
          <w:lang w:val="en-HK"/>
        </w:rPr>
        <w:t xml:space="preserve"> to P’s property.</w:t>
      </w:r>
    </w:p>
    <w:p w14:paraId="39EC53FE"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Limitations</w:t>
      </w:r>
      <w:r w:rsidRPr="00B90364">
        <w:rPr>
          <w:rFonts w:ascii="Times New Roman" w:hAnsi="Times New Roman"/>
          <w:color w:val="000000" w:themeColor="text1"/>
          <w:lang w:val="en-HK"/>
        </w:rPr>
        <w:t xml:space="preserve">: </w:t>
      </w:r>
      <w:r w:rsidRPr="00B90364">
        <w:rPr>
          <w:rFonts w:ascii="Times New Roman" w:hAnsi="Times New Roman"/>
          <w:b/>
          <w:bCs/>
          <w:color w:val="000000" w:themeColor="text1"/>
          <w:lang w:val="en-HK"/>
        </w:rPr>
        <w:t>Bribes</w:t>
      </w:r>
      <w:r w:rsidRPr="00B90364">
        <w:rPr>
          <w:rFonts w:ascii="Times New Roman" w:hAnsi="Times New Roman"/>
          <w:color w:val="000000" w:themeColor="text1"/>
          <w:lang w:val="en-HK"/>
        </w:rPr>
        <w:t xml:space="preserve">, </w:t>
      </w:r>
      <w:r w:rsidRPr="00B90364">
        <w:rPr>
          <w:rFonts w:ascii="Times New Roman" w:hAnsi="Times New Roman"/>
          <w:b/>
          <w:bCs/>
          <w:color w:val="000000" w:themeColor="text1"/>
          <w:lang w:val="en-HK"/>
        </w:rPr>
        <w:t>secret commissions</w:t>
      </w:r>
      <w:r w:rsidRPr="00B90364">
        <w:rPr>
          <w:rFonts w:ascii="Times New Roman" w:hAnsi="Times New Roman"/>
          <w:color w:val="000000" w:themeColor="text1"/>
          <w:lang w:val="en-HK"/>
        </w:rPr>
        <w:t xml:space="preserve">, and profits derived from </w:t>
      </w:r>
      <w:r w:rsidRPr="00B90364">
        <w:rPr>
          <w:rFonts w:ascii="Times New Roman" w:hAnsi="Times New Roman"/>
          <w:b/>
          <w:bCs/>
          <w:color w:val="000000" w:themeColor="text1"/>
          <w:lang w:val="en-HK"/>
        </w:rPr>
        <w:t>F’s personal reputation</w:t>
      </w:r>
      <w:r w:rsidRPr="00B90364">
        <w:rPr>
          <w:rFonts w:ascii="Times New Roman" w:hAnsi="Times New Roman"/>
          <w:color w:val="000000" w:themeColor="text1"/>
          <w:lang w:val="en-HK"/>
        </w:rPr>
        <w:t xml:space="preserve"> are excluded from proprietary claims because they do not originate from the principal’s assets and are therefore outside the scope of constructive trusts.</w:t>
      </w:r>
    </w:p>
    <w:p w14:paraId="3A5F15FC" w14:textId="77777777" w:rsidR="00702A83"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2C8CC079">
          <v:rect id="_x0000_i1026" alt="" style="width:451.3pt;height:.05pt;mso-width-percent:0;mso-height-percent:0;mso-width-percent:0;mso-height-percent:0" o:hralign="center" o:hrstd="t" o:hr="t" fillcolor="#a0a0a0" stroked="f"/>
        </w:pict>
      </w:r>
    </w:p>
    <w:p w14:paraId="6CDB2ECC" w14:textId="77777777" w:rsidR="00702A83" w:rsidRPr="00B90364" w:rsidRDefault="00702A83" w:rsidP="00B90364">
      <w:pPr>
        <w:spacing w:before="100" w:beforeAutospacing="1" w:after="240" w:line="360" w:lineRule="auto"/>
        <w:outlineLvl w:val="2"/>
        <w:rPr>
          <w:rFonts w:ascii="Times New Roman" w:hAnsi="Times New Roman"/>
          <w:b/>
          <w:bCs/>
          <w:color w:val="000000" w:themeColor="text1"/>
          <w:lang w:val="en-HK"/>
        </w:rPr>
      </w:pPr>
      <w:r w:rsidRPr="00B90364">
        <w:rPr>
          <w:rFonts w:ascii="Times New Roman" w:hAnsi="Times New Roman"/>
          <w:b/>
          <w:bCs/>
          <w:color w:val="000000" w:themeColor="text1"/>
          <w:lang w:val="en-HK"/>
        </w:rPr>
        <w:t>Section 4: The Common Intention Constructive Trust</w:t>
      </w:r>
    </w:p>
    <w:p w14:paraId="2F9F488A"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The Central Issue: The Family Home</w:t>
      </w:r>
    </w:p>
    <w:p w14:paraId="0CAE965A"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A central issue in family law is whether a non-legal owner (typically the wife, W) has a </w:t>
      </w:r>
      <w:r w:rsidRPr="00B90364">
        <w:rPr>
          <w:rFonts w:ascii="Times New Roman" w:hAnsi="Times New Roman"/>
          <w:b/>
          <w:bCs/>
          <w:color w:val="000000" w:themeColor="text1"/>
          <w:lang w:val="en-HK"/>
        </w:rPr>
        <w:t>beneficial interest</w:t>
      </w:r>
      <w:r w:rsidRPr="00B90364">
        <w:rPr>
          <w:rFonts w:ascii="Times New Roman" w:hAnsi="Times New Roman"/>
          <w:color w:val="000000" w:themeColor="text1"/>
          <w:lang w:val="en-HK"/>
        </w:rPr>
        <w:t xml:space="preserve"> in the family home upon separation from her partner (M), who holds legal ownership. While M may have purchased the property and is legally entitled to it, W often makes </w:t>
      </w:r>
      <w:r w:rsidRPr="00B90364">
        <w:rPr>
          <w:rFonts w:ascii="Times New Roman" w:hAnsi="Times New Roman"/>
          <w:b/>
          <w:bCs/>
          <w:color w:val="000000" w:themeColor="text1"/>
          <w:lang w:val="en-HK"/>
        </w:rPr>
        <w:t>non-financial contributions</w:t>
      </w:r>
      <w:r w:rsidRPr="00B90364">
        <w:rPr>
          <w:rFonts w:ascii="Times New Roman" w:hAnsi="Times New Roman"/>
          <w:color w:val="000000" w:themeColor="text1"/>
          <w:lang w:val="en-HK"/>
        </w:rPr>
        <w:t xml:space="preserve"> such as homemaking or supporting M’s career. These </w:t>
      </w:r>
      <w:r w:rsidRPr="00B90364">
        <w:rPr>
          <w:rFonts w:ascii="Times New Roman" w:hAnsi="Times New Roman"/>
          <w:color w:val="000000" w:themeColor="text1"/>
          <w:lang w:val="en-HK"/>
        </w:rPr>
        <w:lastRenderedPageBreak/>
        <w:t>non-financial contributions are often critical in whether W should be granted a share of the property.</w:t>
      </w:r>
    </w:p>
    <w:p w14:paraId="20CAA15C"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Lord Denning’s "New Model" Constructive Trust</w:t>
      </w:r>
    </w:p>
    <w:p w14:paraId="189D15C6"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Lord </w:t>
      </w:r>
      <w:r w:rsidRPr="00B90364">
        <w:rPr>
          <w:rFonts w:ascii="Times New Roman" w:hAnsi="Times New Roman"/>
          <w:b/>
          <w:bCs/>
          <w:color w:val="000000" w:themeColor="text1"/>
          <w:lang w:val="en-HK"/>
        </w:rPr>
        <w:t>Denning</w:t>
      </w:r>
      <w:r w:rsidRPr="00B90364">
        <w:rPr>
          <w:rFonts w:ascii="Times New Roman" w:hAnsi="Times New Roman"/>
          <w:color w:val="000000" w:themeColor="text1"/>
          <w:lang w:val="en-HK"/>
        </w:rPr>
        <w:t xml:space="preserve"> proposed an </w:t>
      </w:r>
      <w:r w:rsidRPr="00B90364">
        <w:rPr>
          <w:rFonts w:ascii="Times New Roman" w:hAnsi="Times New Roman"/>
          <w:b/>
          <w:bCs/>
          <w:color w:val="000000" w:themeColor="text1"/>
          <w:lang w:val="en-HK"/>
        </w:rPr>
        <w:t>equitable model</w:t>
      </w:r>
      <w:r w:rsidRPr="00B90364">
        <w:rPr>
          <w:rFonts w:ascii="Times New Roman" w:hAnsi="Times New Roman"/>
          <w:color w:val="000000" w:themeColor="text1"/>
          <w:lang w:val="en-HK"/>
        </w:rPr>
        <w:t xml:space="preserve"> in which property rights should reflect the </w:t>
      </w:r>
      <w:r w:rsidRPr="00B90364">
        <w:rPr>
          <w:rFonts w:ascii="Times New Roman" w:hAnsi="Times New Roman"/>
          <w:b/>
          <w:bCs/>
          <w:color w:val="000000" w:themeColor="text1"/>
          <w:lang w:val="en-HK"/>
        </w:rPr>
        <w:t>contributions</w:t>
      </w:r>
      <w:r w:rsidRPr="00B90364">
        <w:rPr>
          <w:rFonts w:ascii="Times New Roman" w:hAnsi="Times New Roman"/>
          <w:color w:val="000000" w:themeColor="text1"/>
          <w:lang w:val="en-HK"/>
        </w:rPr>
        <w:t xml:space="preserve"> of both parties, even if one was not the legal owner. This model was intended to address the inequality faced by W, who might have sacrificed her career to support the family.</w:t>
      </w:r>
    </w:p>
    <w:p w14:paraId="5D590E1E"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Fairness Consideration: Denning argued that fairness required W to be entitled to a share in the home if her contributions justified it, even if she did not hold legal title.</w:t>
      </w:r>
    </w:p>
    <w:p w14:paraId="3C7F6FC9"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Rejection of Denning's Model: This approach was rejected by most other judges due to concerns about:</w:t>
      </w:r>
    </w:p>
    <w:p w14:paraId="7FF05885"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Uncertainty</w:t>
      </w:r>
      <w:r w:rsidRPr="00B90364">
        <w:rPr>
          <w:rFonts w:ascii="Times New Roman" w:hAnsi="Times New Roman"/>
          <w:color w:val="000000" w:themeColor="text1"/>
          <w:lang w:val="en-HK"/>
        </w:rPr>
        <w:t>: The reliance on fairness was seen as too vague and lacking clear legal standards, making it hard to apply consistently in future cases.</w:t>
      </w:r>
    </w:p>
    <w:p w14:paraId="4280D2BD"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Case Law</w:t>
      </w:r>
      <w:r w:rsidRPr="00B90364">
        <w:rPr>
          <w:rFonts w:ascii="Times New Roman" w:hAnsi="Times New Roman"/>
          <w:color w:val="000000" w:themeColor="text1"/>
          <w:lang w:val="en-HK"/>
        </w:rPr>
        <w:t xml:space="preserve">: In </w:t>
      </w:r>
      <w:r w:rsidRPr="00B90364">
        <w:rPr>
          <w:rFonts w:ascii="Times New Roman" w:hAnsi="Times New Roman"/>
          <w:b/>
          <w:bCs/>
          <w:color w:val="000000" w:themeColor="text1"/>
          <w:lang w:val="en-HK"/>
        </w:rPr>
        <w:t>Eves v Eves (1975)</w:t>
      </w:r>
      <w:r w:rsidRPr="00B90364">
        <w:rPr>
          <w:rFonts w:ascii="Times New Roman" w:hAnsi="Times New Roman"/>
          <w:color w:val="000000" w:themeColor="text1"/>
          <w:lang w:val="en-HK"/>
        </w:rPr>
        <w:t xml:space="preserve"> and </w:t>
      </w:r>
      <w:r w:rsidRPr="00B90364">
        <w:rPr>
          <w:rFonts w:ascii="Times New Roman" w:hAnsi="Times New Roman"/>
          <w:b/>
          <w:bCs/>
          <w:color w:val="000000" w:themeColor="text1"/>
          <w:lang w:val="en-HK"/>
        </w:rPr>
        <w:t>Hussey v Palmer (1972)</w:t>
      </w:r>
      <w:r w:rsidRPr="00B90364">
        <w:rPr>
          <w:rFonts w:ascii="Times New Roman" w:hAnsi="Times New Roman"/>
          <w:color w:val="000000" w:themeColor="text1"/>
          <w:lang w:val="en-HK"/>
        </w:rPr>
        <w:t>, Denning's approach was critiqued for causing confusion and lacking a clear legal foundation.</w:t>
      </w:r>
    </w:p>
    <w:p w14:paraId="63217034"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Section 4: The Common Intention Constructive Trust</w:t>
      </w:r>
    </w:p>
    <w:p w14:paraId="14DA690A"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This model evolved from Denning's ideas but incorporated clearer guidelines for recognizing property rights in family situations. The focus is on </w:t>
      </w:r>
      <w:r w:rsidRPr="00B90364">
        <w:rPr>
          <w:rFonts w:ascii="Times New Roman" w:hAnsi="Times New Roman"/>
          <w:b/>
          <w:bCs/>
          <w:color w:val="000000" w:themeColor="text1"/>
          <w:lang w:val="en-HK"/>
        </w:rPr>
        <w:t>common intention</w:t>
      </w:r>
      <w:r w:rsidRPr="00B90364">
        <w:rPr>
          <w:rFonts w:ascii="Times New Roman" w:hAnsi="Times New Roman"/>
          <w:color w:val="000000" w:themeColor="text1"/>
          <w:lang w:val="en-HK"/>
        </w:rPr>
        <w:t xml:space="preserve"> between the partners.</w:t>
      </w:r>
    </w:p>
    <w:p w14:paraId="19FC5890"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Core Principle: M retains ownership unless W can show that there was a mutual intention between them that W should have an interest in the property.</w:t>
      </w:r>
    </w:p>
    <w:p w14:paraId="00DE3B12"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Legal Standard: For W to claim a share in the home, she must demonstrate that M and W shared an understanding or agreement about the ownership of the property.</w:t>
      </w:r>
    </w:p>
    <w:p w14:paraId="688CE233"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Evidence of Common Intention</w:t>
      </w:r>
    </w:p>
    <w:p w14:paraId="7FCEB55C"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lastRenderedPageBreak/>
        <w:t xml:space="preserve">The requirements for </w:t>
      </w:r>
      <w:r w:rsidRPr="00B90364">
        <w:rPr>
          <w:rFonts w:ascii="Times New Roman" w:hAnsi="Times New Roman"/>
          <w:b/>
          <w:bCs/>
          <w:color w:val="000000" w:themeColor="text1"/>
          <w:lang w:val="en-HK"/>
        </w:rPr>
        <w:t>common intention</w:t>
      </w:r>
      <w:r w:rsidRPr="00B90364">
        <w:rPr>
          <w:rFonts w:ascii="Times New Roman" w:hAnsi="Times New Roman"/>
          <w:color w:val="000000" w:themeColor="text1"/>
          <w:lang w:val="en-HK"/>
        </w:rPr>
        <w:t xml:space="preserve"> have evolved, especially after key cases like </w:t>
      </w:r>
      <w:r w:rsidRPr="00B90364">
        <w:rPr>
          <w:rFonts w:ascii="Times New Roman" w:hAnsi="Times New Roman"/>
          <w:b/>
          <w:bCs/>
          <w:color w:val="000000" w:themeColor="text1"/>
          <w:lang w:val="en-HK"/>
        </w:rPr>
        <w:t>Stack v Dowden (2007)</w:t>
      </w:r>
      <w:r w:rsidRPr="00B90364">
        <w:rPr>
          <w:rFonts w:ascii="Times New Roman" w:hAnsi="Times New Roman"/>
          <w:color w:val="000000" w:themeColor="text1"/>
          <w:lang w:val="en-HK"/>
        </w:rPr>
        <w:t xml:space="preserve"> and </w:t>
      </w:r>
      <w:r w:rsidRPr="00B90364">
        <w:rPr>
          <w:rFonts w:ascii="Times New Roman" w:hAnsi="Times New Roman"/>
          <w:b/>
          <w:bCs/>
          <w:color w:val="000000" w:themeColor="text1"/>
          <w:lang w:val="en-HK"/>
        </w:rPr>
        <w:t>Jones v Kernott (2011)</w:t>
      </w:r>
      <w:r w:rsidRPr="00B90364">
        <w:rPr>
          <w:rFonts w:ascii="Times New Roman" w:hAnsi="Times New Roman"/>
          <w:color w:val="000000" w:themeColor="text1"/>
          <w:lang w:val="en-HK"/>
        </w:rPr>
        <w:t>. These cases expanded the criteria for recognizing common intention beyond financial contributions:</w:t>
      </w:r>
    </w:p>
    <w:p w14:paraId="3810993C"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Express Agreement</w:t>
      </w:r>
      <w:r w:rsidRPr="00B90364">
        <w:rPr>
          <w:rFonts w:ascii="Times New Roman" w:hAnsi="Times New Roman"/>
          <w:color w:val="000000" w:themeColor="text1"/>
          <w:lang w:val="en-HK"/>
        </w:rPr>
        <w:t>: A verbal or written agreement between M and W stating that W would have an interest in the home.</w:t>
      </w:r>
    </w:p>
    <w:p w14:paraId="6FD37493"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Pecuniary Contributions</w:t>
      </w:r>
      <w:r w:rsidRPr="00B90364">
        <w:rPr>
          <w:rFonts w:ascii="Times New Roman" w:hAnsi="Times New Roman"/>
          <w:color w:val="000000" w:themeColor="text1"/>
          <w:lang w:val="en-HK"/>
        </w:rPr>
        <w:t>: Financial contributions made by W towards the acquisition or upkeep of the property.</w:t>
      </w:r>
    </w:p>
    <w:p w14:paraId="1E2C2D2E"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Expanded Criteria</w:t>
      </w:r>
      <w:r w:rsidRPr="00B90364">
        <w:rPr>
          <w:rFonts w:ascii="Times New Roman" w:hAnsi="Times New Roman"/>
          <w:color w:val="000000" w:themeColor="text1"/>
          <w:lang w:val="en-HK"/>
        </w:rPr>
        <w:t>: The court now considers factors like:</w:t>
      </w:r>
    </w:p>
    <w:p w14:paraId="1FCE0844" w14:textId="77777777" w:rsidR="00702A83" w:rsidRPr="00CA6DC2" w:rsidRDefault="00702A83" w:rsidP="00CA6DC2">
      <w:pPr>
        <w:pStyle w:val="ListParagraph"/>
        <w:numPr>
          <w:ilvl w:val="0"/>
          <w:numId w:val="52"/>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Purpose of the Property</w:t>
      </w:r>
      <w:r w:rsidRPr="00CA6DC2">
        <w:rPr>
          <w:rFonts w:ascii="Times New Roman" w:hAnsi="Times New Roman"/>
          <w:color w:val="000000" w:themeColor="text1"/>
          <w:lang w:val="en-HK"/>
        </w:rPr>
        <w:t>: Was the property meant to be a family home or an investment?</w:t>
      </w:r>
    </w:p>
    <w:p w14:paraId="3E1FE847" w14:textId="77777777" w:rsidR="00702A83" w:rsidRPr="00CA6DC2" w:rsidRDefault="00702A83" w:rsidP="00CA6DC2">
      <w:pPr>
        <w:pStyle w:val="ListParagraph"/>
        <w:numPr>
          <w:ilvl w:val="0"/>
          <w:numId w:val="52"/>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Nature of the Relationship</w:t>
      </w:r>
      <w:r w:rsidRPr="00CA6DC2">
        <w:rPr>
          <w:rFonts w:ascii="Times New Roman" w:hAnsi="Times New Roman"/>
          <w:color w:val="000000" w:themeColor="text1"/>
          <w:lang w:val="en-HK"/>
        </w:rPr>
        <w:t>: Whether the relationship was long-term or transient.</w:t>
      </w:r>
    </w:p>
    <w:p w14:paraId="691EC1E2" w14:textId="77777777" w:rsidR="00702A83" w:rsidRPr="00CA6DC2" w:rsidRDefault="00702A83" w:rsidP="00CA6DC2">
      <w:pPr>
        <w:pStyle w:val="ListParagraph"/>
        <w:numPr>
          <w:ilvl w:val="0"/>
          <w:numId w:val="52"/>
        </w:numPr>
        <w:spacing w:before="100" w:beforeAutospacing="1" w:after="240" w:line="360" w:lineRule="auto"/>
        <w:rPr>
          <w:rFonts w:ascii="Times New Roman" w:hAnsi="Times New Roman"/>
          <w:color w:val="000000" w:themeColor="text1"/>
          <w:lang w:val="en-HK"/>
        </w:rPr>
      </w:pPr>
      <w:r w:rsidRPr="00CA6DC2">
        <w:rPr>
          <w:rFonts w:ascii="Times New Roman" w:hAnsi="Times New Roman"/>
          <w:b/>
          <w:bCs/>
          <w:color w:val="000000" w:themeColor="text1"/>
          <w:lang w:val="en-HK"/>
        </w:rPr>
        <w:t>Dependent Children</w:t>
      </w:r>
      <w:r w:rsidRPr="00CA6DC2">
        <w:rPr>
          <w:rFonts w:ascii="Times New Roman" w:hAnsi="Times New Roman"/>
          <w:color w:val="000000" w:themeColor="text1"/>
          <w:lang w:val="en-HK"/>
        </w:rPr>
        <w:t>: If children are involved, W’s contributions to their care may influence her claim.</w:t>
      </w:r>
    </w:p>
    <w:p w14:paraId="5C00EFFD"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Effect: The expanded criteria allow for more flexibility in considering the reality of family life. However, the court still insists that any claim W makes must be supported by evidence directly related to property ownership.</w:t>
      </w:r>
    </w:p>
    <w:p w14:paraId="2B03A48A"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Scholarly and Judicial Critiques</w:t>
      </w:r>
    </w:p>
    <w:p w14:paraId="45CBFDA0"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Artificiality of Intention</w:t>
      </w:r>
      <w:r w:rsidRPr="00B90364">
        <w:rPr>
          <w:rFonts w:ascii="Times New Roman" w:hAnsi="Times New Roman"/>
          <w:color w:val="000000" w:themeColor="text1"/>
          <w:lang w:val="en-HK"/>
        </w:rPr>
        <w:t xml:space="preserve">: Scholars like </w:t>
      </w:r>
      <w:r w:rsidRPr="00B90364">
        <w:rPr>
          <w:rFonts w:ascii="Times New Roman" w:hAnsi="Times New Roman"/>
          <w:b/>
          <w:bCs/>
          <w:color w:val="000000" w:themeColor="text1"/>
          <w:lang w:val="en-HK"/>
        </w:rPr>
        <w:t>S. Gardner</w:t>
      </w:r>
      <w:r w:rsidRPr="00B90364">
        <w:rPr>
          <w:rFonts w:ascii="Times New Roman" w:hAnsi="Times New Roman"/>
          <w:color w:val="000000" w:themeColor="text1"/>
          <w:lang w:val="en-HK"/>
        </w:rPr>
        <w:t xml:space="preserve"> criticize the search for </w:t>
      </w:r>
      <w:r w:rsidRPr="00B90364">
        <w:rPr>
          <w:rFonts w:ascii="Times New Roman" w:hAnsi="Times New Roman"/>
          <w:b/>
          <w:bCs/>
          <w:color w:val="000000" w:themeColor="text1"/>
          <w:lang w:val="en-HK"/>
        </w:rPr>
        <w:t>common intention</w:t>
      </w:r>
      <w:r w:rsidRPr="00B90364">
        <w:rPr>
          <w:rFonts w:ascii="Times New Roman" w:hAnsi="Times New Roman"/>
          <w:color w:val="000000" w:themeColor="text1"/>
          <w:lang w:val="en-HK"/>
        </w:rPr>
        <w:t>, arguing that it can be contrived or artificial. They suggest that the judicial search for intention may not always reflect the true understanding between partners.</w:t>
      </w:r>
    </w:p>
    <w:p w14:paraId="3DCDC582"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Fairness and Property</w:t>
      </w:r>
      <w:r w:rsidRPr="00B90364">
        <w:rPr>
          <w:rFonts w:ascii="Times New Roman" w:hAnsi="Times New Roman"/>
          <w:color w:val="000000" w:themeColor="text1"/>
          <w:lang w:val="en-HK"/>
        </w:rPr>
        <w:t xml:space="preserve">: Critics argue that fairness considerations should relate to </w:t>
      </w:r>
      <w:r w:rsidRPr="00B90364">
        <w:rPr>
          <w:rFonts w:ascii="Times New Roman" w:hAnsi="Times New Roman"/>
          <w:b/>
          <w:bCs/>
          <w:color w:val="000000" w:themeColor="text1"/>
          <w:lang w:val="en-HK"/>
        </w:rPr>
        <w:t>moral obligations</w:t>
      </w:r>
      <w:r w:rsidRPr="00B90364">
        <w:rPr>
          <w:rFonts w:ascii="Times New Roman" w:hAnsi="Times New Roman"/>
          <w:color w:val="000000" w:themeColor="text1"/>
          <w:lang w:val="en-HK"/>
        </w:rPr>
        <w:t xml:space="preserve"> between partners, not property law. They contend that this conflates personal and proprietary claims, potentially confusing legal principles.</w:t>
      </w:r>
    </w:p>
    <w:p w14:paraId="1A1ED2A9"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Remedial Consistency Analysis</w:t>
      </w:r>
    </w:p>
    <w:p w14:paraId="2B846D58"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Primary Relation</w:t>
      </w:r>
      <w:r w:rsidRPr="00B90364">
        <w:rPr>
          <w:rFonts w:ascii="Times New Roman" w:hAnsi="Times New Roman"/>
          <w:color w:val="000000" w:themeColor="text1"/>
          <w:lang w:val="en-HK"/>
        </w:rPr>
        <w:t xml:space="preserve">: According to </w:t>
      </w:r>
      <w:r w:rsidRPr="00B90364">
        <w:rPr>
          <w:rFonts w:ascii="Times New Roman" w:hAnsi="Times New Roman"/>
          <w:b/>
          <w:bCs/>
          <w:color w:val="000000" w:themeColor="text1"/>
          <w:lang w:val="en-HK"/>
        </w:rPr>
        <w:t>remedial consistency</w:t>
      </w:r>
      <w:r w:rsidRPr="00B90364">
        <w:rPr>
          <w:rFonts w:ascii="Times New Roman" w:hAnsi="Times New Roman"/>
          <w:color w:val="000000" w:themeColor="text1"/>
          <w:lang w:val="en-HK"/>
        </w:rPr>
        <w:t xml:space="preserve">, ownership must be the primary consideration, not fairness. W’s claim must be based on </w:t>
      </w:r>
      <w:r w:rsidRPr="00B90364">
        <w:rPr>
          <w:rFonts w:ascii="Times New Roman" w:hAnsi="Times New Roman"/>
          <w:b/>
          <w:bCs/>
          <w:color w:val="000000" w:themeColor="text1"/>
          <w:lang w:val="en-HK"/>
        </w:rPr>
        <w:t>P’s ownership rights</w:t>
      </w:r>
      <w:r w:rsidRPr="00B90364">
        <w:rPr>
          <w:rFonts w:ascii="Times New Roman" w:hAnsi="Times New Roman"/>
          <w:color w:val="000000" w:themeColor="text1"/>
          <w:lang w:val="en-HK"/>
        </w:rPr>
        <w:t xml:space="preserve">, and there must be a </w:t>
      </w:r>
      <w:r w:rsidRPr="00B90364">
        <w:rPr>
          <w:rFonts w:ascii="Times New Roman" w:hAnsi="Times New Roman"/>
          <w:b/>
          <w:bCs/>
          <w:color w:val="000000" w:themeColor="text1"/>
          <w:lang w:val="en-HK"/>
        </w:rPr>
        <w:t>clear legal intention</w:t>
      </w:r>
      <w:r w:rsidRPr="00B90364">
        <w:rPr>
          <w:rFonts w:ascii="Times New Roman" w:hAnsi="Times New Roman"/>
          <w:color w:val="000000" w:themeColor="text1"/>
          <w:lang w:val="en-HK"/>
        </w:rPr>
        <w:t xml:space="preserve"> to transfer or share ownership.</w:t>
      </w:r>
    </w:p>
    <w:p w14:paraId="12639B8B" w14:textId="4BD994A0" w:rsidR="00702A83"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lastRenderedPageBreak/>
        <w:t xml:space="preserve">- </w:t>
      </w:r>
      <w:r w:rsidR="00702A83" w:rsidRPr="00B90364">
        <w:rPr>
          <w:rFonts w:ascii="Times New Roman" w:hAnsi="Times New Roman"/>
          <w:color w:val="000000" w:themeColor="text1"/>
          <w:lang w:val="en-HK"/>
        </w:rPr>
        <w:t>W can only claim a beneficial interest if M has explicitly agreed to share ownership with her.</w:t>
      </w:r>
    </w:p>
    <w:p w14:paraId="1252DD6B" w14:textId="744765AD" w:rsidR="00702A83" w:rsidRPr="00B90364" w:rsidRDefault="00CA6DC2" w:rsidP="00CA6DC2">
      <w:pPr>
        <w:spacing w:before="100" w:beforeAutospacing="1" w:after="240" w:line="360" w:lineRule="auto"/>
        <w:rPr>
          <w:rFonts w:ascii="Times New Roman" w:hAnsi="Times New Roman"/>
          <w:color w:val="000000" w:themeColor="text1"/>
          <w:lang w:val="en-HK"/>
        </w:rPr>
      </w:pPr>
      <w:r>
        <w:rPr>
          <w:rFonts w:ascii="Times New Roman" w:hAnsi="Times New Roman"/>
          <w:color w:val="000000" w:themeColor="text1"/>
          <w:lang w:val="en-HK"/>
        </w:rPr>
        <w:t xml:space="preserve">- </w:t>
      </w:r>
      <w:r w:rsidR="00702A83" w:rsidRPr="00B90364">
        <w:rPr>
          <w:rFonts w:ascii="Times New Roman" w:hAnsi="Times New Roman"/>
          <w:color w:val="000000" w:themeColor="text1"/>
          <w:lang w:val="en-HK"/>
        </w:rPr>
        <w:t xml:space="preserve">Claims should be rooted in a </w:t>
      </w:r>
      <w:r w:rsidR="00702A83" w:rsidRPr="00B90364">
        <w:rPr>
          <w:rFonts w:ascii="Times New Roman" w:hAnsi="Times New Roman"/>
          <w:b/>
          <w:bCs/>
          <w:color w:val="000000" w:themeColor="text1"/>
          <w:lang w:val="en-HK"/>
        </w:rPr>
        <w:t>legal understanding of ownership</w:t>
      </w:r>
      <w:r w:rsidR="00702A83" w:rsidRPr="00B90364">
        <w:rPr>
          <w:rFonts w:ascii="Times New Roman" w:hAnsi="Times New Roman"/>
          <w:color w:val="000000" w:themeColor="text1"/>
          <w:lang w:val="en-HK"/>
        </w:rPr>
        <w:t>, not fairness arising from the relationship.</w:t>
      </w:r>
    </w:p>
    <w:p w14:paraId="10051503" w14:textId="77777777" w:rsidR="00702A83" w:rsidRPr="00B90364" w:rsidRDefault="00702A83" w:rsidP="00B90364">
      <w:pPr>
        <w:spacing w:before="100" w:beforeAutospacing="1" w:after="240" w:line="360" w:lineRule="auto"/>
        <w:outlineLvl w:val="4"/>
        <w:rPr>
          <w:rFonts w:ascii="Times New Roman" w:hAnsi="Times New Roman"/>
          <w:b/>
          <w:bCs/>
          <w:color w:val="000000" w:themeColor="text1"/>
          <w:lang w:val="en-HK"/>
        </w:rPr>
      </w:pPr>
      <w:r w:rsidRPr="00B90364">
        <w:rPr>
          <w:rFonts w:ascii="Times New Roman" w:hAnsi="Times New Roman"/>
          <w:b/>
          <w:bCs/>
          <w:color w:val="000000" w:themeColor="text1"/>
          <w:lang w:val="en-HK"/>
        </w:rPr>
        <w:t>Common Intention Constructive Trust:</w:t>
      </w:r>
    </w:p>
    <w:p w14:paraId="2E03BDFA"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This doctrine is essentially an </w:t>
      </w:r>
      <w:r w:rsidRPr="00B90364">
        <w:rPr>
          <w:rFonts w:ascii="Times New Roman" w:hAnsi="Times New Roman"/>
          <w:b/>
          <w:bCs/>
          <w:color w:val="000000" w:themeColor="text1"/>
          <w:lang w:val="en-HK"/>
        </w:rPr>
        <w:t>extension</w:t>
      </w:r>
      <w:r w:rsidRPr="00B90364">
        <w:rPr>
          <w:rFonts w:ascii="Times New Roman" w:hAnsi="Times New Roman"/>
          <w:color w:val="000000" w:themeColor="text1"/>
          <w:lang w:val="en-HK"/>
        </w:rPr>
        <w:t xml:space="preserve"> of the concept of </w:t>
      </w:r>
      <w:r w:rsidRPr="00B90364">
        <w:rPr>
          <w:rFonts w:ascii="Times New Roman" w:hAnsi="Times New Roman"/>
          <w:b/>
          <w:bCs/>
          <w:color w:val="000000" w:themeColor="text1"/>
          <w:lang w:val="en-HK"/>
        </w:rPr>
        <w:t>transfer or grant</w:t>
      </w:r>
      <w:r w:rsidRPr="00B90364">
        <w:rPr>
          <w:rFonts w:ascii="Times New Roman" w:hAnsi="Times New Roman"/>
          <w:color w:val="000000" w:themeColor="text1"/>
          <w:lang w:val="en-HK"/>
        </w:rPr>
        <w:t>. If M agrees to share ownership, then W’s claim may be recognized as a proprietary interest.</w:t>
      </w:r>
    </w:p>
    <w:p w14:paraId="609BE7E6"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However, this does not automatically confer ownership; M’s assent is required for the creation of a proprietary interest.</w:t>
      </w:r>
    </w:p>
    <w:p w14:paraId="581C58B7"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Alternative Frameworks</w:t>
      </w:r>
    </w:p>
    <w:p w14:paraId="52844F7A"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t>Relationship-Based Claims</w:t>
      </w:r>
      <w:r w:rsidRPr="00B90364">
        <w:rPr>
          <w:rFonts w:ascii="Times New Roman" w:hAnsi="Times New Roman"/>
          <w:color w:val="000000" w:themeColor="text1"/>
          <w:lang w:val="en-HK"/>
        </w:rPr>
        <w:t xml:space="preserve">: An alternative approach focuses on </w:t>
      </w:r>
      <w:r w:rsidRPr="00B90364">
        <w:rPr>
          <w:rFonts w:ascii="Times New Roman" w:hAnsi="Times New Roman"/>
          <w:b/>
          <w:bCs/>
          <w:color w:val="000000" w:themeColor="text1"/>
          <w:lang w:val="en-HK"/>
        </w:rPr>
        <w:t>mutual moral obligations</w:t>
      </w:r>
      <w:r w:rsidRPr="00B90364">
        <w:rPr>
          <w:rFonts w:ascii="Times New Roman" w:hAnsi="Times New Roman"/>
          <w:color w:val="000000" w:themeColor="text1"/>
          <w:lang w:val="en-HK"/>
        </w:rPr>
        <w:t xml:space="preserve"> in relationships, like shared financial responsibilities or sacrifices made for family well-being.</w:t>
      </w:r>
    </w:p>
    <w:p w14:paraId="38E9E3D9"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These claims would create </w:t>
      </w:r>
      <w:r w:rsidRPr="00B90364">
        <w:rPr>
          <w:rFonts w:ascii="Times New Roman" w:hAnsi="Times New Roman"/>
          <w:b/>
          <w:bCs/>
          <w:color w:val="000000" w:themeColor="text1"/>
          <w:lang w:val="en-HK"/>
        </w:rPr>
        <w:t>personal claims</w:t>
      </w:r>
      <w:r w:rsidRPr="00B90364">
        <w:rPr>
          <w:rFonts w:ascii="Times New Roman" w:hAnsi="Times New Roman"/>
          <w:color w:val="000000" w:themeColor="text1"/>
          <w:lang w:val="en-HK"/>
        </w:rPr>
        <w:t>, enforceable against M’s assets, but not giving W any proprietary rights in the home itself.</w:t>
      </w:r>
    </w:p>
    <w:p w14:paraId="7FD6BE37"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In divorce proceedings, this framework would allocate property for future use, rather than recognizing an existing share of ownership.</w:t>
      </w:r>
    </w:p>
    <w:p w14:paraId="6C4C41A2"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Potential for a Dual Approach</w:t>
      </w:r>
    </w:p>
    <w:p w14:paraId="447ED538" w14:textId="77777777" w:rsidR="00702A83" w:rsidRPr="00B90364" w:rsidRDefault="00702A83" w:rsidP="00B90364">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A potential dual approach could recognize both </w:t>
      </w:r>
      <w:r w:rsidRPr="00B90364">
        <w:rPr>
          <w:rFonts w:ascii="Times New Roman" w:hAnsi="Times New Roman"/>
          <w:b/>
          <w:bCs/>
          <w:color w:val="000000" w:themeColor="text1"/>
          <w:lang w:val="en-HK"/>
        </w:rPr>
        <w:t>personal claims</w:t>
      </w:r>
      <w:r w:rsidRPr="00B90364">
        <w:rPr>
          <w:rFonts w:ascii="Times New Roman" w:hAnsi="Times New Roman"/>
          <w:color w:val="000000" w:themeColor="text1"/>
          <w:lang w:val="en-HK"/>
        </w:rPr>
        <w:t xml:space="preserve"> and </w:t>
      </w:r>
      <w:r w:rsidRPr="00B90364">
        <w:rPr>
          <w:rFonts w:ascii="Times New Roman" w:hAnsi="Times New Roman"/>
          <w:b/>
          <w:bCs/>
          <w:color w:val="000000" w:themeColor="text1"/>
          <w:lang w:val="en-HK"/>
        </w:rPr>
        <w:t>property rights</w:t>
      </w:r>
      <w:r w:rsidRPr="00B90364">
        <w:rPr>
          <w:rFonts w:ascii="Times New Roman" w:hAnsi="Times New Roman"/>
          <w:color w:val="000000" w:themeColor="text1"/>
          <w:lang w:val="en-HK"/>
        </w:rPr>
        <w:t xml:space="preserve"> in certain cases:</w:t>
      </w:r>
    </w:p>
    <w:p w14:paraId="50C69870"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M might hold the property in trust for W to satisfy any personal claims arising from their relationship.</w:t>
      </w:r>
    </w:p>
    <w:p w14:paraId="6DD2EB62"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color w:val="000000" w:themeColor="text1"/>
          <w:lang w:val="en-HK"/>
        </w:rPr>
        <w:t xml:space="preserve">This </w:t>
      </w:r>
      <w:r w:rsidRPr="00B90364">
        <w:rPr>
          <w:rFonts w:ascii="Times New Roman" w:hAnsi="Times New Roman"/>
          <w:b/>
          <w:bCs/>
          <w:color w:val="000000" w:themeColor="text1"/>
          <w:lang w:val="en-HK"/>
        </w:rPr>
        <w:t>dual approach</w:t>
      </w:r>
      <w:r w:rsidRPr="00B90364">
        <w:rPr>
          <w:rFonts w:ascii="Times New Roman" w:hAnsi="Times New Roman"/>
          <w:color w:val="000000" w:themeColor="text1"/>
          <w:lang w:val="en-HK"/>
        </w:rPr>
        <w:t xml:space="preserve"> would reconcile fairness in the relationship while maintaining </w:t>
      </w:r>
      <w:r w:rsidRPr="00B90364">
        <w:rPr>
          <w:rFonts w:ascii="Times New Roman" w:hAnsi="Times New Roman"/>
          <w:b/>
          <w:bCs/>
          <w:color w:val="000000" w:themeColor="text1"/>
          <w:lang w:val="en-HK"/>
        </w:rPr>
        <w:t>legal consistency</w:t>
      </w:r>
      <w:r w:rsidRPr="00B90364">
        <w:rPr>
          <w:rFonts w:ascii="Times New Roman" w:hAnsi="Times New Roman"/>
          <w:color w:val="000000" w:themeColor="text1"/>
          <w:lang w:val="en-HK"/>
        </w:rPr>
        <w:t xml:space="preserve"> by recognizing ownership as the primary determinant in property claims.</w:t>
      </w:r>
    </w:p>
    <w:p w14:paraId="4F9D019E" w14:textId="77777777" w:rsidR="00702A83" w:rsidRPr="00B90364" w:rsidRDefault="00702A83" w:rsidP="00B90364">
      <w:pPr>
        <w:spacing w:before="100" w:beforeAutospacing="1" w:after="240" w:line="360" w:lineRule="auto"/>
        <w:outlineLvl w:val="3"/>
        <w:rPr>
          <w:rFonts w:ascii="Times New Roman" w:hAnsi="Times New Roman"/>
          <w:b/>
          <w:bCs/>
          <w:color w:val="000000" w:themeColor="text1"/>
          <w:lang w:val="en-HK"/>
        </w:rPr>
      </w:pPr>
      <w:r w:rsidRPr="00B90364">
        <w:rPr>
          <w:rFonts w:ascii="Times New Roman" w:hAnsi="Times New Roman"/>
          <w:b/>
          <w:bCs/>
          <w:color w:val="000000" w:themeColor="text1"/>
          <w:lang w:val="en-HK"/>
        </w:rPr>
        <w:t>Scholarly Support</w:t>
      </w:r>
    </w:p>
    <w:p w14:paraId="5553DD58" w14:textId="77777777" w:rsidR="00702A83" w:rsidRPr="00B90364" w:rsidRDefault="00702A83" w:rsidP="00CA6DC2">
      <w:pPr>
        <w:spacing w:before="100" w:beforeAutospacing="1" w:after="240" w:line="360" w:lineRule="auto"/>
        <w:rPr>
          <w:rFonts w:ascii="Times New Roman" w:hAnsi="Times New Roman"/>
          <w:color w:val="000000" w:themeColor="text1"/>
          <w:lang w:val="en-HK"/>
        </w:rPr>
      </w:pPr>
      <w:r w:rsidRPr="00B90364">
        <w:rPr>
          <w:rFonts w:ascii="Times New Roman" w:hAnsi="Times New Roman"/>
          <w:b/>
          <w:bCs/>
          <w:color w:val="000000" w:themeColor="text1"/>
          <w:lang w:val="en-HK"/>
        </w:rPr>
        <w:lastRenderedPageBreak/>
        <w:t>M. Dixon</w:t>
      </w:r>
      <w:r w:rsidRPr="00B90364">
        <w:rPr>
          <w:rFonts w:ascii="Times New Roman" w:hAnsi="Times New Roman"/>
          <w:color w:val="000000" w:themeColor="text1"/>
          <w:lang w:val="en-HK"/>
        </w:rPr>
        <w:t xml:space="preserve"> and </w:t>
      </w:r>
      <w:r w:rsidRPr="00B90364">
        <w:rPr>
          <w:rFonts w:ascii="Times New Roman" w:hAnsi="Times New Roman"/>
          <w:b/>
          <w:bCs/>
          <w:color w:val="000000" w:themeColor="text1"/>
          <w:lang w:val="en-HK"/>
        </w:rPr>
        <w:t>Carol Rose</w:t>
      </w:r>
      <w:r w:rsidRPr="00B90364">
        <w:rPr>
          <w:rFonts w:ascii="Times New Roman" w:hAnsi="Times New Roman"/>
          <w:color w:val="000000" w:themeColor="text1"/>
          <w:lang w:val="en-HK"/>
        </w:rPr>
        <w:t xml:space="preserve"> support the dual approach, which allows courts to balance personal and proprietary commitments. They argue that family or quasi-marital relationships often involve a mix of both, which could be captured through this legal framework.</w:t>
      </w:r>
    </w:p>
    <w:p w14:paraId="0D5F55BC" w14:textId="77777777" w:rsidR="00702A83" w:rsidRPr="00B90364" w:rsidRDefault="00567AE4" w:rsidP="00B90364">
      <w:pPr>
        <w:spacing w:after="240" w:line="360" w:lineRule="auto"/>
        <w:rPr>
          <w:rFonts w:ascii="Times New Roman" w:hAnsi="Times New Roman"/>
          <w:color w:val="000000" w:themeColor="text1"/>
          <w:lang w:val="en-HK"/>
        </w:rPr>
      </w:pPr>
      <w:r w:rsidRPr="00567AE4">
        <w:rPr>
          <w:rFonts w:ascii="Times New Roman" w:hAnsi="Times New Roman"/>
          <w:noProof/>
          <w:color w:val="000000" w:themeColor="text1"/>
          <w:lang w:val="en-HK"/>
          <w14:ligatures w14:val="standardContextual"/>
        </w:rPr>
        <w:pict w14:anchorId="2EC0B5CE">
          <v:rect id="_x0000_i1025" alt="" style="width:451.3pt;height:.05pt;mso-width-percent:0;mso-height-percent:0;mso-width-percent:0;mso-height-percent:0" o:hralign="center" o:hrstd="t" o:hr="t" fillcolor="#a0a0a0" stroked="f"/>
        </w:pict>
      </w:r>
    </w:p>
    <w:p w14:paraId="32B43A1E" w14:textId="77777777" w:rsidR="00576999" w:rsidRPr="00B90364" w:rsidRDefault="00576999" w:rsidP="00B90364">
      <w:pPr>
        <w:spacing w:before="100" w:beforeAutospacing="1" w:after="240" w:line="360" w:lineRule="auto"/>
        <w:rPr>
          <w:rFonts w:ascii="Times New Roman" w:hAnsi="Times New Roman"/>
          <w:color w:val="000000" w:themeColor="text1"/>
          <w:lang w:val="en-HK"/>
        </w:rPr>
      </w:pPr>
    </w:p>
    <w:sectPr w:rsidR="00576999" w:rsidRPr="00B90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22490"/>
    <w:multiLevelType w:val="multilevel"/>
    <w:tmpl w:val="D310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3FA5"/>
    <w:multiLevelType w:val="multilevel"/>
    <w:tmpl w:val="9ED6E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1D2E"/>
    <w:multiLevelType w:val="multilevel"/>
    <w:tmpl w:val="5A74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C014F"/>
    <w:multiLevelType w:val="hybridMultilevel"/>
    <w:tmpl w:val="BBA6443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0FD7070"/>
    <w:multiLevelType w:val="hybridMultilevel"/>
    <w:tmpl w:val="9C32B396"/>
    <w:lvl w:ilvl="0" w:tplc="8E281586">
      <w:numFmt w:val="bullet"/>
      <w:lvlText w:val="-"/>
      <w:lvlJc w:val="left"/>
      <w:pPr>
        <w:ind w:left="360" w:hanging="360"/>
      </w:pPr>
      <w:rPr>
        <w:rFonts w:ascii="Times New Roman" w:eastAsia="Times New Roman" w:hAnsi="Times New Roman" w:cs="Times New Roman"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82C0491"/>
    <w:multiLevelType w:val="multilevel"/>
    <w:tmpl w:val="C5EC8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E2426"/>
    <w:multiLevelType w:val="multilevel"/>
    <w:tmpl w:val="F2CE5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32061"/>
    <w:multiLevelType w:val="multilevel"/>
    <w:tmpl w:val="D30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13FA4"/>
    <w:multiLevelType w:val="multilevel"/>
    <w:tmpl w:val="5C1E8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01BFC"/>
    <w:multiLevelType w:val="multilevel"/>
    <w:tmpl w:val="AE78D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35CF2"/>
    <w:multiLevelType w:val="multilevel"/>
    <w:tmpl w:val="1696B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D7A87"/>
    <w:multiLevelType w:val="multilevel"/>
    <w:tmpl w:val="AB3E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11753"/>
    <w:multiLevelType w:val="multilevel"/>
    <w:tmpl w:val="E07C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92B3E"/>
    <w:multiLevelType w:val="multilevel"/>
    <w:tmpl w:val="4D7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01937"/>
    <w:multiLevelType w:val="multilevel"/>
    <w:tmpl w:val="271C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5321E"/>
    <w:multiLevelType w:val="multilevel"/>
    <w:tmpl w:val="D686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717D4"/>
    <w:multiLevelType w:val="multilevel"/>
    <w:tmpl w:val="BEFAF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B2182"/>
    <w:multiLevelType w:val="multilevel"/>
    <w:tmpl w:val="6E5C2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E5667"/>
    <w:multiLevelType w:val="hybridMultilevel"/>
    <w:tmpl w:val="E0FA5A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D136477"/>
    <w:multiLevelType w:val="multilevel"/>
    <w:tmpl w:val="D232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90E68"/>
    <w:multiLevelType w:val="multilevel"/>
    <w:tmpl w:val="A8E0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27A19"/>
    <w:multiLevelType w:val="multilevel"/>
    <w:tmpl w:val="CF14A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F7EF3"/>
    <w:multiLevelType w:val="multilevel"/>
    <w:tmpl w:val="269A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31C2F"/>
    <w:multiLevelType w:val="multilevel"/>
    <w:tmpl w:val="D7AE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D5529"/>
    <w:multiLevelType w:val="multilevel"/>
    <w:tmpl w:val="9A7CF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A34B0"/>
    <w:multiLevelType w:val="multilevel"/>
    <w:tmpl w:val="EEC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B4D8D"/>
    <w:multiLevelType w:val="multilevel"/>
    <w:tmpl w:val="BA80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550A7"/>
    <w:multiLevelType w:val="multilevel"/>
    <w:tmpl w:val="CA3E4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36A5E"/>
    <w:multiLevelType w:val="multilevel"/>
    <w:tmpl w:val="AE7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87734"/>
    <w:multiLevelType w:val="multilevel"/>
    <w:tmpl w:val="CE52B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DE0AA6"/>
    <w:multiLevelType w:val="multilevel"/>
    <w:tmpl w:val="71461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265D59"/>
    <w:multiLevelType w:val="multilevel"/>
    <w:tmpl w:val="EDD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412C4"/>
    <w:multiLevelType w:val="multilevel"/>
    <w:tmpl w:val="50B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1C1F67"/>
    <w:multiLevelType w:val="multilevel"/>
    <w:tmpl w:val="B8985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C76C2"/>
    <w:multiLevelType w:val="hybridMultilevel"/>
    <w:tmpl w:val="0834027E"/>
    <w:lvl w:ilvl="0" w:tplc="8E28158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D0E1D6C"/>
    <w:multiLevelType w:val="multilevel"/>
    <w:tmpl w:val="C0A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0F5B81"/>
    <w:multiLevelType w:val="multilevel"/>
    <w:tmpl w:val="79145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C357A"/>
    <w:multiLevelType w:val="multilevel"/>
    <w:tmpl w:val="75C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33BFA"/>
    <w:multiLevelType w:val="multilevel"/>
    <w:tmpl w:val="3326C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841EA"/>
    <w:multiLevelType w:val="multilevel"/>
    <w:tmpl w:val="FFBA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A777D0"/>
    <w:multiLevelType w:val="multilevel"/>
    <w:tmpl w:val="73E4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77A8C"/>
    <w:multiLevelType w:val="multilevel"/>
    <w:tmpl w:val="475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2477C"/>
    <w:multiLevelType w:val="multilevel"/>
    <w:tmpl w:val="5ED23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E5EA6"/>
    <w:multiLevelType w:val="multilevel"/>
    <w:tmpl w:val="B530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D1FE4"/>
    <w:multiLevelType w:val="multilevel"/>
    <w:tmpl w:val="25E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20611"/>
    <w:multiLevelType w:val="multilevel"/>
    <w:tmpl w:val="FAB8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5648C"/>
    <w:multiLevelType w:val="multilevel"/>
    <w:tmpl w:val="15943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119D8"/>
    <w:multiLevelType w:val="multilevel"/>
    <w:tmpl w:val="5FA80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F6BAF"/>
    <w:multiLevelType w:val="multilevel"/>
    <w:tmpl w:val="EE1C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86337C"/>
    <w:multiLevelType w:val="multilevel"/>
    <w:tmpl w:val="C4E8A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058914">
    <w:abstractNumId w:val="27"/>
  </w:num>
  <w:num w:numId="2" w16cid:durableId="1352604046">
    <w:abstractNumId w:val="36"/>
  </w:num>
  <w:num w:numId="3" w16cid:durableId="1665163249">
    <w:abstractNumId w:val="6"/>
  </w:num>
  <w:num w:numId="4" w16cid:durableId="818182550">
    <w:abstractNumId w:val="40"/>
  </w:num>
  <w:num w:numId="5" w16cid:durableId="1492986577">
    <w:abstractNumId w:val="30"/>
  </w:num>
  <w:num w:numId="6" w16cid:durableId="1833376081">
    <w:abstractNumId w:val="22"/>
  </w:num>
  <w:num w:numId="7" w16cid:durableId="2106227745">
    <w:abstractNumId w:val="43"/>
  </w:num>
  <w:num w:numId="8" w16cid:durableId="1731221500">
    <w:abstractNumId w:val="43"/>
    <w:lvlOverride w:ilvl="2">
      <w:lvl w:ilvl="2">
        <w:numFmt w:val="bullet"/>
        <w:lvlText w:val=""/>
        <w:lvlJc w:val="left"/>
        <w:pPr>
          <w:tabs>
            <w:tab w:val="num" w:pos="360"/>
          </w:tabs>
          <w:ind w:left="360" w:hanging="360"/>
        </w:pPr>
        <w:rPr>
          <w:rFonts w:ascii="Wingdings" w:hAnsi="Wingdings" w:hint="default"/>
          <w:sz w:val="20"/>
        </w:rPr>
      </w:lvl>
    </w:lvlOverride>
  </w:num>
  <w:num w:numId="9" w16cid:durableId="557714362">
    <w:abstractNumId w:val="49"/>
  </w:num>
  <w:num w:numId="10" w16cid:durableId="1858885852">
    <w:abstractNumId w:val="0"/>
  </w:num>
  <w:num w:numId="11" w16cid:durableId="1318068026">
    <w:abstractNumId w:val="16"/>
  </w:num>
  <w:num w:numId="12" w16cid:durableId="1553956744">
    <w:abstractNumId w:val="16"/>
    <w:lvlOverride w:ilvl="1">
      <w:lvl w:ilvl="1">
        <w:numFmt w:val="decimal"/>
        <w:lvlText w:val="%2."/>
        <w:lvlJc w:val="left"/>
      </w:lvl>
    </w:lvlOverride>
  </w:num>
  <w:num w:numId="13" w16cid:durableId="1779106284">
    <w:abstractNumId w:val="38"/>
  </w:num>
  <w:num w:numId="14" w16cid:durableId="512688518">
    <w:abstractNumId w:val="47"/>
  </w:num>
  <w:num w:numId="15" w16cid:durableId="1935018296">
    <w:abstractNumId w:val="17"/>
  </w:num>
  <w:num w:numId="16" w16cid:durableId="2008895504">
    <w:abstractNumId w:val="33"/>
  </w:num>
  <w:num w:numId="17" w16cid:durableId="1453011084">
    <w:abstractNumId w:val="23"/>
  </w:num>
  <w:num w:numId="18" w16cid:durableId="585892050">
    <w:abstractNumId w:val="10"/>
  </w:num>
  <w:num w:numId="19" w16cid:durableId="104884964">
    <w:abstractNumId w:val="5"/>
  </w:num>
  <w:num w:numId="20" w16cid:durableId="625965714">
    <w:abstractNumId w:val="32"/>
  </w:num>
  <w:num w:numId="21" w16cid:durableId="197664848">
    <w:abstractNumId w:val="48"/>
  </w:num>
  <w:num w:numId="22" w16cid:durableId="1893879273">
    <w:abstractNumId w:val="37"/>
  </w:num>
  <w:num w:numId="23" w16cid:durableId="1806003885">
    <w:abstractNumId w:val="14"/>
  </w:num>
  <w:num w:numId="24" w16cid:durableId="178006704">
    <w:abstractNumId w:val="19"/>
  </w:num>
  <w:num w:numId="25" w16cid:durableId="35660198">
    <w:abstractNumId w:val="35"/>
  </w:num>
  <w:num w:numId="26" w16cid:durableId="1584029227">
    <w:abstractNumId w:val="26"/>
  </w:num>
  <w:num w:numId="27" w16cid:durableId="296181456">
    <w:abstractNumId w:val="39"/>
  </w:num>
  <w:num w:numId="28" w16cid:durableId="2116751618">
    <w:abstractNumId w:val="8"/>
  </w:num>
  <w:num w:numId="29" w16cid:durableId="955216259">
    <w:abstractNumId w:val="21"/>
  </w:num>
  <w:num w:numId="30" w16cid:durableId="245039421">
    <w:abstractNumId w:val="46"/>
  </w:num>
  <w:num w:numId="31" w16cid:durableId="126510795">
    <w:abstractNumId w:val="20"/>
  </w:num>
  <w:num w:numId="32" w16cid:durableId="1747460038">
    <w:abstractNumId w:val="24"/>
  </w:num>
  <w:num w:numId="33" w16cid:durableId="679426738">
    <w:abstractNumId w:val="9"/>
  </w:num>
  <w:num w:numId="34" w16cid:durableId="66390214">
    <w:abstractNumId w:val="1"/>
  </w:num>
  <w:num w:numId="35" w16cid:durableId="996419370">
    <w:abstractNumId w:val="28"/>
  </w:num>
  <w:num w:numId="36" w16cid:durableId="1333754972">
    <w:abstractNumId w:val="13"/>
  </w:num>
  <w:num w:numId="37" w16cid:durableId="526672932">
    <w:abstractNumId w:val="12"/>
  </w:num>
  <w:num w:numId="38" w16cid:durableId="658850383">
    <w:abstractNumId w:val="44"/>
  </w:num>
  <w:num w:numId="39" w16cid:durableId="1404445652">
    <w:abstractNumId w:val="2"/>
  </w:num>
  <w:num w:numId="40" w16cid:durableId="1681276258">
    <w:abstractNumId w:val="15"/>
  </w:num>
  <w:num w:numId="41" w16cid:durableId="1000814373">
    <w:abstractNumId w:val="7"/>
  </w:num>
  <w:num w:numId="42" w16cid:durableId="1489588805">
    <w:abstractNumId w:val="29"/>
  </w:num>
  <w:num w:numId="43" w16cid:durableId="1547064965">
    <w:abstractNumId w:val="41"/>
  </w:num>
  <w:num w:numId="44" w16cid:durableId="900747591">
    <w:abstractNumId w:val="45"/>
  </w:num>
  <w:num w:numId="45" w16cid:durableId="28796693">
    <w:abstractNumId w:val="25"/>
  </w:num>
  <w:num w:numId="46" w16cid:durableId="1851486786">
    <w:abstractNumId w:val="42"/>
  </w:num>
  <w:num w:numId="47" w16cid:durableId="324819465">
    <w:abstractNumId w:val="11"/>
  </w:num>
  <w:num w:numId="48" w16cid:durableId="851337053">
    <w:abstractNumId w:val="31"/>
  </w:num>
  <w:num w:numId="49" w16cid:durableId="1802117019">
    <w:abstractNumId w:val="18"/>
  </w:num>
  <w:num w:numId="50" w16cid:durableId="1130976786">
    <w:abstractNumId w:val="34"/>
  </w:num>
  <w:num w:numId="51" w16cid:durableId="296182106">
    <w:abstractNumId w:val="3"/>
  </w:num>
  <w:num w:numId="52" w16cid:durableId="4490587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CB3"/>
    <w:rsid w:val="00010998"/>
    <w:rsid w:val="000147A9"/>
    <w:rsid w:val="00042755"/>
    <w:rsid w:val="0006107D"/>
    <w:rsid w:val="000623A3"/>
    <w:rsid w:val="000719DA"/>
    <w:rsid w:val="00094D65"/>
    <w:rsid w:val="000A2074"/>
    <w:rsid w:val="000A3F4D"/>
    <w:rsid w:val="000C4ABC"/>
    <w:rsid w:val="000C58D7"/>
    <w:rsid w:val="000E15ED"/>
    <w:rsid w:val="00101CCF"/>
    <w:rsid w:val="00124FE0"/>
    <w:rsid w:val="00162CE5"/>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67AE4"/>
    <w:rsid w:val="00576999"/>
    <w:rsid w:val="0058416B"/>
    <w:rsid w:val="00595357"/>
    <w:rsid w:val="005B34ED"/>
    <w:rsid w:val="005C50B3"/>
    <w:rsid w:val="005D57DA"/>
    <w:rsid w:val="005E7702"/>
    <w:rsid w:val="00605F8E"/>
    <w:rsid w:val="00650543"/>
    <w:rsid w:val="00654D8B"/>
    <w:rsid w:val="00661136"/>
    <w:rsid w:val="0068027B"/>
    <w:rsid w:val="006C42B8"/>
    <w:rsid w:val="006C50C7"/>
    <w:rsid w:val="00702A83"/>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61B11"/>
    <w:rsid w:val="008829C2"/>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0364"/>
    <w:rsid w:val="00B914E6"/>
    <w:rsid w:val="00BB2CB3"/>
    <w:rsid w:val="00BC4186"/>
    <w:rsid w:val="00BC5F25"/>
    <w:rsid w:val="00BD7714"/>
    <w:rsid w:val="00BD7C9B"/>
    <w:rsid w:val="00BE611B"/>
    <w:rsid w:val="00BF76E9"/>
    <w:rsid w:val="00C072F8"/>
    <w:rsid w:val="00C17D79"/>
    <w:rsid w:val="00C24A8A"/>
    <w:rsid w:val="00C54722"/>
    <w:rsid w:val="00C65F70"/>
    <w:rsid w:val="00C96A36"/>
    <w:rsid w:val="00CA350B"/>
    <w:rsid w:val="00CA3F60"/>
    <w:rsid w:val="00CA6DC2"/>
    <w:rsid w:val="00CA7FBE"/>
    <w:rsid w:val="00CC2EFF"/>
    <w:rsid w:val="00CC4FEF"/>
    <w:rsid w:val="00CD39F1"/>
    <w:rsid w:val="00CF74EF"/>
    <w:rsid w:val="00D02AC8"/>
    <w:rsid w:val="00D0623C"/>
    <w:rsid w:val="00D07271"/>
    <w:rsid w:val="00D16917"/>
    <w:rsid w:val="00D84B3C"/>
    <w:rsid w:val="00DA31CB"/>
    <w:rsid w:val="00DA3E59"/>
    <w:rsid w:val="00DA4488"/>
    <w:rsid w:val="00DC0040"/>
    <w:rsid w:val="00DC0B7B"/>
    <w:rsid w:val="00DC495B"/>
    <w:rsid w:val="00DC7181"/>
    <w:rsid w:val="00DD6F5C"/>
    <w:rsid w:val="00DE15F9"/>
    <w:rsid w:val="00DE6C87"/>
    <w:rsid w:val="00E14A1A"/>
    <w:rsid w:val="00E14E1F"/>
    <w:rsid w:val="00E2730E"/>
    <w:rsid w:val="00E438AC"/>
    <w:rsid w:val="00E60DF5"/>
    <w:rsid w:val="00E80D33"/>
    <w:rsid w:val="00E95D8D"/>
    <w:rsid w:val="00EA6ED5"/>
    <w:rsid w:val="00EB7051"/>
    <w:rsid w:val="00EC68EB"/>
    <w:rsid w:val="00EC7C43"/>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75719"/>
  <w15:chartTrackingRefBased/>
  <w15:docId w15:val="{995B776A-717E-2B43-91F5-5382CF79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BB2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2CB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B2C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BB2C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B2CB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2CB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2CB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2CB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CB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B2CB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BB2CB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BB2CB3"/>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BB2CB3"/>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BB2CB3"/>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BB2CB3"/>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BB2CB3"/>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BB2CB3"/>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BB2C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CB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B2CB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CB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B2C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2CB3"/>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BB2CB3"/>
    <w:pPr>
      <w:ind w:left="720"/>
      <w:contextualSpacing/>
    </w:pPr>
  </w:style>
  <w:style w:type="character" w:styleId="IntenseEmphasis">
    <w:name w:val="Intense Emphasis"/>
    <w:basedOn w:val="DefaultParagraphFont"/>
    <w:uiPriority w:val="21"/>
    <w:qFormat/>
    <w:rsid w:val="00BB2CB3"/>
    <w:rPr>
      <w:i/>
      <w:iCs/>
      <w:color w:val="2F5496" w:themeColor="accent1" w:themeShade="BF"/>
    </w:rPr>
  </w:style>
  <w:style w:type="paragraph" w:styleId="IntenseQuote">
    <w:name w:val="Intense Quote"/>
    <w:basedOn w:val="Normal"/>
    <w:next w:val="Normal"/>
    <w:link w:val="IntenseQuoteChar"/>
    <w:uiPriority w:val="30"/>
    <w:qFormat/>
    <w:rsid w:val="00BB2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CB3"/>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BB2CB3"/>
    <w:rPr>
      <w:b/>
      <w:bCs/>
      <w:smallCaps/>
      <w:color w:val="2F5496" w:themeColor="accent1" w:themeShade="BF"/>
      <w:spacing w:val="5"/>
    </w:rPr>
  </w:style>
  <w:style w:type="character" w:styleId="Strong">
    <w:name w:val="Strong"/>
    <w:basedOn w:val="DefaultParagraphFont"/>
    <w:uiPriority w:val="22"/>
    <w:qFormat/>
    <w:rsid w:val="00124FE0"/>
    <w:rPr>
      <w:b/>
      <w:bCs/>
    </w:rPr>
  </w:style>
  <w:style w:type="paragraph" w:styleId="NormalWeb">
    <w:name w:val="Normal (Web)"/>
    <w:basedOn w:val="Normal"/>
    <w:uiPriority w:val="99"/>
    <w:unhideWhenUsed/>
    <w:rsid w:val="00BF76E9"/>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BF76E9"/>
    <w:rPr>
      <w:i/>
      <w:iCs/>
    </w:rPr>
  </w:style>
  <w:style w:type="character" w:customStyle="1" w:styleId="overflow-hidden">
    <w:name w:val="overflow-hidden"/>
    <w:basedOn w:val="DefaultParagraphFont"/>
    <w:rsid w:val="00DA3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106480">
      <w:bodyDiv w:val="1"/>
      <w:marLeft w:val="0"/>
      <w:marRight w:val="0"/>
      <w:marTop w:val="0"/>
      <w:marBottom w:val="0"/>
      <w:divBdr>
        <w:top w:val="none" w:sz="0" w:space="0" w:color="auto"/>
        <w:left w:val="none" w:sz="0" w:space="0" w:color="auto"/>
        <w:bottom w:val="none" w:sz="0" w:space="0" w:color="auto"/>
        <w:right w:val="none" w:sz="0" w:space="0" w:color="auto"/>
      </w:divBdr>
    </w:div>
    <w:div w:id="793593941">
      <w:bodyDiv w:val="1"/>
      <w:marLeft w:val="0"/>
      <w:marRight w:val="0"/>
      <w:marTop w:val="0"/>
      <w:marBottom w:val="0"/>
      <w:divBdr>
        <w:top w:val="none" w:sz="0" w:space="0" w:color="auto"/>
        <w:left w:val="none" w:sz="0" w:space="0" w:color="auto"/>
        <w:bottom w:val="none" w:sz="0" w:space="0" w:color="auto"/>
        <w:right w:val="none" w:sz="0" w:space="0" w:color="auto"/>
      </w:divBdr>
    </w:div>
    <w:div w:id="955873253">
      <w:bodyDiv w:val="1"/>
      <w:marLeft w:val="0"/>
      <w:marRight w:val="0"/>
      <w:marTop w:val="0"/>
      <w:marBottom w:val="0"/>
      <w:divBdr>
        <w:top w:val="none" w:sz="0" w:space="0" w:color="auto"/>
        <w:left w:val="none" w:sz="0" w:space="0" w:color="auto"/>
        <w:bottom w:val="none" w:sz="0" w:space="0" w:color="auto"/>
        <w:right w:val="none" w:sz="0" w:space="0" w:color="auto"/>
      </w:divBdr>
      <w:divsChild>
        <w:div w:id="793523595">
          <w:marLeft w:val="0"/>
          <w:marRight w:val="0"/>
          <w:marTop w:val="0"/>
          <w:marBottom w:val="0"/>
          <w:divBdr>
            <w:top w:val="none" w:sz="0" w:space="0" w:color="auto"/>
            <w:left w:val="none" w:sz="0" w:space="0" w:color="auto"/>
            <w:bottom w:val="none" w:sz="0" w:space="0" w:color="auto"/>
            <w:right w:val="none" w:sz="0" w:space="0" w:color="auto"/>
          </w:divBdr>
          <w:divsChild>
            <w:div w:id="1932542491">
              <w:marLeft w:val="0"/>
              <w:marRight w:val="0"/>
              <w:marTop w:val="0"/>
              <w:marBottom w:val="0"/>
              <w:divBdr>
                <w:top w:val="none" w:sz="0" w:space="0" w:color="auto"/>
                <w:left w:val="none" w:sz="0" w:space="0" w:color="auto"/>
                <w:bottom w:val="none" w:sz="0" w:space="0" w:color="auto"/>
                <w:right w:val="none" w:sz="0" w:space="0" w:color="auto"/>
              </w:divBdr>
              <w:divsChild>
                <w:div w:id="11491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9978">
      <w:bodyDiv w:val="1"/>
      <w:marLeft w:val="0"/>
      <w:marRight w:val="0"/>
      <w:marTop w:val="0"/>
      <w:marBottom w:val="0"/>
      <w:divBdr>
        <w:top w:val="none" w:sz="0" w:space="0" w:color="auto"/>
        <w:left w:val="none" w:sz="0" w:space="0" w:color="auto"/>
        <w:bottom w:val="none" w:sz="0" w:space="0" w:color="auto"/>
        <w:right w:val="none" w:sz="0" w:space="0" w:color="auto"/>
      </w:divBdr>
    </w:div>
    <w:div w:id="1352027655">
      <w:bodyDiv w:val="1"/>
      <w:marLeft w:val="0"/>
      <w:marRight w:val="0"/>
      <w:marTop w:val="0"/>
      <w:marBottom w:val="0"/>
      <w:divBdr>
        <w:top w:val="none" w:sz="0" w:space="0" w:color="auto"/>
        <w:left w:val="none" w:sz="0" w:space="0" w:color="auto"/>
        <w:bottom w:val="none" w:sz="0" w:space="0" w:color="auto"/>
        <w:right w:val="none" w:sz="0" w:space="0" w:color="auto"/>
      </w:divBdr>
      <w:divsChild>
        <w:div w:id="1414476321">
          <w:marLeft w:val="0"/>
          <w:marRight w:val="0"/>
          <w:marTop w:val="0"/>
          <w:marBottom w:val="0"/>
          <w:divBdr>
            <w:top w:val="none" w:sz="0" w:space="0" w:color="auto"/>
            <w:left w:val="none" w:sz="0" w:space="0" w:color="auto"/>
            <w:bottom w:val="none" w:sz="0" w:space="0" w:color="auto"/>
            <w:right w:val="none" w:sz="0" w:space="0" w:color="auto"/>
          </w:divBdr>
          <w:divsChild>
            <w:div w:id="808864141">
              <w:marLeft w:val="0"/>
              <w:marRight w:val="0"/>
              <w:marTop w:val="0"/>
              <w:marBottom w:val="0"/>
              <w:divBdr>
                <w:top w:val="none" w:sz="0" w:space="0" w:color="auto"/>
                <w:left w:val="none" w:sz="0" w:space="0" w:color="auto"/>
                <w:bottom w:val="none" w:sz="0" w:space="0" w:color="auto"/>
                <w:right w:val="none" w:sz="0" w:space="0" w:color="auto"/>
              </w:divBdr>
              <w:divsChild>
                <w:div w:id="1721514309">
                  <w:marLeft w:val="0"/>
                  <w:marRight w:val="0"/>
                  <w:marTop w:val="0"/>
                  <w:marBottom w:val="0"/>
                  <w:divBdr>
                    <w:top w:val="none" w:sz="0" w:space="0" w:color="auto"/>
                    <w:left w:val="none" w:sz="0" w:space="0" w:color="auto"/>
                    <w:bottom w:val="none" w:sz="0" w:space="0" w:color="auto"/>
                    <w:right w:val="none" w:sz="0" w:space="0" w:color="auto"/>
                  </w:divBdr>
                  <w:divsChild>
                    <w:div w:id="693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42029">
          <w:marLeft w:val="0"/>
          <w:marRight w:val="0"/>
          <w:marTop w:val="0"/>
          <w:marBottom w:val="0"/>
          <w:divBdr>
            <w:top w:val="none" w:sz="0" w:space="0" w:color="auto"/>
            <w:left w:val="none" w:sz="0" w:space="0" w:color="auto"/>
            <w:bottom w:val="none" w:sz="0" w:space="0" w:color="auto"/>
            <w:right w:val="none" w:sz="0" w:space="0" w:color="auto"/>
          </w:divBdr>
          <w:divsChild>
            <w:div w:id="751466728">
              <w:marLeft w:val="0"/>
              <w:marRight w:val="0"/>
              <w:marTop w:val="0"/>
              <w:marBottom w:val="0"/>
              <w:divBdr>
                <w:top w:val="none" w:sz="0" w:space="0" w:color="auto"/>
                <w:left w:val="none" w:sz="0" w:space="0" w:color="auto"/>
                <w:bottom w:val="none" w:sz="0" w:space="0" w:color="auto"/>
                <w:right w:val="none" w:sz="0" w:space="0" w:color="auto"/>
              </w:divBdr>
              <w:divsChild>
                <w:div w:id="1252198909">
                  <w:marLeft w:val="0"/>
                  <w:marRight w:val="0"/>
                  <w:marTop w:val="0"/>
                  <w:marBottom w:val="0"/>
                  <w:divBdr>
                    <w:top w:val="none" w:sz="0" w:space="0" w:color="auto"/>
                    <w:left w:val="none" w:sz="0" w:space="0" w:color="auto"/>
                    <w:bottom w:val="none" w:sz="0" w:space="0" w:color="auto"/>
                    <w:right w:val="none" w:sz="0" w:space="0" w:color="auto"/>
                  </w:divBdr>
                  <w:divsChild>
                    <w:div w:id="6796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51071">
      <w:bodyDiv w:val="1"/>
      <w:marLeft w:val="0"/>
      <w:marRight w:val="0"/>
      <w:marTop w:val="0"/>
      <w:marBottom w:val="0"/>
      <w:divBdr>
        <w:top w:val="none" w:sz="0" w:space="0" w:color="auto"/>
        <w:left w:val="none" w:sz="0" w:space="0" w:color="auto"/>
        <w:bottom w:val="none" w:sz="0" w:space="0" w:color="auto"/>
        <w:right w:val="none" w:sz="0" w:space="0" w:color="auto"/>
      </w:divBdr>
    </w:div>
    <w:div w:id="1790004987">
      <w:bodyDiv w:val="1"/>
      <w:marLeft w:val="0"/>
      <w:marRight w:val="0"/>
      <w:marTop w:val="0"/>
      <w:marBottom w:val="0"/>
      <w:divBdr>
        <w:top w:val="none" w:sz="0" w:space="0" w:color="auto"/>
        <w:left w:val="none" w:sz="0" w:space="0" w:color="auto"/>
        <w:bottom w:val="none" w:sz="0" w:space="0" w:color="auto"/>
        <w:right w:val="none" w:sz="0" w:space="0" w:color="auto"/>
      </w:divBdr>
    </w:div>
    <w:div w:id="180153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3652</Words>
  <Characters>20819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7</cp:revision>
  <dcterms:created xsi:type="dcterms:W3CDTF">2024-12-01T15:49:00Z</dcterms:created>
  <dcterms:modified xsi:type="dcterms:W3CDTF">2024-12-02T11:07:00Z</dcterms:modified>
</cp:coreProperties>
</file>