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C0EFE" w14:textId="77777777" w:rsidR="00D8137C" w:rsidRPr="00D8137C" w:rsidRDefault="00D8137C" w:rsidP="00D8137C">
      <w:pPr>
        <w:spacing w:after="240" w:line="360" w:lineRule="auto"/>
        <w:outlineLvl w:val="2"/>
        <w:rPr>
          <w:rFonts w:ascii="Times New Roman" w:hAnsi="Times New Roman"/>
          <w:lang w:val="en-HK"/>
        </w:rPr>
      </w:pPr>
      <w:r w:rsidRPr="00D8137C">
        <w:rPr>
          <w:rFonts w:ascii="Times New Roman" w:hAnsi="Times New Roman"/>
          <w:b/>
          <w:bCs/>
          <w:lang w:val="en-HK"/>
        </w:rPr>
        <w:t xml:space="preserve">1. Cases for </w:t>
      </w:r>
      <w:proofErr w:type="spellStart"/>
      <w:r w:rsidRPr="00D8137C">
        <w:rPr>
          <w:rFonts w:ascii="Times New Roman" w:hAnsi="Times New Roman"/>
          <w:b/>
          <w:bCs/>
          <w:lang w:val="en-HK"/>
        </w:rPr>
        <w:t>Quistclose</w:t>
      </w:r>
      <w:proofErr w:type="spellEnd"/>
      <w:r w:rsidRPr="00D8137C">
        <w:rPr>
          <w:rFonts w:ascii="Times New Roman" w:hAnsi="Times New Roman"/>
          <w:b/>
          <w:bCs/>
          <w:lang w:val="en-HK"/>
        </w:rPr>
        <w:t xml:space="preserve"> Trusts Mentioned</w:t>
      </w:r>
    </w:p>
    <w:p w14:paraId="5983CF19" w14:textId="73314AB6" w:rsidR="00D8137C" w:rsidRPr="00D8137C" w:rsidRDefault="00D8137C" w:rsidP="00D8137C">
      <w:pPr>
        <w:spacing w:after="240" w:line="360" w:lineRule="auto"/>
        <w:outlineLvl w:val="2"/>
        <w:rPr>
          <w:rFonts w:ascii="Times New Roman" w:hAnsi="Times New Roman"/>
          <w:b/>
          <w:bCs/>
          <w:lang w:val="en-HK"/>
        </w:rPr>
      </w:pPr>
      <w:r w:rsidRPr="00D8137C">
        <w:rPr>
          <w:rFonts w:ascii="Times New Roman" w:hAnsi="Times New Roman"/>
          <w:b/>
          <w:bCs/>
          <w:lang w:val="en-HK"/>
        </w:rPr>
        <w:t xml:space="preserve">Barclays Bank Ltd v </w:t>
      </w:r>
      <w:proofErr w:type="spellStart"/>
      <w:r w:rsidRPr="00D8137C">
        <w:rPr>
          <w:rFonts w:ascii="Times New Roman" w:hAnsi="Times New Roman"/>
          <w:b/>
          <w:bCs/>
          <w:lang w:val="en-HK"/>
        </w:rPr>
        <w:t>Quistclose</w:t>
      </w:r>
      <w:proofErr w:type="spellEnd"/>
      <w:r w:rsidRPr="00D8137C">
        <w:rPr>
          <w:rFonts w:ascii="Times New Roman" w:hAnsi="Times New Roman"/>
          <w:b/>
          <w:bCs/>
          <w:lang w:val="en-HK"/>
        </w:rPr>
        <w:t xml:space="preserve"> Investments Ltd [1970] AC 567</w:t>
      </w:r>
    </w:p>
    <w:p w14:paraId="260DCEB7" w14:textId="50A80991" w:rsidR="00D8137C" w:rsidRPr="00D8137C" w:rsidRDefault="00D8137C" w:rsidP="00D8137C">
      <w:pPr>
        <w:spacing w:after="240" w:line="360" w:lineRule="auto"/>
        <w:outlineLvl w:val="2"/>
        <w:rPr>
          <w:rFonts w:ascii="Times New Roman" w:hAnsi="Times New Roman"/>
          <w:b/>
          <w:bCs/>
          <w:lang w:val="en-HK"/>
        </w:rPr>
      </w:pPr>
      <w:r w:rsidRPr="00D8137C">
        <w:rPr>
          <w:rFonts w:ascii="Times New Roman" w:hAnsi="Times New Roman"/>
          <w:b/>
          <w:bCs/>
          <w:lang w:val="en-HK"/>
        </w:rPr>
        <w:t>Facts:</w:t>
      </w:r>
      <w:r w:rsidRPr="00D8137C">
        <w:rPr>
          <w:rFonts w:ascii="Times New Roman" w:hAnsi="Times New Roman"/>
          <w:lang w:val="en-HK"/>
        </w:rPr>
        <w:t xml:space="preserve"> </w:t>
      </w:r>
    </w:p>
    <w:p w14:paraId="7AC00936" w14:textId="77777777" w:rsidR="00D8137C" w:rsidRPr="00D8137C" w:rsidRDefault="00D8137C" w:rsidP="00D8137C">
      <w:pPr>
        <w:spacing w:after="240" w:line="360" w:lineRule="auto"/>
        <w:rPr>
          <w:rFonts w:ascii="Times New Roman" w:hAnsi="Times New Roman"/>
          <w:lang w:val="en-HK"/>
        </w:rPr>
      </w:pP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Investments Ltd lent £209,719 8s. 6d. to Rolls Razor Ltd to pay a dividend declared on July 4, 1964, conditional on its use “to pay the forthcoming dividend due on July 24 next” (p. 404). The funds were paid into a special No. 4 ordinary dividend account at Barclays Bank, with a letter stating the account “would only be used to meet the dividend due on July 24, 1964” (p. 404). Rolls Razor, already in financial distress with an overdraft of £485,000 against a £250,000 limit, entered voluntary liquidation on August 27, 1964, before paying the dividend (p. 404). Barclays sought to use the funds to offset Rolls Razor’s overdraft, while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claimed the money was held on trust for them due to the purpose’s failure (p. 404).</w:t>
      </w:r>
    </w:p>
    <w:p w14:paraId="38A2D55E"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Held:</w:t>
      </w:r>
      <w:r w:rsidRPr="00D8137C">
        <w:rPr>
          <w:rFonts w:ascii="Times New Roman" w:hAnsi="Times New Roman"/>
          <w:lang w:val="en-HK"/>
        </w:rPr>
        <w:t xml:space="preserve"> </w:t>
      </w:r>
    </w:p>
    <w:p w14:paraId="59E04E70"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The House of Lords, affirming the Court of Appeal, ruled for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finding the funds were held on a trust that reverted to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upon the purpose’s failure (p. 405). Lord Wilberforce dismissed Barclays’ appeal, holding the bank had notice of the trust (p. 406).</w:t>
      </w:r>
    </w:p>
    <w:p w14:paraId="0338D1A7"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Reasoning:</w:t>
      </w:r>
      <w:r w:rsidRPr="00D8137C">
        <w:rPr>
          <w:rFonts w:ascii="Times New Roman" w:hAnsi="Times New Roman"/>
          <w:lang w:val="en-HK"/>
        </w:rPr>
        <w:t xml:space="preserve"> </w:t>
      </w:r>
    </w:p>
    <w:p w14:paraId="35CF9DB4"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Lord Wilberforce stated: “That arrangements of this character for the payment of a person’s creditors by a third person, give rise to a relationship of a fiduciary character or trust, in favour, as a primary trust, of the creditors, and secondarily, if the primary trust fails, of the third person, has been recognised in a series of cases over some 150 years” (p. 405, quoting [1970] AC 567, 580(C)-(D)). He posited a primary trust for the shareholders (creditors) and a secondary trust for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if the purpose failed (p. 405). On notice, he held that Barclays was informed via the letter and a phone conversation that the money was “trust money and not assets of Rolls Razor Ltd.” (p. 406, quoting [1970] AC 567, 582(D)-(E)), rejecting the bank’s claim to offset the overdraft.</w:t>
      </w:r>
    </w:p>
    <w:p w14:paraId="01326613"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Significance:</w:t>
      </w:r>
      <w:r w:rsidRPr="00D8137C">
        <w:rPr>
          <w:rFonts w:ascii="Times New Roman" w:hAnsi="Times New Roman"/>
          <w:lang w:val="en-HK"/>
        </w:rPr>
        <w:t xml:space="preserve"> </w:t>
      </w:r>
    </w:p>
    <w:p w14:paraId="55CD292E" w14:textId="574FD76C"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lastRenderedPageBreak/>
        <w:t xml:space="preserve">Brown views this as creating a resulting trust, reducing credit risk by granting lenders a proprietary right (in rem) rather than a mere personal claim (in </w:t>
      </w:r>
      <w:proofErr w:type="spellStart"/>
      <w:r w:rsidRPr="00D8137C">
        <w:rPr>
          <w:rFonts w:ascii="Times New Roman" w:hAnsi="Times New Roman"/>
          <w:lang w:val="en-HK"/>
        </w:rPr>
        <w:t>personam</w:t>
      </w:r>
      <w:proofErr w:type="spellEnd"/>
      <w:r w:rsidRPr="00D8137C">
        <w:rPr>
          <w:rFonts w:ascii="Times New Roman" w:hAnsi="Times New Roman"/>
          <w:lang w:val="en-HK"/>
        </w:rPr>
        <w:t>) (p. 403). The “fiduciary character” shifts the lender-borrower relationship from “at arm’s length” to one with trust obligations (p. 403).</w:t>
      </w:r>
    </w:p>
    <w:p w14:paraId="3AB1AA98" w14:textId="77777777" w:rsidR="00D8137C" w:rsidRPr="00D8137C" w:rsidRDefault="00D8137C" w:rsidP="00D8137C">
      <w:pPr>
        <w:spacing w:after="240" w:line="360" w:lineRule="auto"/>
        <w:rPr>
          <w:rFonts w:ascii="Times New Roman" w:hAnsi="Times New Roman"/>
          <w:lang w:val="en-HK"/>
        </w:rPr>
      </w:pPr>
      <w:proofErr w:type="spellStart"/>
      <w:r w:rsidRPr="00D8137C">
        <w:rPr>
          <w:rFonts w:ascii="Times New Roman" w:hAnsi="Times New Roman"/>
          <w:b/>
          <w:bCs/>
          <w:lang w:val="en-HK"/>
        </w:rPr>
        <w:t>Twinsectra</w:t>
      </w:r>
      <w:proofErr w:type="spellEnd"/>
      <w:r w:rsidRPr="00D8137C">
        <w:rPr>
          <w:rFonts w:ascii="Times New Roman" w:hAnsi="Times New Roman"/>
          <w:b/>
          <w:bCs/>
          <w:lang w:val="en-HK"/>
        </w:rPr>
        <w:t xml:space="preserve"> Ltd v Yardley [2002] 2 AC 164</w:t>
      </w:r>
    </w:p>
    <w:p w14:paraId="561AF14D"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Facts:</w:t>
      </w:r>
      <w:r w:rsidRPr="00D8137C">
        <w:rPr>
          <w:rFonts w:ascii="Times New Roman" w:hAnsi="Times New Roman"/>
          <w:lang w:val="en-HK"/>
        </w:rPr>
        <w:t xml:space="preserve"> </w:t>
      </w:r>
    </w:p>
    <w:p w14:paraId="62A8086A"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Though not detailed extensively, </w:t>
      </w:r>
      <w:proofErr w:type="spellStart"/>
      <w:r w:rsidRPr="00D8137C">
        <w:rPr>
          <w:rFonts w:ascii="Times New Roman" w:hAnsi="Times New Roman"/>
          <w:lang w:val="en-HK"/>
        </w:rPr>
        <w:t>Twinsectra</w:t>
      </w:r>
      <w:proofErr w:type="spellEnd"/>
      <w:r w:rsidRPr="00D8137C">
        <w:rPr>
          <w:rFonts w:ascii="Times New Roman" w:hAnsi="Times New Roman"/>
          <w:lang w:val="en-HK"/>
        </w:rPr>
        <w:t xml:space="preserve"> involved a loan for a specific purpose (property acquisition), with Lord Millett’s dissent addressing the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trust’s nature in a dishonest assistance context (p. 406). The majority’s ruling is not discussed, but Millett’s dissent is pivotal for Brown’s analysis.</w:t>
      </w:r>
    </w:p>
    <w:p w14:paraId="22A0314A"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Held:</w:t>
      </w:r>
      <w:r w:rsidRPr="00D8137C">
        <w:rPr>
          <w:rFonts w:ascii="Times New Roman" w:hAnsi="Times New Roman"/>
          <w:lang w:val="en-HK"/>
        </w:rPr>
        <w:t xml:space="preserve"> </w:t>
      </w:r>
    </w:p>
    <w:p w14:paraId="673C99BE" w14:textId="2B48CAFE"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Lord Millett, dissenting, argued the loan created a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trust, with the beneficial interest remaining with the lender until the purpose was fulfilled or failed (p. 406).</w:t>
      </w:r>
    </w:p>
    <w:p w14:paraId="5950E53F"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Reasoning:</w:t>
      </w:r>
      <w:r w:rsidRPr="00D8137C">
        <w:rPr>
          <w:rFonts w:ascii="Times New Roman" w:hAnsi="Times New Roman"/>
          <w:lang w:val="en-HK"/>
        </w:rPr>
        <w:t xml:space="preserve"> </w:t>
      </w:r>
    </w:p>
    <w:p w14:paraId="0F77798E"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Millett stated: “When the money is advanced, the lender acquires a right, enforceable in equity, to see that it is applied for the stated purpose … This prevents the borrower from obtaining any beneficial interest in the money … If for any reason the purpose cannot be carried out, the question arises whether the money … is held on a resulting trust for the lender” (p. 406, quoting [2002] 2 AC 164, para. 69). He added: “the beneficial interest remained throughout in the lender” (p. 406, quoting para. 80), citing </w:t>
      </w:r>
      <w:proofErr w:type="spellStart"/>
      <w:r w:rsidRPr="00D8137C">
        <w:rPr>
          <w:rFonts w:ascii="Times New Roman" w:hAnsi="Times New Roman"/>
          <w:lang w:val="en-HK"/>
        </w:rPr>
        <w:t>Gummow</w:t>
      </w:r>
      <w:proofErr w:type="spellEnd"/>
      <w:r w:rsidRPr="00D8137C">
        <w:rPr>
          <w:rFonts w:ascii="Times New Roman" w:hAnsi="Times New Roman"/>
          <w:lang w:val="en-HK"/>
        </w:rPr>
        <w:t xml:space="preserve"> J in </w:t>
      </w:r>
      <w:r w:rsidRPr="00D8137C">
        <w:rPr>
          <w:rFonts w:ascii="Times New Roman" w:hAnsi="Times New Roman"/>
          <w:i/>
          <w:iCs/>
          <w:lang w:val="en-HK"/>
        </w:rPr>
        <w:t>In re Australian Elizabethan Theatre Trust</w:t>
      </w:r>
      <w:r w:rsidRPr="00D8137C">
        <w:rPr>
          <w:rFonts w:ascii="Times New Roman" w:hAnsi="Times New Roman"/>
          <w:lang w:val="en-HK"/>
        </w:rPr>
        <w:t xml:space="preserve"> (1991) 102 ALR 681 for support (p. 406). Millett saw it as a “security device to protect the lender against other creditors” (p. 406, quoting para. 80).</w:t>
      </w:r>
    </w:p>
    <w:p w14:paraId="4ED4E05A"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Significance:</w:t>
      </w:r>
      <w:r w:rsidRPr="00D8137C">
        <w:rPr>
          <w:rFonts w:ascii="Times New Roman" w:hAnsi="Times New Roman"/>
          <w:lang w:val="en-HK"/>
        </w:rPr>
        <w:t xml:space="preserve"> </w:t>
      </w:r>
    </w:p>
    <w:p w14:paraId="57AFC1D9"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Brown adopts Millett’s resulting trust theory, emphasizing its credit risk mitigation by retaining the lender’s proprietary interest (p. 406). It reinforces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departure from a purely commercial relationship, imposing fiduciary duties (p. 409).</w:t>
      </w:r>
    </w:p>
    <w:p w14:paraId="514D78EE" w14:textId="77777777" w:rsidR="00D8137C" w:rsidRPr="00D8137C" w:rsidRDefault="00D8137C" w:rsidP="00D8137C">
      <w:pPr>
        <w:spacing w:after="240" w:line="360" w:lineRule="auto"/>
        <w:rPr>
          <w:rFonts w:ascii="Times New Roman" w:hAnsi="Times New Roman"/>
          <w:lang w:val="en-HK"/>
        </w:rPr>
      </w:pPr>
    </w:p>
    <w:p w14:paraId="242522E5" w14:textId="77777777" w:rsidR="00D8137C" w:rsidRPr="00D8137C" w:rsidRDefault="00D8137C" w:rsidP="00D8137C">
      <w:pPr>
        <w:spacing w:after="240" w:line="360" w:lineRule="auto"/>
        <w:rPr>
          <w:rFonts w:ascii="Times New Roman" w:hAnsi="Times New Roman"/>
          <w:lang w:val="en-HK"/>
        </w:rPr>
      </w:pPr>
      <w:proofErr w:type="spellStart"/>
      <w:r w:rsidRPr="00D8137C">
        <w:rPr>
          <w:rFonts w:ascii="Times New Roman" w:hAnsi="Times New Roman"/>
          <w:b/>
          <w:bCs/>
          <w:lang w:val="en-HK"/>
        </w:rPr>
        <w:lastRenderedPageBreak/>
        <w:t>Toovey</w:t>
      </w:r>
      <w:proofErr w:type="spellEnd"/>
      <w:r w:rsidRPr="00D8137C">
        <w:rPr>
          <w:rFonts w:ascii="Times New Roman" w:hAnsi="Times New Roman"/>
          <w:b/>
          <w:bCs/>
          <w:lang w:val="en-HK"/>
        </w:rPr>
        <w:t xml:space="preserve"> v Milne (1819) 2 B &amp; A 683</w:t>
      </w:r>
    </w:p>
    <w:p w14:paraId="238404B6"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Facts:</w:t>
      </w:r>
      <w:r w:rsidRPr="00D8137C">
        <w:rPr>
          <w:rFonts w:ascii="Times New Roman" w:hAnsi="Times New Roman"/>
          <w:lang w:val="en-HK"/>
        </w:rPr>
        <w:t xml:space="preserve"> </w:t>
      </w:r>
    </w:p>
    <w:p w14:paraId="1AB582F3"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Details are sparse, but it involved a loan for a specific purpose where the borrower went bankrupt before fulfilling it (p. 405).</w:t>
      </w:r>
    </w:p>
    <w:p w14:paraId="3994695C"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Held:</w:t>
      </w:r>
      <w:r w:rsidRPr="00D8137C">
        <w:rPr>
          <w:rFonts w:ascii="Times New Roman" w:hAnsi="Times New Roman"/>
          <w:lang w:val="en-HK"/>
        </w:rPr>
        <w:t xml:space="preserve"> </w:t>
      </w:r>
    </w:p>
    <w:p w14:paraId="0D9AB3F5"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Abbott CJ held the loan did not form part of the bankrupt’s estate, implying a trust for the lender (p. 405).</w:t>
      </w:r>
    </w:p>
    <w:p w14:paraId="3C1795F6"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Reasoning:</w:t>
      </w:r>
      <w:r w:rsidRPr="00D8137C">
        <w:rPr>
          <w:rFonts w:ascii="Times New Roman" w:hAnsi="Times New Roman"/>
          <w:lang w:val="en-HK"/>
        </w:rPr>
        <w:t xml:space="preserve"> </w:t>
      </w:r>
    </w:p>
    <w:p w14:paraId="6FE0DC66"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Lord Wilberforce in </w:t>
      </w:r>
      <w:proofErr w:type="spellStart"/>
      <w:r w:rsidRPr="00D8137C">
        <w:rPr>
          <w:rFonts w:ascii="Times New Roman" w:hAnsi="Times New Roman"/>
          <w:i/>
          <w:iCs/>
          <w:lang w:val="en-HK"/>
        </w:rPr>
        <w:t>Quistclose</w:t>
      </w:r>
      <w:proofErr w:type="spellEnd"/>
      <w:r w:rsidRPr="00D8137C">
        <w:rPr>
          <w:rFonts w:ascii="Times New Roman" w:hAnsi="Times New Roman"/>
          <w:lang w:val="en-HK"/>
        </w:rPr>
        <w:t xml:space="preserve"> cited this case to support a 150-year precedent for fiduciary arrangements in specific-purpose loans (p. 405, quoting [1970] AC 567, 580(D)-(E)).</w:t>
      </w:r>
    </w:p>
    <w:p w14:paraId="16DB67FE"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Significance:</w:t>
      </w:r>
      <w:r w:rsidRPr="00D8137C">
        <w:rPr>
          <w:rFonts w:ascii="Times New Roman" w:hAnsi="Times New Roman"/>
          <w:lang w:val="en-HK"/>
        </w:rPr>
        <w:t xml:space="preserve"> </w:t>
      </w:r>
    </w:p>
    <w:p w14:paraId="44863E12" w14:textId="1E597755"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Brown uses this to bolster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historical grounding, showing early recognition of proprietary protection for lenders, reducing credit risk (p. 405).</w:t>
      </w:r>
    </w:p>
    <w:p w14:paraId="6D081872"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In re Australian Elizabethan Theatre Trust (1991) 102 ALR 681</w:t>
      </w:r>
    </w:p>
    <w:p w14:paraId="66631940"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Facts:</w:t>
      </w:r>
      <w:r w:rsidRPr="00D8137C">
        <w:rPr>
          <w:rFonts w:ascii="Times New Roman" w:hAnsi="Times New Roman"/>
          <w:lang w:val="en-HK"/>
        </w:rPr>
        <w:t xml:space="preserve"> </w:t>
      </w:r>
    </w:p>
    <w:p w14:paraId="739EC64B"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Specific facts are not provided, but it involved a </w:t>
      </w:r>
      <w:proofErr w:type="spellStart"/>
      <w:r w:rsidRPr="00D8137C">
        <w:rPr>
          <w:rFonts w:ascii="Times New Roman" w:hAnsi="Times New Roman"/>
          <w:lang w:val="en-HK"/>
        </w:rPr>
        <w:t>Quistclose</w:t>
      </w:r>
      <w:proofErr w:type="spellEnd"/>
      <w:r w:rsidRPr="00D8137C">
        <w:rPr>
          <w:rFonts w:ascii="Times New Roman" w:hAnsi="Times New Roman"/>
          <w:lang w:val="en-HK"/>
        </w:rPr>
        <w:t>-style arrangement (p. 406).</w:t>
      </w:r>
    </w:p>
    <w:p w14:paraId="31225E87" w14:textId="654DC581"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Held:</w:t>
      </w:r>
      <w:r w:rsidRPr="00D8137C">
        <w:rPr>
          <w:rFonts w:ascii="Times New Roman" w:hAnsi="Times New Roman"/>
          <w:lang w:val="en-HK"/>
        </w:rPr>
        <w:t xml:space="preserve"> </w:t>
      </w:r>
    </w:p>
    <w:p w14:paraId="0E913078" w14:textId="77777777" w:rsidR="00D8137C" w:rsidRPr="00D8137C" w:rsidRDefault="00D8137C" w:rsidP="00D8137C">
      <w:pPr>
        <w:spacing w:after="240" w:line="360" w:lineRule="auto"/>
        <w:rPr>
          <w:rFonts w:ascii="Times New Roman" w:hAnsi="Times New Roman"/>
          <w:lang w:val="en-HK"/>
        </w:rPr>
      </w:pPr>
      <w:proofErr w:type="spellStart"/>
      <w:r w:rsidRPr="00D8137C">
        <w:rPr>
          <w:rFonts w:ascii="Times New Roman" w:hAnsi="Times New Roman"/>
          <w:lang w:val="en-HK"/>
        </w:rPr>
        <w:t>Gummow</w:t>
      </w:r>
      <w:proofErr w:type="spellEnd"/>
      <w:r w:rsidRPr="00D8137C">
        <w:rPr>
          <w:rFonts w:ascii="Times New Roman" w:hAnsi="Times New Roman"/>
          <w:lang w:val="en-HK"/>
        </w:rPr>
        <w:t xml:space="preserve"> J viewed it as an orthodox trust, not a novel construct (p. 406).</w:t>
      </w:r>
    </w:p>
    <w:p w14:paraId="6ADA65D4"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Reasoning:</w:t>
      </w:r>
      <w:r w:rsidRPr="00D8137C">
        <w:rPr>
          <w:rFonts w:ascii="Times New Roman" w:hAnsi="Times New Roman"/>
          <w:lang w:val="en-HK"/>
        </w:rPr>
        <w:t xml:space="preserve"> </w:t>
      </w:r>
    </w:p>
    <w:p w14:paraId="57815EFD"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Lord Millett in </w:t>
      </w:r>
      <w:proofErr w:type="spellStart"/>
      <w:r w:rsidRPr="00D8137C">
        <w:rPr>
          <w:rFonts w:ascii="Times New Roman" w:hAnsi="Times New Roman"/>
          <w:i/>
          <w:iCs/>
          <w:lang w:val="en-HK"/>
        </w:rPr>
        <w:t>Twinsectra</w:t>
      </w:r>
      <w:proofErr w:type="spellEnd"/>
      <w:r w:rsidRPr="00D8137C">
        <w:rPr>
          <w:rFonts w:ascii="Times New Roman" w:hAnsi="Times New Roman"/>
          <w:lang w:val="en-HK"/>
        </w:rPr>
        <w:t xml:space="preserve"> cited </w:t>
      </w:r>
      <w:proofErr w:type="spellStart"/>
      <w:r w:rsidRPr="00D8137C">
        <w:rPr>
          <w:rFonts w:ascii="Times New Roman" w:hAnsi="Times New Roman"/>
          <w:lang w:val="en-HK"/>
        </w:rPr>
        <w:t>Gummow</w:t>
      </w:r>
      <w:proofErr w:type="spellEnd"/>
      <w:r w:rsidRPr="00D8137C">
        <w:rPr>
          <w:rFonts w:ascii="Times New Roman" w:hAnsi="Times New Roman"/>
          <w:lang w:val="en-HK"/>
        </w:rPr>
        <w:t xml:space="preserve"> J, noting he “saw nothing special in the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trust, regarding it as essentially a security device to protect the lender against other creditors” (p. 406, quoting [2002] 2 AC 164, para. 80).</w:t>
      </w:r>
    </w:p>
    <w:p w14:paraId="301595BA"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Significance:</w:t>
      </w:r>
      <w:r w:rsidRPr="00D8137C">
        <w:rPr>
          <w:rFonts w:ascii="Times New Roman" w:hAnsi="Times New Roman"/>
          <w:lang w:val="en-HK"/>
        </w:rPr>
        <w:t xml:space="preserve"> </w:t>
      </w:r>
    </w:p>
    <w:p w14:paraId="471DDE3B"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lastRenderedPageBreak/>
        <w:t xml:space="preserve">Brown highlights its alignment with Millett’s view, reinforcing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as a credit risk management tool via proprietary rights (p. 406).</w:t>
      </w:r>
    </w:p>
    <w:p w14:paraId="252381FE"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Re EVTR [1987] BCLC 646</w:t>
      </w:r>
    </w:p>
    <w:p w14:paraId="29219871"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Facts:</w:t>
      </w:r>
      <w:r w:rsidRPr="00D8137C">
        <w:rPr>
          <w:rFonts w:ascii="Times New Roman" w:hAnsi="Times New Roman"/>
          <w:lang w:val="en-HK"/>
        </w:rPr>
        <w:t xml:space="preserve"> </w:t>
      </w:r>
    </w:p>
    <w:p w14:paraId="08E1F461"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A lender provided money to buy equipment, but the purpose failed, and the funds were returned (p. 407).</w:t>
      </w:r>
    </w:p>
    <w:p w14:paraId="586D0E31"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Held:</w:t>
      </w:r>
      <w:r w:rsidRPr="00D8137C">
        <w:rPr>
          <w:rFonts w:ascii="Times New Roman" w:hAnsi="Times New Roman"/>
          <w:lang w:val="en-HK"/>
        </w:rPr>
        <w:t xml:space="preserve"> </w:t>
      </w:r>
    </w:p>
    <w:p w14:paraId="6AC64637"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The court recognized a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trust, returning the money to the lender (p. 407).</w:t>
      </w:r>
    </w:p>
    <w:p w14:paraId="5189ADD2"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Reasoning:</w:t>
      </w:r>
      <w:r w:rsidRPr="00D8137C">
        <w:rPr>
          <w:rFonts w:ascii="Times New Roman" w:hAnsi="Times New Roman"/>
          <w:lang w:val="en-HK"/>
        </w:rPr>
        <w:t xml:space="preserve"> </w:t>
      </w:r>
    </w:p>
    <w:p w14:paraId="29DE3578"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Not detailed, but Brown notes it extends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beyond debt repayment to equipment purchases (p. 407).</w:t>
      </w:r>
    </w:p>
    <w:p w14:paraId="188C173B"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Significance:</w:t>
      </w:r>
      <w:r w:rsidRPr="00D8137C">
        <w:rPr>
          <w:rFonts w:ascii="Times New Roman" w:hAnsi="Times New Roman"/>
          <w:lang w:val="en-HK"/>
        </w:rPr>
        <w:t xml:space="preserve"> </w:t>
      </w:r>
    </w:p>
    <w:p w14:paraId="52E4A3C8" w14:textId="0B31B7A0"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Demonstrates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broader application, enhancing its utility in managing credit risk across varied purposes (p. 407).</w:t>
      </w:r>
    </w:p>
    <w:p w14:paraId="286C1D81"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Arguments and Analysis</w:t>
      </w:r>
    </w:p>
    <w:p w14:paraId="74C8B439" w14:textId="57262154"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Brown argues these cases collectively show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as a resulting trust, pivotal for credit risk mitigation (p. 404). Lord Wilberforce’s ambiguity invites debate (p. 403), but Millett’s clarity in </w:t>
      </w:r>
      <w:proofErr w:type="spellStart"/>
      <w:r w:rsidRPr="00D8137C">
        <w:rPr>
          <w:rFonts w:ascii="Times New Roman" w:hAnsi="Times New Roman"/>
          <w:i/>
          <w:iCs/>
          <w:lang w:val="en-HK"/>
        </w:rPr>
        <w:t>Twinsectra</w:t>
      </w:r>
      <w:proofErr w:type="spellEnd"/>
      <w:r w:rsidRPr="00D8137C">
        <w:rPr>
          <w:rFonts w:ascii="Times New Roman" w:hAnsi="Times New Roman"/>
          <w:lang w:val="en-HK"/>
        </w:rPr>
        <w:t xml:space="preserve">—supported by historical cases like </w:t>
      </w:r>
      <w:proofErr w:type="spellStart"/>
      <w:r w:rsidRPr="00D8137C">
        <w:rPr>
          <w:rFonts w:ascii="Times New Roman" w:hAnsi="Times New Roman"/>
          <w:i/>
          <w:iCs/>
          <w:lang w:val="en-HK"/>
        </w:rPr>
        <w:t>Toovey</w:t>
      </w:r>
      <w:proofErr w:type="spellEnd"/>
      <w:r w:rsidRPr="00D8137C">
        <w:rPr>
          <w:rFonts w:ascii="Times New Roman" w:hAnsi="Times New Roman"/>
          <w:lang w:val="en-HK"/>
        </w:rPr>
        <w:t xml:space="preserve"> and judicial views in </w:t>
      </w:r>
      <w:r w:rsidRPr="00D8137C">
        <w:rPr>
          <w:rFonts w:ascii="Times New Roman" w:hAnsi="Times New Roman"/>
          <w:i/>
          <w:iCs/>
          <w:lang w:val="en-HK"/>
        </w:rPr>
        <w:t>Australian Elizabethan</w:t>
      </w:r>
      <w:r w:rsidRPr="00D8137C">
        <w:rPr>
          <w:rFonts w:ascii="Times New Roman" w:hAnsi="Times New Roman"/>
          <w:lang w:val="en-HK"/>
        </w:rPr>
        <w:t xml:space="preserve">—solidifies its proprietary protection (p. 406). </w:t>
      </w:r>
      <w:r w:rsidRPr="00D8137C">
        <w:rPr>
          <w:rFonts w:ascii="Times New Roman" w:hAnsi="Times New Roman"/>
          <w:i/>
          <w:iCs/>
          <w:lang w:val="en-HK"/>
        </w:rPr>
        <w:t>Re EVTR</w:t>
      </w:r>
      <w:r w:rsidRPr="00D8137C">
        <w:rPr>
          <w:rFonts w:ascii="Times New Roman" w:hAnsi="Times New Roman"/>
          <w:lang w:val="en-HK"/>
        </w:rPr>
        <w:t xml:space="preserve"> expands its scope, suggesting versatility (p. 407). Critics, like Lord Wilberforce in </w:t>
      </w:r>
      <w:proofErr w:type="spellStart"/>
      <w:r w:rsidRPr="00D8137C">
        <w:rPr>
          <w:rFonts w:ascii="Times New Roman" w:hAnsi="Times New Roman"/>
          <w:i/>
          <w:iCs/>
          <w:lang w:val="en-HK"/>
        </w:rPr>
        <w:t>Westdeutsche</w:t>
      </w:r>
      <w:proofErr w:type="spellEnd"/>
      <w:r w:rsidRPr="00D8137C">
        <w:rPr>
          <w:rFonts w:ascii="Times New Roman" w:hAnsi="Times New Roman"/>
          <w:i/>
          <w:iCs/>
          <w:lang w:val="en-HK"/>
        </w:rPr>
        <w:t xml:space="preserve"> </w:t>
      </w:r>
      <w:proofErr w:type="spellStart"/>
      <w:r w:rsidRPr="00D8137C">
        <w:rPr>
          <w:rFonts w:ascii="Times New Roman" w:hAnsi="Times New Roman"/>
          <w:i/>
          <w:iCs/>
          <w:lang w:val="en-HK"/>
        </w:rPr>
        <w:t>Landesbank</w:t>
      </w:r>
      <w:proofErr w:type="spellEnd"/>
      <w:r w:rsidRPr="00D8137C">
        <w:rPr>
          <w:rFonts w:ascii="Times New Roman" w:hAnsi="Times New Roman"/>
          <w:i/>
          <w:iCs/>
          <w:lang w:val="en-HK"/>
        </w:rPr>
        <w:t xml:space="preserve"> </w:t>
      </w:r>
      <w:proofErr w:type="spellStart"/>
      <w:r w:rsidRPr="00D8137C">
        <w:rPr>
          <w:rFonts w:ascii="Times New Roman" w:hAnsi="Times New Roman"/>
          <w:i/>
          <w:iCs/>
          <w:lang w:val="en-HK"/>
        </w:rPr>
        <w:t>Girozentrale</w:t>
      </w:r>
      <w:proofErr w:type="spellEnd"/>
      <w:r w:rsidRPr="00D8137C">
        <w:rPr>
          <w:rFonts w:ascii="Times New Roman" w:hAnsi="Times New Roman"/>
          <w:i/>
          <w:iCs/>
          <w:lang w:val="en-HK"/>
        </w:rPr>
        <w:t xml:space="preserve"> v Islington LBC</w:t>
      </w:r>
      <w:r w:rsidRPr="00D8137C">
        <w:rPr>
          <w:rFonts w:ascii="Times New Roman" w:hAnsi="Times New Roman"/>
          <w:lang w:val="en-HK"/>
        </w:rPr>
        <w:t xml:space="preserve"> [1996] AC 669, challenge Millett’s beneficial interest retention as “meaningless” (p. 407), yet Brown prioritizes its practical lender benefit (p. 404).</w:t>
      </w:r>
    </w:p>
    <w:p w14:paraId="52B6EEE9" w14:textId="77777777" w:rsidR="00D8137C" w:rsidRPr="00D8137C" w:rsidRDefault="00581534" w:rsidP="00D8137C">
      <w:pPr>
        <w:spacing w:after="240" w:line="360" w:lineRule="auto"/>
        <w:rPr>
          <w:rFonts w:ascii="Times New Roman" w:hAnsi="Times New Roman"/>
          <w:lang w:val="en-HK"/>
        </w:rPr>
      </w:pPr>
      <w:r w:rsidRPr="00581534">
        <w:rPr>
          <w:rFonts w:ascii="Times New Roman" w:hAnsi="Times New Roman"/>
          <w:noProof/>
          <w:lang w:val="en-HK"/>
          <w14:ligatures w14:val="standardContextual"/>
        </w:rPr>
        <w:pict w14:anchorId="649D25F6">
          <v:rect id="_x0000_i1025" alt="" style="width:451.3pt;height:.05pt;mso-width-percent:0;mso-height-percent:0;mso-width-percent:0;mso-height-percent:0" o:hralign="center" o:hrstd="t" o:hr="t" fillcolor="#a0a0a0" stroked="f"/>
        </w:pict>
      </w:r>
    </w:p>
    <w:p w14:paraId="5316274B" w14:textId="77777777" w:rsidR="00D8137C" w:rsidRPr="00D8137C" w:rsidRDefault="00D8137C" w:rsidP="00D8137C">
      <w:pPr>
        <w:spacing w:after="240" w:line="360" w:lineRule="auto"/>
        <w:outlineLvl w:val="2"/>
        <w:rPr>
          <w:rFonts w:ascii="Times New Roman" w:hAnsi="Times New Roman"/>
          <w:b/>
          <w:bCs/>
          <w:lang w:val="en-HK"/>
        </w:rPr>
      </w:pPr>
      <w:r w:rsidRPr="00D8137C">
        <w:rPr>
          <w:rFonts w:ascii="Times New Roman" w:hAnsi="Times New Roman"/>
          <w:b/>
          <w:bCs/>
          <w:lang w:val="en-HK"/>
        </w:rPr>
        <w:t xml:space="preserve">Summary of the Four Risks and </w:t>
      </w:r>
      <w:proofErr w:type="spellStart"/>
      <w:r w:rsidRPr="00D8137C">
        <w:rPr>
          <w:rFonts w:ascii="Times New Roman" w:hAnsi="Times New Roman"/>
          <w:b/>
          <w:bCs/>
          <w:lang w:val="en-HK"/>
        </w:rPr>
        <w:t>Quistclose</w:t>
      </w:r>
      <w:proofErr w:type="spellEnd"/>
      <w:r w:rsidRPr="00D8137C">
        <w:rPr>
          <w:rFonts w:ascii="Times New Roman" w:hAnsi="Times New Roman"/>
          <w:b/>
          <w:bCs/>
          <w:lang w:val="en-HK"/>
        </w:rPr>
        <w:t xml:space="preserve"> Trust Mitigation</w:t>
      </w:r>
    </w:p>
    <w:p w14:paraId="5ADA9E1D" w14:textId="1431BC6C" w:rsidR="00D8137C" w:rsidRPr="00D8137C" w:rsidRDefault="00D8137C" w:rsidP="00D8137C">
      <w:pPr>
        <w:spacing w:after="240" w:line="360" w:lineRule="auto"/>
        <w:outlineLvl w:val="2"/>
        <w:rPr>
          <w:rFonts w:ascii="Times New Roman" w:hAnsi="Times New Roman"/>
          <w:b/>
          <w:bCs/>
          <w:lang w:val="en-HK"/>
        </w:rPr>
      </w:pPr>
      <w:r w:rsidRPr="00D8137C">
        <w:rPr>
          <w:rFonts w:ascii="Times New Roman" w:hAnsi="Times New Roman"/>
          <w:b/>
          <w:bCs/>
          <w:lang w:val="en-HK"/>
        </w:rPr>
        <w:lastRenderedPageBreak/>
        <w:t>Overview of the Risk Profile</w:t>
      </w:r>
    </w:p>
    <w:p w14:paraId="3CA47A16" w14:textId="2E34E85F"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Brown establishes a "risk profile" comprising four main risks that lenders face during loan finance: direct liability, credit risk, security risk, and reputational risk (p. 402). </w:t>
      </w:r>
    </w:p>
    <w:p w14:paraId="0CEC724A" w14:textId="5C0B5A93"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 xml:space="preserve">1. </w:t>
      </w:r>
      <w:r w:rsidRPr="00D8137C">
        <w:rPr>
          <w:rFonts w:ascii="Times New Roman" w:hAnsi="Times New Roman"/>
          <w:b/>
          <w:bCs/>
          <w:lang w:val="en-HK"/>
        </w:rPr>
        <w:t>Direct Liability</w:t>
      </w:r>
    </w:p>
    <w:p w14:paraId="40874834"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Definition and Nature:</w:t>
      </w:r>
      <w:r w:rsidRPr="00D8137C">
        <w:rPr>
          <w:rFonts w:ascii="Times New Roman" w:hAnsi="Times New Roman"/>
          <w:lang w:val="en-HK"/>
        </w:rPr>
        <w:t xml:space="preserve"> </w:t>
      </w:r>
    </w:p>
    <w:p w14:paraId="443A9549" w14:textId="49CC19E9" w:rsidR="00D8137C" w:rsidRPr="00D8137C" w:rsidRDefault="00D8137C" w:rsidP="00D8137C">
      <w:pPr>
        <w:numPr>
          <w:ilvl w:val="1"/>
          <w:numId w:val="13"/>
        </w:numPr>
        <w:spacing w:after="240" w:line="360" w:lineRule="auto"/>
        <w:rPr>
          <w:rFonts w:ascii="Times New Roman" w:hAnsi="Times New Roman"/>
          <w:lang w:val="en-HK"/>
        </w:rPr>
      </w:pPr>
      <w:r w:rsidRPr="00D8137C">
        <w:rPr>
          <w:rFonts w:ascii="Times New Roman" w:hAnsi="Times New Roman"/>
          <w:lang w:val="en-HK"/>
        </w:rPr>
        <w:t xml:space="preserve">Referred to as "direct liability," "lender liability," or "regulatory risk," this risk "arises out of the banker-customer relationship" (p. 407, quoting Hood, </w:t>
      </w:r>
      <w:r w:rsidRPr="00D8137C">
        <w:rPr>
          <w:rFonts w:ascii="Times New Roman" w:hAnsi="Times New Roman"/>
          <w:i/>
          <w:iCs/>
          <w:lang w:val="en-HK"/>
        </w:rPr>
        <w:t>Lender Liability</w:t>
      </w:r>
      <w:r w:rsidRPr="00D8137C">
        <w:rPr>
          <w:rFonts w:ascii="Times New Roman" w:hAnsi="Times New Roman"/>
          <w:lang w:val="en-HK"/>
        </w:rPr>
        <w:t xml:space="preserve"> (OUP 2012) 1). It encompasses legal accountability imposed on lenders due to their actions or status within the lending relationship.</w:t>
      </w:r>
    </w:p>
    <w:p w14:paraId="167DFA1F" w14:textId="77777777" w:rsidR="00D8137C" w:rsidRPr="00D8137C" w:rsidRDefault="00D8137C" w:rsidP="00D8137C">
      <w:pPr>
        <w:numPr>
          <w:ilvl w:val="1"/>
          <w:numId w:val="13"/>
        </w:numPr>
        <w:spacing w:after="240" w:line="360" w:lineRule="auto"/>
        <w:rPr>
          <w:rFonts w:ascii="Times New Roman" w:hAnsi="Times New Roman"/>
          <w:lang w:val="en-HK"/>
        </w:rPr>
      </w:pPr>
      <w:r w:rsidRPr="00D8137C">
        <w:rPr>
          <w:rFonts w:ascii="Times New Roman" w:hAnsi="Times New Roman"/>
          <w:lang w:val="en-HK"/>
        </w:rPr>
        <w:t>Brown notes that "the ways in which lender liability can arise are legion," including liability as a fiduciary, for negligence, breach of contract, dishonest assistance, or as a constructive trustee (p. 407).</w:t>
      </w:r>
    </w:p>
    <w:p w14:paraId="7D106C57"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Characteristics and Examples:</w:t>
      </w:r>
      <w:r w:rsidRPr="00D8137C">
        <w:rPr>
          <w:rFonts w:ascii="Times New Roman" w:hAnsi="Times New Roman"/>
          <w:lang w:val="en-HK"/>
        </w:rPr>
        <w:t xml:space="preserve"> </w:t>
      </w:r>
    </w:p>
    <w:p w14:paraId="7A19347F"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Scope:</w:t>
      </w:r>
      <w:r w:rsidRPr="00D8137C">
        <w:rPr>
          <w:rFonts w:ascii="Times New Roman" w:hAnsi="Times New Roman"/>
          <w:lang w:val="en-HK"/>
        </w:rPr>
        <w:t xml:space="preserve"> Specific instances include fiduciary breaches (e.g., mismanaging borrower funds), negligence (e.g., failing to advise properly), contractual breaches (e.g., violating loan terms), dishonest assistance in breaches of trust, or acting as a constructive trustee (p. 407, citing Hood, 233-467).</w:t>
      </w:r>
    </w:p>
    <w:p w14:paraId="7B1DA2BB"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Foreclosure Example:</w:t>
      </w:r>
      <w:r w:rsidRPr="00D8137C">
        <w:rPr>
          <w:rFonts w:ascii="Times New Roman" w:hAnsi="Times New Roman"/>
          <w:lang w:val="en-HK"/>
        </w:rPr>
        <w:t xml:space="preserve"> The "most well-known example" is liability post-foreclosure, where a lender repossessing secured property becomes the "owner/occupier" and inherits attached obligations, such as environmental liabilities (p. 407, citing Hood, 525). For instance, if a lender forecloses on contaminated land, they may face cleanup costs under environmental laws (p. 407).</w:t>
      </w:r>
    </w:p>
    <w:p w14:paraId="26BD8A75" w14:textId="77777777" w:rsidR="00D8137C" w:rsidRPr="00D8137C" w:rsidRDefault="00D8137C" w:rsidP="00D8137C">
      <w:pPr>
        <w:spacing w:after="240" w:line="360" w:lineRule="auto"/>
        <w:rPr>
          <w:rFonts w:ascii="Times New Roman" w:hAnsi="Times New Roman"/>
          <w:lang w:val="en-HK"/>
        </w:rPr>
      </w:pPr>
      <w:proofErr w:type="spellStart"/>
      <w:r w:rsidRPr="00D8137C">
        <w:rPr>
          <w:rFonts w:ascii="Times New Roman" w:hAnsi="Times New Roman"/>
          <w:b/>
          <w:bCs/>
          <w:lang w:val="en-HK"/>
        </w:rPr>
        <w:t>Quistclose</w:t>
      </w:r>
      <w:proofErr w:type="spellEnd"/>
      <w:r w:rsidRPr="00D8137C">
        <w:rPr>
          <w:rFonts w:ascii="Times New Roman" w:hAnsi="Times New Roman"/>
          <w:b/>
          <w:bCs/>
          <w:lang w:val="en-HK"/>
        </w:rPr>
        <w:t xml:space="preserve"> Trust Mitigation:</w:t>
      </w:r>
      <w:r w:rsidRPr="00D8137C">
        <w:rPr>
          <w:rFonts w:ascii="Times New Roman" w:hAnsi="Times New Roman"/>
          <w:lang w:val="en-HK"/>
        </w:rPr>
        <w:t xml:space="preserve"> </w:t>
      </w:r>
    </w:p>
    <w:p w14:paraId="50757D26"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Limited Impact:</w:t>
      </w:r>
      <w:r w:rsidRPr="00D8137C">
        <w:rPr>
          <w:rFonts w:ascii="Times New Roman" w:hAnsi="Times New Roman"/>
          <w:lang w:val="en-HK"/>
        </w:rPr>
        <w:t xml:space="preserve"> Brown asserts that "the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trust can do little to remedy direct liability risk, as this is dependent on the various laws governing the lender’s relationship with its borrowers" (p. 407). In </w:t>
      </w:r>
      <w:proofErr w:type="spellStart"/>
      <w:r w:rsidRPr="00D8137C">
        <w:rPr>
          <w:rFonts w:ascii="Times New Roman" w:hAnsi="Times New Roman"/>
          <w:i/>
          <w:iCs/>
          <w:lang w:val="en-HK"/>
        </w:rPr>
        <w:t>Quistclose</w:t>
      </w:r>
      <w:proofErr w:type="spellEnd"/>
      <w:r w:rsidRPr="00D8137C">
        <w:rPr>
          <w:rFonts w:ascii="Times New Roman" w:hAnsi="Times New Roman"/>
          <w:lang w:val="en-HK"/>
        </w:rPr>
        <w:t>, the trust protected the loan funds (£209,719) but did not address Barclays’ potential liabilities as a bank (e.g., if sued for mishandling the account) (p. 404-405).</w:t>
      </w:r>
    </w:p>
    <w:p w14:paraId="600EB876"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lastRenderedPageBreak/>
        <w:t>Reasoning:</w:t>
      </w:r>
      <w:r w:rsidRPr="00D8137C">
        <w:rPr>
          <w:rFonts w:ascii="Times New Roman" w:hAnsi="Times New Roman"/>
          <w:lang w:val="en-HK"/>
        </w:rPr>
        <w:t xml:space="preserve"> Direct liability stems from the lender’s conduct or legal status (e.g., post-foreclosure ownership), not the borrower’s default or fund misuse, which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targets (p. 407). Lord Wilberforce’s focus on the "fiduciary character" (p. 405, quoting [1970] AC 567, 580(C)-(D)) applies to the borrower’s obligations, not the lender’s regulatory exposure.</w:t>
      </w:r>
    </w:p>
    <w:p w14:paraId="3CC46603" w14:textId="7ED768F5"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Explanation:</w:t>
      </w:r>
      <w:r w:rsidRPr="00D8137C">
        <w:rPr>
          <w:rFonts w:ascii="Times New Roman" w:hAnsi="Times New Roman"/>
          <w:lang w:val="en-HK"/>
        </w:rPr>
        <w:t xml:space="preserve">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proprietary mechanism (in rem rights) is irrelevant to direct liability, which involves personal obligations or statutory duties outside the trust’s scope (p. 407).</w:t>
      </w:r>
    </w:p>
    <w:p w14:paraId="558A5801" w14:textId="2D6E1811"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 xml:space="preserve">2. </w:t>
      </w:r>
      <w:r w:rsidRPr="00D8137C">
        <w:rPr>
          <w:rFonts w:ascii="Times New Roman" w:hAnsi="Times New Roman"/>
          <w:b/>
          <w:bCs/>
          <w:lang w:val="en-HK"/>
        </w:rPr>
        <w:t>Credit Risk</w:t>
      </w:r>
    </w:p>
    <w:p w14:paraId="07E765E1"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Definition and Nature:</w:t>
      </w:r>
      <w:r w:rsidRPr="00D8137C">
        <w:rPr>
          <w:rFonts w:ascii="Times New Roman" w:hAnsi="Times New Roman"/>
          <w:lang w:val="en-HK"/>
        </w:rPr>
        <w:t xml:space="preserve"> </w:t>
      </w:r>
    </w:p>
    <w:p w14:paraId="3274BA58" w14:textId="10437B8C"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Defined as "the potential loss arising from a bank borrower or counterparty failing to meet its obligations in accordance with the agreed terms" (p. 403), credit risk occurs "indirectly at the instance of the borrower’s default" (p. 403). It is the central focus of Brown’s thesis.</w:t>
      </w:r>
    </w:p>
    <w:p w14:paraId="15B40378"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Characteristics and Examples:</w:t>
      </w:r>
      <w:r w:rsidRPr="00D8137C">
        <w:rPr>
          <w:rFonts w:ascii="Times New Roman" w:hAnsi="Times New Roman"/>
          <w:lang w:val="en-HK"/>
        </w:rPr>
        <w:t xml:space="preserve"> </w:t>
      </w:r>
    </w:p>
    <w:p w14:paraId="35F5BCEE"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Default Scenario:</w:t>
      </w:r>
      <w:r w:rsidRPr="00D8137C">
        <w:rPr>
          <w:rFonts w:ascii="Times New Roman" w:hAnsi="Times New Roman"/>
          <w:lang w:val="en-HK"/>
        </w:rPr>
        <w:t xml:space="preserve"> Brown explains that it "describes any losses that can be incurred by a lender in the situation where the borrower is unable to meet its loan obligations" (p. 407). In </w:t>
      </w:r>
      <w:proofErr w:type="spellStart"/>
      <w:r w:rsidRPr="00D8137C">
        <w:rPr>
          <w:rFonts w:ascii="Times New Roman" w:hAnsi="Times New Roman"/>
          <w:i/>
          <w:iCs/>
          <w:lang w:val="en-HK"/>
        </w:rPr>
        <w:t>Quistclose</w:t>
      </w:r>
      <w:proofErr w:type="spellEnd"/>
      <w:r w:rsidRPr="00D8137C">
        <w:rPr>
          <w:rFonts w:ascii="Times New Roman" w:hAnsi="Times New Roman"/>
          <w:lang w:val="en-HK"/>
        </w:rPr>
        <w:t>, Rolls Razor’s insolvency triggered this risk, with £209,719 at stake (p. 404).</w:t>
      </w:r>
    </w:p>
    <w:p w14:paraId="3AE7E459"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Insolvency Impact:</w:t>
      </w:r>
      <w:r w:rsidRPr="00D8137C">
        <w:rPr>
          <w:rFonts w:ascii="Times New Roman" w:hAnsi="Times New Roman"/>
          <w:lang w:val="en-HK"/>
        </w:rPr>
        <w:t xml:space="preserve"> The risk is "especially important in an insolvency scenario," where unsecured lenders rank </w:t>
      </w:r>
      <w:proofErr w:type="spellStart"/>
      <w:r w:rsidRPr="00D8137C">
        <w:rPr>
          <w:rFonts w:ascii="Times New Roman" w:hAnsi="Times New Roman"/>
          <w:lang w:val="en-HK"/>
        </w:rPr>
        <w:t>pari</w:t>
      </w:r>
      <w:proofErr w:type="spellEnd"/>
      <w:r w:rsidRPr="00D8137C">
        <w:rPr>
          <w:rFonts w:ascii="Times New Roman" w:hAnsi="Times New Roman"/>
          <w:lang w:val="en-HK"/>
        </w:rPr>
        <w:t xml:space="preserve"> passu with other creditors, reducing recovery chances (p. 407).</w:t>
      </w:r>
    </w:p>
    <w:p w14:paraId="00D9A929" w14:textId="77777777" w:rsidR="00D8137C" w:rsidRPr="00D8137C" w:rsidRDefault="00D8137C" w:rsidP="00D8137C">
      <w:pPr>
        <w:spacing w:after="240" w:line="360" w:lineRule="auto"/>
        <w:rPr>
          <w:rFonts w:ascii="Times New Roman" w:hAnsi="Times New Roman"/>
          <w:lang w:val="en-HK"/>
        </w:rPr>
      </w:pPr>
      <w:proofErr w:type="spellStart"/>
      <w:r w:rsidRPr="00D8137C">
        <w:rPr>
          <w:rFonts w:ascii="Times New Roman" w:hAnsi="Times New Roman"/>
          <w:b/>
          <w:bCs/>
          <w:lang w:val="en-HK"/>
        </w:rPr>
        <w:t>Quistclose</w:t>
      </w:r>
      <w:proofErr w:type="spellEnd"/>
      <w:r w:rsidRPr="00D8137C">
        <w:rPr>
          <w:rFonts w:ascii="Times New Roman" w:hAnsi="Times New Roman"/>
          <w:b/>
          <w:bCs/>
          <w:lang w:val="en-HK"/>
        </w:rPr>
        <w:t xml:space="preserve"> Trust Mitigation:</w:t>
      </w:r>
      <w:r w:rsidRPr="00D8137C">
        <w:rPr>
          <w:rFonts w:ascii="Times New Roman" w:hAnsi="Times New Roman"/>
          <w:lang w:val="en-HK"/>
        </w:rPr>
        <w:t xml:space="preserve"> </w:t>
      </w:r>
    </w:p>
    <w:p w14:paraId="393B4D08"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Primary Mitigation:</w:t>
      </w:r>
      <w:r w:rsidRPr="00D8137C">
        <w:rPr>
          <w:rFonts w:ascii="Times New Roman" w:hAnsi="Times New Roman"/>
          <w:lang w:val="en-HK"/>
        </w:rPr>
        <w:t xml:space="preserve"> Brown argues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"directly relates to the lender’s ability to recover its loan in the case of the borrower’s default" (p. 407), reducing credit risk by granting a "right in rem" (p. 403). Lord Wilberforce held: “if the primary trust fails … [it reverts] to the third person” (p. 405, quoting [1970] AC 567, 580(C)-(D)), ensuring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recovered its funds ahead of Barclays’ offset claim (p. 406).</w:t>
      </w:r>
    </w:p>
    <w:p w14:paraId="2E045E14"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Fiduciary Shift:</w:t>
      </w:r>
      <w:r w:rsidRPr="00D8137C">
        <w:rPr>
          <w:rFonts w:ascii="Times New Roman" w:hAnsi="Times New Roman"/>
          <w:lang w:val="en-HK"/>
        </w:rPr>
        <w:t xml:space="preserve"> Lord Millett in </w:t>
      </w:r>
      <w:proofErr w:type="spellStart"/>
      <w:r w:rsidRPr="00D8137C">
        <w:rPr>
          <w:rFonts w:ascii="Times New Roman" w:hAnsi="Times New Roman"/>
          <w:i/>
          <w:iCs/>
          <w:lang w:val="en-HK"/>
        </w:rPr>
        <w:t>Twinsectra</w:t>
      </w:r>
      <w:proofErr w:type="spellEnd"/>
      <w:r w:rsidRPr="00D8137C">
        <w:rPr>
          <w:rFonts w:ascii="Times New Roman" w:hAnsi="Times New Roman"/>
          <w:i/>
          <w:iCs/>
          <w:lang w:val="en-HK"/>
        </w:rPr>
        <w:t xml:space="preserve"> Ltd v Yardley</w:t>
      </w:r>
      <w:r w:rsidRPr="00D8137C">
        <w:rPr>
          <w:rFonts w:ascii="Times New Roman" w:hAnsi="Times New Roman"/>
          <w:lang w:val="en-HK"/>
        </w:rPr>
        <w:t xml:space="preserve"> [2002] 2 AC 164 states: “a loan … for a specific purpose … gives rise to fiduciary obligations … If … the purpose cannot be carried out … it is held on a resulting trust for the lender” (p. 406, quoting [2002] 2 AC 164, </w:t>
      </w:r>
      <w:r w:rsidRPr="00D8137C">
        <w:rPr>
          <w:rFonts w:ascii="Times New Roman" w:hAnsi="Times New Roman"/>
          <w:lang w:val="en-HK"/>
        </w:rPr>
        <w:lastRenderedPageBreak/>
        <w:t>paras. 68-69). This shifts the relationship from “at arm’s length” (p. 403) to fiduciary, protecting the lender (p. 409).</w:t>
      </w:r>
    </w:p>
    <w:p w14:paraId="4427BFA6"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Case Evidence:</w:t>
      </w:r>
      <w:r w:rsidRPr="00D8137C">
        <w:rPr>
          <w:rFonts w:ascii="Times New Roman" w:hAnsi="Times New Roman"/>
          <w:lang w:val="en-HK"/>
        </w:rPr>
        <w:t xml:space="preserve"> In </w:t>
      </w:r>
      <w:r w:rsidRPr="00D8137C">
        <w:rPr>
          <w:rFonts w:ascii="Times New Roman" w:hAnsi="Times New Roman"/>
          <w:i/>
          <w:iCs/>
          <w:lang w:val="en-HK"/>
        </w:rPr>
        <w:t>Re EVTR</w:t>
      </w:r>
      <w:r w:rsidRPr="00D8137C">
        <w:rPr>
          <w:rFonts w:ascii="Times New Roman" w:hAnsi="Times New Roman"/>
          <w:lang w:val="en-HK"/>
        </w:rPr>
        <w:t xml:space="preserve"> [1987] BCLC 646, funds for equipment were returned upon purpose failure (p. 407), and in </w:t>
      </w:r>
      <w:proofErr w:type="spellStart"/>
      <w:r w:rsidRPr="00D8137C">
        <w:rPr>
          <w:rFonts w:ascii="Times New Roman" w:hAnsi="Times New Roman"/>
          <w:i/>
          <w:iCs/>
          <w:lang w:val="en-HK"/>
        </w:rPr>
        <w:t>Quistclose</w:t>
      </w:r>
      <w:proofErr w:type="spellEnd"/>
      <w:r w:rsidRPr="00D8137C">
        <w:rPr>
          <w:rFonts w:ascii="Times New Roman" w:hAnsi="Times New Roman"/>
          <w:lang w:val="en-HK"/>
        </w:rPr>
        <w:t xml:space="preserve">, insolvency did not diminish recovery (p. 404), illustrating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efficacy.</w:t>
      </w:r>
    </w:p>
    <w:p w14:paraId="35A648D4" w14:textId="789DD76C"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Explanation:</w:t>
      </w:r>
      <w:r w:rsidRPr="00D8137C">
        <w:rPr>
          <w:rFonts w:ascii="Times New Roman" w:hAnsi="Times New Roman"/>
          <w:lang w:val="en-HK"/>
        </w:rPr>
        <w:t xml:space="preserve"> By creating a trust over the loan funds,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ensures they remain outside the borrower’s general assets, mitigating losses in default or insolvency (p. 407). Brown sees this as a “risk management technique” (p. 409).</w:t>
      </w:r>
    </w:p>
    <w:p w14:paraId="4744B3E6" w14:textId="5D8A3896"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 xml:space="preserve">3. </w:t>
      </w:r>
      <w:r w:rsidRPr="00D8137C">
        <w:rPr>
          <w:rFonts w:ascii="Times New Roman" w:hAnsi="Times New Roman"/>
          <w:b/>
          <w:bCs/>
          <w:lang w:val="en-HK"/>
        </w:rPr>
        <w:t>Security Risk</w:t>
      </w:r>
    </w:p>
    <w:p w14:paraId="3A72B77C"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Definition and Nature:</w:t>
      </w:r>
      <w:r w:rsidRPr="00D8137C">
        <w:rPr>
          <w:rFonts w:ascii="Times New Roman" w:hAnsi="Times New Roman"/>
          <w:lang w:val="en-HK"/>
        </w:rPr>
        <w:t xml:space="preserve"> </w:t>
      </w:r>
    </w:p>
    <w:p w14:paraId="5DF5F293"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Brown defines security risk as an "indirect" risk where "the value of the lender’s secured interest under the loan reduces in value" (p. 408). It arises when collateral securing a loan loses worth, exposing the lender to financial shortfall upon borrower default.</w:t>
      </w:r>
    </w:p>
    <w:p w14:paraId="33617C8E"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Characteristics and Examples:</w:t>
      </w:r>
      <w:r w:rsidRPr="00D8137C">
        <w:rPr>
          <w:rFonts w:ascii="Times New Roman" w:hAnsi="Times New Roman"/>
          <w:lang w:val="en-HK"/>
        </w:rPr>
        <w:t xml:space="preserve"> </w:t>
      </w:r>
    </w:p>
    <w:p w14:paraId="4F02ADB4"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Collateral Dependency:</w:t>
      </w:r>
      <w:r w:rsidRPr="00D8137C">
        <w:rPr>
          <w:rFonts w:ascii="Times New Roman" w:hAnsi="Times New Roman"/>
          <w:lang w:val="en-HK"/>
        </w:rPr>
        <w:t xml:space="preserve"> "Loans are often secured against property, but this creates a risk for lenders" (p. 408). If "the borrower defaults … and the security is worth less at this point than the lender’s initial valuation," a loss occurs (p. 408).</w:t>
      </w:r>
    </w:p>
    <w:p w14:paraId="53356154" w14:textId="0BF4F25E"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Market Fluctuations:</w:t>
      </w:r>
      <w:r w:rsidRPr="00D8137C">
        <w:rPr>
          <w:rFonts w:ascii="Times New Roman" w:hAnsi="Times New Roman"/>
          <w:lang w:val="en-HK"/>
        </w:rPr>
        <w:t xml:space="preserve"> The value drop may result from “fluctuations in the market” or other factors (e.g., property damage), though specifics are not detailed (p. 408). For example, a £100,000 loan secured by a £120,000 property might yield only £80,000 upon insolvency sale, leaving a £20,000 deficit.</w:t>
      </w:r>
    </w:p>
    <w:p w14:paraId="53A9F7AA" w14:textId="77777777" w:rsidR="00D8137C" w:rsidRPr="00D8137C" w:rsidRDefault="00D8137C" w:rsidP="00D8137C">
      <w:pPr>
        <w:spacing w:after="240" w:line="360" w:lineRule="auto"/>
        <w:rPr>
          <w:rFonts w:ascii="Times New Roman" w:hAnsi="Times New Roman"/>
          <w:lang w:val="en-HK"/>
        </w:rPr>
      </w:pPr>
      <w:proofErr w:type="spellStart"/>
      <w:r w:rsidRPr="00D8137C">
        <w:rPr>
          <w:rFonts w:ascii="Times New Roman" w:hAnsi="Times New Roman"/>
          <w:b/>
          <w:bCs/>
          <w:lang w:val="en-HK"/>
        </w:rPr>
        <w:t>Quistclose</w:t>
      </w:r>
      <w:proofErr w:type="spellEnd"/>
      <w:r w:rsidRPr="00D8137C">
        <w:rPr>
          <w:rFonts w:ascii="Times New Roman" w:hAnsi="Times New Roman"/>
          <w:b/>
          <w:bCs/>
          <w:lang w:val="en-HK"/>
        </w:rPr>
        <w:t xml:space="preserve"> Trust Mitigation:</w:t>
      </w:r>
      <w:r w:rsidRPr="00D8137C">
        <w:rPr>
          <w:rFonts w:ascii="Times New Roman" w:hAnsi="Times New Roman"/>
          <w:lang w:val="en-HK"/>
        </w:rPr>
        <w:t xml:space="preserve"> </w:t>
      </w:r>
    </w:p>
    <w:p w14:paraId="3A8F06A8"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Alternative Approach:</w:t>
      </w:r>
      <w:r w:rsidRPr="00D8137C">
        <w:rPr>
          <w:rFonts w:ascii="Times New Roman" w:hAnsi="Times New Roman"/>
          <w:lang w:val="en-HK"/>
        </w:rPr>
        <w:t xml:space="preserve"> Brown notes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“can be used instead of secured charges on property to grant the lender a proprietary claim under a trust” (p. 408). In </w:t>
      </w:r>
      <w:proofErr w:type="spellStart"/>
      <w:r w:rsidRPr="00D8137C">
        <w:rPr>
          <w:rFonts w:ascii="Times New Roman" w:hAnsi="Times New Roman"/>
          <w:i/>
          <w:iCs/>
          <w:lang w:val="en-HK"/>
        </w:rPr>
        <w:t>Quistclose</w:t>
      </w:r>
      <w:proofErr w:type="spellEnd"/>
      <w:r w:rsidRPr="00D8137C">
        <w:rPr>
          <w:rFonts w:ascii="Times New Roman" w:hAnsi="Times New Roman"/>
          <w:lang w:val="en-HK"/>
        </w:rPr>
        <w:t>, no collateral was required; the trust over £209,719 ensured recovery despite Rolls Razor’s insolvency (p. 404).</w:t>
      </w:r>
    </w:p>
    <w:p w14:paraId="25ED1F98"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lastRenderedPageBreak/>
        <w:t>Indirect Benefit:</w:t>
      </w:r>
      <w:r w:rsidRPr="00D8137C">
        <w:rPr>
          <w:rFonts w:ascii="Times New Roman" w:hAnsi="Times New Roman"/>
          <w:lang w:val="en-HK"/>
        </w:rPr>
        <w:t xml:space="preserve"> Unlike secured lending,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protects the loan funds themselves, not a separate asset. Millett’s view that “the beneficial interest remained throughout in the lender” (p. 406, quoting [2002] 2 AC 164, para. 80) avoids reliance on fluctuating collateral values (p. 408).</w:t>
      </w:r>
    </w:p>
    <w:p w14:paraId="37059B7F"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Limitation:</w:t>
      </w:r>
      <w:r w:rsidRPr="00D8137C">
        <w:rPr>
          <w:rFonts w:ascii="Times New Roman" w:hAnsi="Times New Roman"/>
          <w:lang w:val="en-HK"/>
        </w:rPr>
        <w:t xml:space="preserve"> Brown cautions that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very specific circumstances … affect the range of its use” (p. 408), requiring a defined purpose (e.g., dividend payment, equipment purchase in </w:t>
      </w:r>
      <w:r w:rsidRPr="00D8137C">
        <w:rPr>
          <w:rFonts w:ascii="Times New Roman" w:hAnsi="Times New Roman"/>
          <w:i/>
          <w:iCs/>
          <w:lang w:val="en-HK"/>
        </w:rPr>
        <w:t>Re EVTR</w:t>
      </w:r>
      <w:r w:rsidRPr="00D8137C">
        <w:rPr>
          <w:rFonts w:ascii="Times New Roman" w:hAnsi="Times New Roman"/>
          <w:lang w:val="en-HK"/>
        </w:rPr>
        <w:t>, p. 407), unlike broadly applicable security interests.</w:t>
      </w:r>
    </w:p>
    <w:p w14:paraId="062FFD30"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Explanation:</w:t>
      </w:r>
      <w:r w:rsidRPr="00D8137C">
        <w:rPr>
          <w:rFonts w:ascii="Times New Roman" w:hAnsi="Times New Roman"/>
          <w:lang w:val="en-HK"/>
        </w:rPr>
        <w:t xml:space="preserve">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mitigates security risk indirectly by sidestepping collateral dependency, offering a trust-based proprietary right that remains intact regardless of asset valuation (p. 408). Its narrow scope, however, limits it as a full substitute (p. 408).</w:t>
      </w:r>
    </w:p>
    <w:p w14:paraId="703A0CE1" w14:textId="69AB156C"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 xml:space="preserve">4. </w:t>
      </w:r>
      <w:r w:rsidRPr="00D8137C">
        <w:rPr>
          <w:rFonts w:ascii="Times New Roman" w:hAnsi="Times New Roman"/>
          <w:b/>
          <w:bCs/>
          <w:lang w:val="en-HK"/>
        </w:rPr>
        <w:t>Reputational Risk</w:t>
      </w:r>
    </w:p>
    <w:p w14:paraId="529B4626"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Definition and Nature:</w:t>
      </w:r>
      <w:r w:rsidRPr="00D8137C">
        <w:rPr>
          <w:rFonts w:ascii="Times New Roman" w:hAnsi="Times New Roman"/>
          <w:lang w:val="en-HK"/>
        </w:rPr>
        <w:t xml:space="preserve"> </w:t>
      </w:r>
    </w:p>
    <w:p w14:paraId="29DEF680"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lang w:val="en-HK"/>
        </w:rPr>
        <w:t>Reputational risk occurs when lenders face "public criticism and ignominy" from lending to controversial entities or projects (p. 408). It is significant for "large commercial lenders" amid rising ESG (environmental-social-governance) and responsible investment concerns (p. 408).</w:t>
      </w:r>
    </w:p>
    <w:p w14:paraId="4F0ADB4E"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Characteristics and Examples:</w:t>
      </w:r>
      <w:r w:rsidRPr="00D8137C">
        <w:rPr>
          <w:rFonts w:ascii="Times New Roman" w:hAnsi="Times New Roman"/>
          <w:lang w:val="en-HK"/>
        </w:rPr>
        <w:t xml:space="preserve"> </w:t>
      </w:r>
    </w:p>
    <w:p w14:paraId="6E8C2BE8"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Controversial Lending:</w:t>
      </w:r>
      <w:r w:rsidRPr="00D8137C">
        <w:rPr>
          <w:rFonts w:ascii="Times New Roman" w:hAnsi="Times New Roman"/>
          <w:lang w:val="en-HK"/>
        </w:rPr>
        <w:t xml:space="preserve"> Examples include funding “the building of an oil pipeline or … an armaments company,” which can attract negative publicity (p. 408, citing </w:t>
      </w:r>
      <w:proofErr w:type="spellStart"/>
      <w:r w:rsidRPr="00D8137C">
        <w:rPr>
          <w:rFonts w:ascii="Times New Roman" w:hAnsi="Times New Roman"/>
          <w:lang w:val="en-HK"/>
        </w:rPr>
        <w:t>Adeabah</w:t>
      </w:r>
      <w:proofErr w:type="spellEnd"/>
      <w:r w:rsidRPr="00D8137C">
        <w:rPr>
          <w:rFonts w:ascii="Times New Roman" w:hAnsi="Times New Roman"/>
          <w:lang w:val="en-HK"/>
        </w:rPr>
        <w:t xml:space="preserve"> et al., ‘Reputational risks in banks’ (2020) J of Economic Surveys 1-50).</w:t>
      </w:r>
    </w:p>
    <w:p w14:paraId="6AC0F2DF"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Non-Financial Impact:</w:t>
      </w:r>
      <w:r w:rsidRPr="00D8137C">
        <w:rPr>
          <w:rFonts w:ascii="Times New Roman" w:hAnsi="Times New Roman"/>
          <w:lang w:val="en-HK"/>
        </w:rPr>
        <w:t xml:space="preserve"> Unlike financial risks (credit, security), this affects the lender’s public image and stakeholder trust, not direct losses (p. 408).</w:t>
      </w:r>
    </w:p>
    <w:p w14:paraId="54FFA646" w14:textId="77777777" w:rsidR="00D8137C" w:rsidRPr="00D8137C" w:rsidRDefault="00D8137C" w:rsidP="00D8137C">
      <w:pPr>
        <w:spacing w:after="240" w:line="360" w:lineRule="auto"/>
        <w:rPr>
          <w:rFonts w:ascii="Times New Roman" w:hAnsi="Times New Roman"/>
          <w:lang w:val="en-HK"/>
        </w:rPr>
      </w:pPr>
      <w:proofErr w:type="spellStart"/>
      <w:r w:rsidRPr="00D8137C">
        <w:rPr>
          <w:rFonts w:ascii="Times New Roman" w:hAnsi="Times New Roman"/>
          <w:b/>
          <w:bCs/>
          <w:lang w:val="en-HK"/>
        </w:rPr>
        <w:t>Quistclose</w:t>
      </w:r>
      <w:proofErr w:type="spellEnd"/>
      <w:r w:rsidRPr="00D8137C">
        <w:rPr>
          <w:rFonts w:ascii="Times New Roman" w:hAnsi="Times New Roman"/>
          <w:b/>
          <w:bCs/>
          <w:lang w:val="en-HK"/>
        </w:rPr>
        <w:t xml:space="preserve"> Trust Mitigation:</w:t>
      </w:r>
      <w:r w:rsidRPr="00D8137C">
        <w:rPr>
          <w:rFonts w:ascii="Times New Roman" w:hAnsi="Times New Roman"/>
          <w:lang w:val="en-HK"/>
        </w:rPr>
        <w:t xml:space="preserve"> </w:t>
      </w:r>
    </w:p>
    <w:p w14:paraId="6E9AB440"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t>No Direct Impact:</w:t>
      </w:r>
      <w:r w:rsidRPr="00D8137C">
        <w:rPr>
          <w:rFonts w:ascii="Times New Roman" w:hAnsi="Times New Roman"/>
          <w:lang w:val="en-HK"/>
        </w:rPr>
        <w:t xml:space="preserve"> Brown states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“does not have a direct bearing on lenders’ reputational risk” (p. 408). In </w:t>
      </w:r>
      <w:proofErr w:type="spellStart"/>
      <w:r w:rsidRPr="00D8137C">
        <w:rPr>
          <w:rFonts w:ascii="Times New Roman" w:hAnsi="Times New Roman"/>
          <w:i/>
          <w:iCs/>
          <w:lang w:val="en-HK"/>
        </w:rPr>
        <w:t>Quistclose</w:t>
      </w:r>
      <w:proofErr w:type="spellEnd"/>
      <w:r w:rsidRPr="00D8137C">
        <w:rPr>
          <w:rFonts w:ascii="Times New Roman" w:hAnsi="Times New Roman"/>
          <w:lang w:val="en-HK"/>
        </w:rPr>
        <w:t xml:space="preserve">, the trust addressed fund recovery, not Barclays’ or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public perception (p. 404).</w:t>
      </w:r>
    </w:p>
    <w:p w14:paraId="4001FFE0" w14:textId="77777777" w:rsidR="00D8137C" w:rsidRPr="00D8137C" w:rsidRDefault="00D8137C" w:rsidP="00D8137C">
      <w:pPr>
        <w:spacing w:after="240" w:line="360" w:lineRule="auto"/>
        <w:ind w:left="1440"/>
        <w:rPr>
          <w:rFonts w:ascii="Times New Roman" w:hAnsi="Times New Roman"/>
          <w:lang w:val="en-HK"/>
        </w:rPr>
      </w:pPr>
    </w:p>
    <w:p w14:paraId="27C1FB2F" w14:textId="77777777" w:rsidR="00D8137C" w:rsidRPr="00D8137C" w:rsidRDefault="00D8137C" w:rsidP="00D8137C">
      <w:pPr>
        <w:spacing w:after="240" w:line="360" w:lineRule="auto"/>
        <w:rPr>
          <w:rFonts w:ascii="Times New Roman" w:hAnsi="Times New Roman"/>
          <w:lang w:val="en-HK"/>
        </w:rPr>
      </w:pPr>
      <w:r w:rsidRPr="00D8137C">
        <w:rPr>
          <w:rFonts w:ascii="Times New Roman" w:hAnsi="Times New Roman"/>
          <w:i/>
          <w:iCs/>
          <w:lang w:val="en-HK"/>
        </w:rPr>
        <w:lastRenderedPageBreak/>
        <w:t>Speculative Potential:</w:t>
      </w:r>
      <w:r w:rsidRPr="00D8137C">
        <w:rPr>
          <w:rFonts w:ascii="Times New Roman" w:hAnsi="Times New Roman"/>
          <w:lang w:val="en-HK"/>
        </w:rPr>
        <w:t xml:space="preserve"> Brown speculates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could influence borrower </w:t>
      </w:r>
      <w:proofErr w:type="spellStart"/>
      <w:r w:rsidRPr="00D8137C">
        <w:rPr>
          <w:rFonts w:ascii="Times New Roman" w:hAnsi="Times New Roman"/>
          <w:lang w:val="en-HK"/>
        </w:rPr>
        <w:t>behavior</w:t>
      </w:r>
      <w:proofErr w:type="spellEnd"/>
      <w:r w:rsidRPr="00D8137C">
        <w:rPr>
          <w:rFonts w:ascii="Times New Roman" w:hAnsi="Times New Roman"/>
          <w:lang w:val="en-HK"/>
        </w:rPr>
        <w:t xml:space="preserve"> (e.g., conditioning loans against climate-harmful projects), potentially reducing reputational risk if breached funds revert (p. 409). This is untested, as Millett’s broad application (“not limited to such cases,” p. 409, quoting [2002] 2 AC 164, para. 68) remains theoretical (p. 409).</w:t>
      </w:r>
    </w:p>
    <w:p w14:paraId="20445AE1" w14:textId="4DD1E368"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Explanation:</w:t>
      </w:r>
      <w:r w:rsidRPr="00D8137C">
        <w:rPr>
          <w:rFonts w:ascii="Times New Roman" w:hAnsi="Times New Roman"/>
          <w:lang w:val="en-HK"/>
        </w:rPr>
        <w:t xml:space="preserve">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focus on financial recovery (credit risk) leaves reputational risk, tied to lending choices, unaffected unless creatively applied to ESG goals, which Brown flags as speculative (p. 408-409).</w:t>
      </w:r>
    </w:p>
    <w:p w14:paraId="514F7462" w14:textId="6B6C19D2" w:rsidR="00D8137C" w:rsidRPr="00D8137C" w:rsidRDefault="00D8137C" w:rsidP="00D8137C">
      <w:pPr>
        <w:spacing w:after="240" w:line="360" w:lineRule="auto"/>
        <w:rPr>
          <w:rFonts w:ascii="Times New Roman" w:hAnsi="Times New Roman"/>
          <w:lang w:val="en-HK"/>
        </w:rPr>
      </w:pPr>
      <w:r w:rsidRPr="00D8137C">
        <w:rPr>
          <w:rFonts w:ascii="Times New Roman" w:hAnsi="Times New Roman"/>
          <w:b/>
          <w:bCs/>
          <w:lang w:val="en-HK"/>
        </w:rPr>
        <w:t>Arguments and Analysis</w:t>
      </w:r>
    </w:p>
    <w:p w14:paraId="1909FC3D" w14:textId="5DD14B80" w:rsidR="00D8137C" w:rsidRPr="00D8137C" w:rsidRDefault="00D8137C" w:rsidP="00D8137C">
      <w:pPr>
        <w:numPr>
          <w:ilvl w:val="0"/>
          <w:numId w:val="17"/>
        </w:numPr>
        <w:spacing w:after="240" w:line="360" w:lineRule="auto"/>
        <w:rPr>
          <w:rFonts w:ascii="Times New Roman" w:hAnsi="Times New Roman"/>
          <w:lang w:val="en-HK"/>
        </w:rPr>
      </w:pPr>
      <w:r w:rsidRPr="00D8137C">
        <w:rPr>
          <w:rFonts w:ascii="Times New Roman" w:hAnsi="Times New Roman"/>
          <w:b/>
          <w:bCs/>
          <w:lang w:val="en-HK"/>
        </w:rPr>
        <w:t>Brown’s Thesis:</w:t>
      </w:r>
      <w:r w:rsidRPr="00D8137C">
        <w:rPr>
          <w:rFonts w:ascii="Times New Roman" w:hAnsi="Times New Roman"/>
          <w:lang w:val="en-HK"/>
        </w:rPr>
        <w:t xml:space="preserve">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“most affects credit risk” (p. 409), directly mitigating losses via in rem rights (p. 407), as seen in </w:t>
      </w:r>
      <w:proofErr w:type="spellStart"/>
      <w:r w:rsidRPr="00D8137C">
        <w:rPr>
          <w:rFonts w:ascii="Times New Roman" w:hAnsi="Times New Roman"/>
          <w:i/>
          <w:iCs/>
          <w:lang w:val="en-HK"/>
        </w:rPr>
        <w:t>Quistclose</w:t>
      </w:r>
      <w:proofErr w:type="spellEnd"/>
      <w:r w:rsidRPr="00D8137C">
        <w:rPr>
          <w:rFonts w:ascii="Times New Roman" w:hAnsi="Times New Roman"/>
          <w:lang w:val="en-HK"/>
        </w:rPr>
        <w:t xml:space="preserve"> and </w:t>
      </w:r>
      <w:proofErr w:type="spellStart"/>
      <w:r w:rsidRPr="00D8137C">
        <w:rPr>
          <w:rFonts w:ascii="Times New Roman" w:hAnsi="Times New Roman"/>
          <w:i/>
          <w:iCs/>
          <w:lang w:val="en-HK"/>
        </w:rPr>
        <w:t>Twinsectra</w:t>
      </w:r>
      <w:proofErr w:type="spellEnd"/>
      <w:r w:rsidRPr="00D8137C">
        <w:rPr>
          <w:rFonts w:ascii="Times New Roman" w:hAnsi="Times New Roman"/>
          <w:lang w:val="en-HK"/>
        </w:rPr>
        <w:t xml:space="preserve"> (p. 404-406). Security risk benefits indirectly as an alternative to collateral (p. 408), while direct liability and reputational risk rely on external legal or social factors </w:t>
      </w:r>
      <w:proofErr w:type="spellStart"/>
      <w:r w:rsidRPr="00D8137C">
        <w:rPr>
          <w:rFonts w:ascii="Times New Roman" w:hAnsi="Times New Roman"/>
          <w:lang w:val="en-HK"/>
        </w:rPr>
        <w:t>Quistclose</w:t>
      </w:r>
      <w:proofErr w:type="spellEnd"/>
      <w:r w:rsidRPr="00D8137C">
        <w:rPr>
          <w:rFonts w:ascii="Times New Roman" w:hAnsi="Times New Roman"/>
          <w:lang w:val="en-HK"/>
        </w:rPr>
        <w:t xml:space="preserve"> cannot address (p. 407-408).</w:t>
      </w:r>
    </w:p>
    <w:p w14:paraId="3EBB550A" w14:textId="356C7AE2" w:rsidR="00D8137C" w:rsidRPr="00D8137C" w:rsidRDefault="00D8137C" w:rsidP="00D8137C">
      <w:pPr>
        <w:numPr>
          <w:ilvl w:val="0"/>
          <w:numId w:val="17"/>
        </w:numPr>
        <w:spacing w:after="240" w:line="360" w:lineRule="auto"/>
        <w:rPr>
          <w:rFonts w:ascii="Times New Roman" w:hAnsi="Times New Roman"/>
          <w:lang w:val="en-HK"/>
        </w:rPr>
      </w:pPr>
      <w:r w:rsidRPr="00D8137C">
        <w:rPr>
          <w:rFonts w:ascii="Times New Roman" w:hAnsi="Times New Roman"/>
          <w:b/>
          <w:bCs/>
          <w:lang w:val="en-HK"/>
        </w:rPr>
        <w:t>Judicial Support:</w:t>
      </w:r>
      <w:r w:rsidRPr="00D8137C">
        <w:rPr>
          <w:rFonts w:ascii="Times New Roman" w:hAnsi="Times New Roman"/>
          <w:lang w:val="en-HK"/>
        </w:rPr>
        <w:t xml:space="preserve"> Wilberforce’s fiduciary shift (p. 403) and Millett’s proprietary retention (p. 406) underpin credit risk mitigation, with </w:t>
      </w:r>
      <w:proofErr w:type="spellStart"/>
      <w:r w:rsidRPr="00D8137C">
        <w:rPr>
          <w:rFonts w:ascii="Times New Roman" w:hAnsi="Times New Roman"/>
          <w:lang w:val="en-HK"/>
        </w:rPr>
        <w:t>Gummow</w:t>
      </w:r>
      <w:proofErr w:type="spellEnd"/>
      <w:r w:rsidRPr="00D8137C">
        <w:rPr>
          <w:rFonts w:ascii="Times New Roman" w:hAnsi="Times New Roman"/>
          <w:lang w:val="en-HK"/>
        </w:rPr>
        <w:t xml:space="preserve"> J viewing it as a “security device” (</w:t>
      </w:r>
      <w:r w:rsidRPr="00D8137C">
        <w:rPr>
          <w:rFonts w:ascii="Times New Roman" w:hAnsi="Times New Roman"/>
          <w:i/>
          <w:iCs/>
          <w:lang w:val="en-HK"/>
        </w:rPr>
        <w:t>Australian Elizabethan Theatre Trust</w:t>
      </w:r>
      <w:r w:rsidRPr="00D8137C">
        <w:rPr>
          <w:rFonts w:ascii="Times New Roman" w:hAnsi="Times New Roman"/>
          <w:lang w:val="en-HK"/>
        </w:rPr>
        <w:t>, p. 406), indirectly aiding security risk (p. 408).</w:t>
      </w:r>
    </w:p>
    <w:p w14:paraId="33BA2F15" w14:textId="77777777" w:rsidR="00D8137C" w:rsidRPr="00D8137C" w:rsidRDefault="00D8137C" w:rsidP="00D8137C">
      <w:pPr>
        <w:numPr>
          <w:ilvl w:val="0"/>
          <w:numId w:val="17"/>
        </w:numPr>
        <w:spacing w:after="240" w:line="360" w:lineRule="auto"/>
        <w:rPr>
          <w:rFonts w:ascii="Times New Roman" w:hAnsi="Times New Roman"/>
          <w:lang w:val="en-HK"/>
        </w:rPr>
      </w:pPr>
      <w:r w:rsidRPr="00D8137C">
        <w:rPr>
          <w:rFonts w:ascii="Times New Roman" w:hAnsi="Times New Roman"/>
          <w:b/>
          <w:bCs/>
          <w:lang w:val="en-HK"/>
        </w:rPr>
        <w:t>Limitations:</w:t>
      </w:r>
      <w:r w:rsidRPr="00D8137C">
        <w:rPr>
          <w:rFonts w:ascii="Times New Roman" w:hAnsi="Times New Roman"/>
          <w:lang w:val="en-HK"/>
        </w:rPr>
        <w:t xml:space="preserve"> Specific-purpose constraints (</w:t>
      </w:r>
      <w:proofErr w:type="spellStart"/>
      <w:r w:rsidRPr="00D8137C">
        <w:rPr>
          <w:rFonts w:ascii="Times New Roman" w:hAnsi="Times New Roman"/>
          <w:i/>
          <w:iCs/>
          <w:lang w:val="en-HK"/>
        </w:rPr>
        <w:t>Toovey</w:t>
      </w:r>
      <w:proofErr w:type="spellEnd"/>
      <w:r w:rsidRPr="00D8137C">
        <w:rPr>
          <w:rFonts w:ascii="Times New Roman" w:hAnsi="Times New Roman"/>
          <w:i/>
          <w:iCs/>
          <w:lang w:val="en-HK"/>
        </w:rPr>
        <w:t xml:space="preserve"> v Milne</w:t>
      </w:r>
      <w:r w:rsidRPr="00D8137C">
        <w:rPr>
          <w:rFonts w:ascii="Times New Roman" w:hAnsi="Times New Roman"/>
          <w:lang w:val="en-HK"/>
        </w:rPr>
        <w:t xml:space="preserve">, </w:t>
      </w:r>
      <w:r w:rsidRPr="00D8137C">
        <w:rPr>
          <w:rFonts w:ascii="Times New Roman" w:hAnsi="Times New Roman"/>
          <w:i/>
          <w:iCs/>
          <w:lang w:val="en-HK"/>
        </w:rPr>
        <w:t>Re EVTR</w:t>
      </w:r>
      <w:r w:rsidRPr="00D8137C">
        <w:rPr>
          <w:rFonts w:ascii="Times New Roman" w:hAnsi="Times New Roman"/>
          <w:lang w:val="en-HK"/>
        </w:rPr>
        <w:t xml:space="preserve">, p. 405-407) limit </w:t>
      </w:r>
      <w:proofErr w:type="spellStart"/>
      <w:r w:rsidRPr="00D8137C">
        <w:rPr>
          <w:rFonts w:ascii="Times New Roman" w:hAnsi="Times New Roman"/>
          <w:lang w:val="en-HK"/>
        </w:rPr>
        <w:t>Quistclose’s</w:t>
      </w:r>
      <w:proofErr w:type="spellEnd"/>
      <w:r w:rsidRPr="00D8137C">
        <w:rPr>
          <w:rFonts w:ascii="Times New Roman" w:hAnsi="Times New Roman"/>
          <w:lang w:val="en-HK"/>
        </w:rPr>
        <w:t xml:space="preserve"> scope, leaving broader risks unaddressed (p. 408).</w:t>
      </w:r>
    </w:p>
    <w:p w14:paraId="7EDFDF47" w14:textId="77777777" w:rsidR="00CD39F1" w:rsidRPr="00D8137C" w:rsidRDefault="00CD39F1" w:rsidP="00D8137C">
      <w:pPr>
        <w:spacing w:after="240" w:line="360" w:lineRule="auto"/>
      </w:pPr>
    </w:p>
    <w:sectPr w:rsidR="00CD39F1" w:rsidRPr="00D81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5C90"/>
    <w:multiLevelType w:val="multilevel"/>
    <w:tmpl w:val="7E6EE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56C9"/>
    <w:multiLevelType w:val="multilevel"/>
    <w:tmpl w:val="540E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B7612"/>
    <w:multiLevelType w:val="multilevel"/>
    <w:tmpl w:val="014E8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B39C6"/>
    <w:multiLevelType w:val="multilevel"/>
    <w:tmpl w:val="30C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5442A"/>
    <w:multiLevelType w:val="multilevel"/>
    <w:tmpl w:val="8EB41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C2866"/>
    <w:multiLevelType w:val="multilevel"/>
    <w:tmpl w:val="F12E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523D6"/>
    <w:multiLevelType w:val="multilevel"/>
    <w:tmpl w:val="264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A6DA6"/>
    <w:multiLevelType w:val="multilevel"/>
    <w:tmpl w:val="A33E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85520"/>
    <w:multiLevelType w:val="multilevel"/>
    <w:tmpl w:val="061A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E0226"/>
    <w:multiLevelType w:val="multilevel"/>
    <w:tmpl w:val="152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305F5"/>
    <w:multiLevelType w:val="multilevel"/>
    <w:tmpl w:val="63F8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64FB2"/>
    <w:multiLevelType w:val="multilevel"/>
    <w:tmpl w:val="459A9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B393A"/>
    <w:multiLevelType w:val="multilevel"/>
    <w:tmpl w:val="313E68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76232"/>
    <w:multiLevelType w:val="multilevel"/>
    <w:tmpl w:val="BD0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A61F0"/>
    <w:multiLevelType w:val="multilevel"/>
    <w:tmpl w:val="E558DC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DC41131"/>
    <w:multiLevelType w:val="multilevel"/>
    <w:tmpl w:val="91F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E34FB"/>
    <w:multiLevelType w:val="multilevel"/>
    <w:tmpl w:val="622A6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416401">
    <w:abstractNumId w:val="11"/>
  </w:num>
  <w:num w:numId="2" w16cid:durableId="1164204938">
    <w:abstractNumId w:val="4"/>
  </w:num>
  <w:num w:numId="3" w16cid:durableId="1352337194">
    <w:abstractNumId w:val="0"/>
  </w:num>
  <w:num w:numId="4" w16cid:durableId="637147036">
    <w:abstractNumId w:val="1"/>
  </w:num>
  <w:num w:numId="5" w16cid:durableId="717166024">
    <w:abstractNumId w:val="16"/>
  </w:num>
  <w:num w:numId="6" w16cid:durableId="1474832971">
    <w:abstractNumId w:val="9"/>
  </w:num>
  <w:num w:numId="7" w16cid:durableId="1073623393">
    <w:abstractNumId w:val="6"/>
  </w:num>
  <w:num w:numId="8" w16cid:durableId="1292861228">
    <w:abstractNumId w:val="3"/>
  </w:num>
  <w:num w:numId="9" w16cid:durableId="579219539">
    <w:abstractNumId w:val="15"/>
  </w:num>
  <w:num w:numId="10" w16cid:durableId="1424297769">
    <w:abstractNumId w:val="5"/>
  </w:num>
  <w:num w:numId="11" w16cid:durableId="1089958594">
    <w:abstractNumId w:val="8"/>
  </w:num>
  <w:num w:numId="12" w16cid:durableId="581257414">
    <w:abstractNumId w:val="13"/>
  </w:num>
  <w:num w:numId="13" w16cid:durableId="1670250596">
    <w:abstractNumId w:val="2"/>
  </w:num>
  <w:num w:numId="14" w16cid:durableId="1612400769">
    <w:abstractNumId w:val="7"/>
  </w:num>
  <w:num w:numId="15" w16cid:durableId="1674379706">
    <w:abstractNumId w:val="10"/>
  </w:num>
  <w:num w:numId="16" w16cid:durableId="574054829">
    <w:abstractNumId w:val="12"/>
  </w:num>
  <w:num w:numId="17" w16cid:durableId="20009620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7C"/>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1534"/>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8137C"/>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0D9D"/>
  <w15:chartTrackingRefBased/>
  <w15:docId w15:val="{9119F6EB-2B70-1D4B-B1D5-64310DC59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81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137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3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13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13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13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13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13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37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8137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8137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D8137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8137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8137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8137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8137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8137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813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37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8137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37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813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137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8137C"/>
    <w:pPr>
      <w:ind w:left="720"/>
      <w:contextualSpacing/>
    </w:pPr>
  </w:style>
  <w:style w:type="character" w:styleId="IntenseEmphasis">
    <w:name w:val="Intense Emphasis"/>
    <w:basedOn w:val="DefaultParagraphFont"/>
    <w:uiPriority w:val="21"/>
    <w:qFormat/>
    <w:rsid w:val="00D8137C"/>
    <w:rPr>
      <w:i/>
      <w:iCs/>
      <w:color w:val="2F5496" w:themeColor="accent1" w:themeShade="BF"/>
    </w:rPr>
  </w:style>
  <w:style w:type="paragraph" w:styleId="IntenseQuote">
    <w:name w:val="Intense Quote"/>
    <w:basedOn w:val="Normal"/>
    <w:next w:val="Normal"/>
    <w:link w:val="IntenseQuoteChar"/>
    <w:uiPriority w:val="30"/>
    <w:qFormat/>
    <w:rsid w:val="00D81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37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8137C"/>
    <w:rPr>
      <w:b/>
      <w:bCs/>
      <w:smallCaps/>
      <w:color w:val="2F5496" w:themeColor="accent1" w:themeShade="BF"/>
      <w:spacing w:val="5"/>
    </w:rPr>
  </w:style>
  <w:style w:type="paragraph" w:customStyle="1" w:styleId="break-words">
    <w:name w:val="break-words"/>
    <w:basedOn w:val="Normal"/>
    <w:rsid w:val="00D8137C"/>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D8137C"/>
    <w:rPr>
      <w:b/>
      <w:bCs/>
    </w:rPr>
  </w:style>
  <w:style w:type="character" w:styleId="Emphasis">
    <w:name w:val="Emphasis"/>
    <w:basedOn w:val="DefaultParagraphFont"/>
    <w:uiPriority w:val="20"/>
    <w:qFormat/>
    <w:rsid w:val="00D813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133644">
      <w:bodyDiv w:val="1"/>
      <w:marLeft w:val="0"/>
      <w:marRight w:val="0"/>
      <w:marTop w:val="0"/>
      <w:marBottom w:val="0"/>
      <w:divBdr>
        <w:top w:val="none" w:sz="0" w:space="0" w:color="auto"/>
        <w:left w:val="none" w:sz="0" w:space="0" w:color="auto"/>
        <w:bottom w:val="none" w:sz="0" w:space="0" w:color="auto"/>
        <w:right w:val="none" w:sz="0" w:space="0" w:color="auto"/>
      </w:divBdr>
      <w:divsChild>
        <w:div w:id="1290480545">
          <w:marLeft w:val="0"/>
          <w:marRight w:val="0"/>
          <w:marTop w:val="0"/>
          <w:marBottom w:val="0"/>
          <w:divBdr>
            <w:top w:val="none" w:sz="0" w:space="0" w:color="auto"/>
            <w:left w:val="none" w:sz="0" w:space="0" w:color="auto"/>
            <w:bottom w:val="none" w:sz="0" w:space="0" w:color="auto"/>
            <w:right w:val="none" w:sz="0" w:space="0" w:color="auto"/>
          </w:divBdr>
        </w:div>
      </w:divsChild>
    </w:div>
    <w:div w:id="2048992690">
      <w:bodyDiv w:val="1"/>
      <w:marLeft w:val="0"/>
      <w:marRight w:val="0"/>
      <w:marTop w:val="0"/>
      <w:marBottom w:val="0"/>
      <w:divBdr>
        <w:top w:val="none" w:sz="0" w:space="0" w:color="auto"/>
        <w:left w:val="none" w:sz="0" w:space="0" w:color="auto"/>
        <w:bottom w:val="none" w:sz="0" w:space="0" w:color="auto"/>
        <w:right w:val="none" w:sz="0" w:space="0" w:color="auto"/>
      </w:divBdr>
      <w:divsChild>
        <w:div w:id="878863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2287</Words>
  <Characters>13039</Characters>
  <Application>Microsoft Office Word</Application>
  <DocSecurity>0</DocSecurity>
  <Lines>108</Lines>
  <Paragraphs>30</Paragraphs>
  <ScaleCrop>false</ScaleCrop>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cp:revision>
  <dcterms:created xsi:type="dcterms:W3CDTF">2025-02-24T22:20:00Z</dcterms:created>
  <dcterms:modified xsi:type="dcterms:W3CDTF">2025-02-24T22:27:00Z</dcterms:modified>
</cp:coreProperties>
</file>