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592B5" w14:textId="77777777" w:rsidR="00AB796A" w:rsidRPr="00A159D0" w:rsidRDefault="00AB796A" w:rsidP="00A159D0">
      <w:pPr>
        <w:spacing w:after="240" w:line="360" w:lineRule="auto"/>
        <w:outlineLvl w:val="2"/>
        <w:rPr>
          <w:rFonts w:ascii="Times New Roman" w:hAnsi="Times New Roman"/>
          <w:b/>
          <w:bCs/>
          <w:lang w:val="en-HK"/>
        </w:rPr>
      </w:pPr>
      <w:r w:rsidRPr="00A159D0">
        <w:rPr>
          <w:rFonts w:ascii="Times New Roman" w:hAnsi="Times New Roman"/>
          <w:b/>
          <w:bCs/>
          <w:lang w:val="en-HK"/>
        </w:rPr>
        <w:t xml:space="preserve">1. What Are </w:t>
      </w:r>
      <w:proofErr w:type="spellStart"/>
      <w:r w:rsidRPr="00A159D0">
        <w:rPr>
          <w:rFonts w:ascii="Times New Roman" w:hAnsi="Times New Roman"/>
          <w:b/>
          <w:bCs/>
          <w:lang w:val="en-HK"/>
        </w:rPr>
        <w:t>Quistclose</w:t>
      </w:r>
      <w:proofErr w:type="spellEnd"/>
      <w:r w:rsidRPr="00A159D0">
        <w:rPr>
          <w:rFonts w:ascii="Times New Roman" w:hAnsi="Times New Roman"/>
          <w:b/>
          <w:bCs/>
          <w:lang w:val="en-HK"/>
        </w:rPr>
        <w:t xml:space="preserve"> Trusts, and How Does the Court Approach Them Currently?</w:t>
      </w:r>
    </w:p>
    <w:p w14:paraId="2BB3AAC8" w14:textId="77777777" w:rsidR="00AB796A" w:rsidRPr="00A159D0" w:rsidRDefault="00AB796A" w:rsidP="00A159D0">
      <w:pPr>
        <w:spacing w:after="240" w:line="360" w:lineRule="auto"/>
        <w:rPr>
          <w:rFonts w:ascii="Times New Roman" w:hAnsi="Times New Roman"/>
          <w:lang w:val="en-HK"/>
        </w:rPr>
      </w:pP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derive their name from the seminal House of Lords decision in </w:t>
      </w:r>
      <w:proofErr w:type="spellStart"/>
      <w:r w:rsidRPr="00A159D0">
        <w:rPr>
          <w:rFonts w:ascii="Times New Roman" w:hAnsi="Times New Roman"/>
          <w:i/>
          <w:iCs/>
          <w:lang w:val="en-HK"/>
        </w:rPr>
        <w:t>Quistclose</w:t>
      </w:r>
      <w:proofErr w:type="spellEnd"/>
      <w:r w:rsidRPr="00A159D0">
        <w:rPr>
          <w:rFonts w:ascii="Times New Roman" w:hAnsi="Times New Roman"/>
          <w:i/>
          <w:iCs/>
          <w:lang w:val="en-HK"/>
        </w:rPr>
        <w:t xml:space="preserve"> Investments Ltd v Rolls Razor Ltd</w:t>
      </w:r>
      <w:r w:rsidRPr="00A159D0">
        <w:rPr>
          <w:rFonts w:ascii="Times New Roman" w:hAnsi="Times New Roman"/>
          <w:lang w:val="en-HK"/>
        </w:rPr>
        <w:t xml:space="preserve"> [1970] AC 567, and they represent a legal mechanism recognized in equity where funds transferred for a specific purpose may be held on trust rather than becoming part of the recipient’s general assets. This section elucidates their nature and the current judicial approach, drawing on case law, doctrinal characterizations, and statutory considerations from the document.</w:t>
      </w:r>
    </w:p>
    <w:p w14:paraId="26AB8AE8" w14:textId="77777777" w:rsidR="00AB796A" w:rsidRPr="00A159D0" w:rsidRDefault="00AB796A" w:rsidP="00A159D0">
      <w:pPr>
        <w:spacing w:after="240" w:line="360" w:lineRule="auto"/>
        <w:rPr>
          <w:rFonts w:ascii="Times New Roman" w:hAnsi="Times New Roman"/>
          <w:lang w:val="en-HK"/>
        </w:rPr>
      </w:pPr>
    </w:p>
    <w:p w14:paraId="1DFCAE5D" w14:textId="77777777" w:rsidR="00AB796A" w:rsidRPr="00A159D0" w:rsidRDefault="00AB796A" w:rsidP="00A159D0">
      <w:pPr>
        <w:spacing w:after="240" w:line="360" w:lineRule="auto"/>
        <w:outlineLvl w:val="3"/>
        <w:rPr>
          <w:rFonts w:ascii="Times New Roman" w:hAnsi="Times New Roman"/>
          <w:b/>
          <w:bCs/>
          <w:lang w:val="en-HK"/>
        </w:rPr>
      </w:pPr>
      <w:r w:rsidRPr="00A159D0">
        <w:rPr>
          <w:rFonts w:ascii="Times New Roman" w:hAnsi="Times New Roman"/>
          <w:b/>
          <w:bCs/>
          <w:lang w:val="en-HK"/>
        </w:rPr>
        <w:t xml:space="preserve">Nature of </w:t>
      </w:r>
      <w:proofErr w:type="spellStart"/>
      <w:r w:rsidRPr="00A159D0">
        <w:rPr>
          <w:rFonts w:ascii="Times New Roman" w:hAnsi="Times New Roman"/>
          <w:b/>
          <w:bCs/>
          <w:lang w:val="en-HK"/>
        </w:rPr>
        <w:t>Quistclose</w:t>
      </w:r>
      <w:proofErr w:type="spellEnd"/>
      <w:r w:rsidRPr="00A159D0">
        <w:rPr>
          <w:rFonts w:ascii="Times New Roman" w:hAnsi="Times New Roman"/>
          <w:b/>
          <w:bCs/>
          <w:lang w:val="en-HK"/>
        </w:rPr>
        <w:t xml:space="preserve"> Trusts</w:t>
      </w:r>
    </w:p>
    <w:p w14:paraId="560F4020" w14:textId="2522F631" w:rsidR="00AB796A" w:rsidRPr="00A159D0" w:rsidRDefault="00AB796A" w:rsidP="00A159D0">
      <w:pPr>
        <w:spacing w:after="240" w:line="360" w:lineRule="auto"/>
        <w:rPr>
          <w:rFonts w:ascii="Times New Roman" w:hAnsi="Times New Roman"/>
          <w:lang w:val="en-HK"/>
        </w:rPr>
      </w:pP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arise in scenarios where money is advanced with a condition that it be used exclusively for a designated purpose, such as paying creditors or acquiring property. The document states: “Such trusts … have been held to arise where money is transferred on terms that it may only be used by the recipient for a specific purpose” (p. 775). If the purpose is fulfilled, the trust dissolves, often leaving a debtor-creditor relationship if the transfer was a loan. However, if the purpose fails or becomes impossible, the lender retains an equitable interest enforceable via a trust, which is particularly advantageous in insolvency, as it keeps the funds outside the borrower’s estate (p. 775, n. 3).</w:t>
      </w:r>
    </w:p>
    <w:p w14:paraId="221BF428"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br/>
      </w:r>
    </w:p>
    <w:p w14:paraId="2572558F"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The paradigmatic case, </w:t>
      </w:r>
      <w:proofErr w:type="spellStart"/>
      <w:r w:rsidRPr="00A159D0">
        <w:rPr>
          <w:rFonts w:ascii="Times New Roman" w:hAnsi="Times New Roman"/>
          <w:i/>
          <w:iCs/>
          <w:lang w:val="en-HK"/>
        </w:rPr>
        <w:t>Quistclose</w:t>
      </w:r>
      <w:proofErr w:type="spellEnd"/>
      <w:r w:rsidRPr="00A159D0">
        <w:rPr>
          <w:rFonts w:ascii="Times New Roman" w:hAnsi="Times New Roman"/>
          <w:i/>
          <w:iCs/>
          <w:lang w:val="en-HK"/>
        </w:rPr>
        <w:t xml:space="preserve"> Investments Ltd v Rolls Razor Ltd</w:t>
      </w:r>
      <w:r w:rsidRPr="00A159D0">
        <w:rPr>
          <w:rFonts w:ascii="Times New Roman" w:hAnsi="Times New Roman"/>
          <w:lang w:val="en-HK"/>
        </w:rPr>
        <w:t xml:space="preserve">, involved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lending £209,719 to Rolls Razor to pay a dividend to shareholders, with the funds deposited into a separate account at Barclays Bank. When Rolls entered voluntary liquidation before paying the dividend, the bank offset the funds against Rolls’ overdraft. Lord Wilberforce held that two sequential trusts arose: a “primary trust” for the shareholders, which failed due to liquidation, and a “secondary trust” for </w:t>
      </w:r>
      <w:proofErr w:type="spellStart"/>
      <w:r w:rsidRPr="00A159D0">
        <w:rPr>
          <w:rFonts w:ascii="Times New Roman" w:hAnsi="Times New Roman"/>
          <w:lang w:val="en-HK"/>
        </w:rPr>
        <w:t>Quistclose</w:t>
      </w:r>
      <w:proofErr w:type="spellEnd"/>
      <w:r w:rsidRPr="00A159D0">
        <w:rPr>
          <w:rFonts w:ascii="Times New Roman" w:hAnsi="Times New Roman"/>
          <w:lang w:val="en-HK"/>
        </w:rPr>
        <w:t>, allowing recovery of the funds (p. 776, citing [1970] AC 567, 580, 582). He reasoned: “when the money is advanced, the lender acquires an equitable right to see that it is applied for the primary designated purpose … if the primary purpose cannot be carried out, the question arises if a secondary purpose (</w:t>
      </w:r>
      <w:proofErr w:type="spellStart"/>
      <w:r w:rsidRPr="00A159D0">
        <w:rPr>
          <w:rFonts w:ascii="Times New Roman" w:hAnsi="Times New Roman"/>
          <w:lang w:val="en-HK"/>
        </w:rPr>
        <w:t>ie</w:t>
      </w:r>
      <w:proofErr w:type="spellEnd"/>
      <w:r w:rsidRPr="00A159D0">
        <w:rPr>
          <w:rFonts w:ascii="Times New Roman" w:hAnsi="Times New Roman"/>
          <w:lang w:val="en-HK"/>
        </w:rPr>
        <w:t xml:space="preserve"> repayment to the lender) has been agreed” (p. 779, quoting [1970] AC 567, 581-582).</w:t>
      </w:r>
    </w:p>
    <w:p w14:paraId="2E491D2D" w14:textId="77777777" w:rsidR="00AB796A" w:rsidRPr="00A159D0" w:rsidRDefault="00AB796A" w:rsidP="00A159D0">
      <w:pPr>
        <w:spacing w:after="240" w:line="360" w:lineRule="auto"/>
        <w:rPr>
          <w:rFonts w:ascii="Times New Roman" w:hAnsi="Times New Roman"/>
          <w:lang w:val="en-HK"/>
        </w:rPr>
      </w:pPr>
    </w:p>
    <w:p w14:paraId="45F1131A" w14:textId="77777777" w:rsidR="00AB796A" w:rsidRPr="00A159D0" w:rsidRDefault="00AB796A" w:rsidP="00A159D0">
      <w:pPr>
        <w:spacing w:after="240" w:line="360" w:lineRule="auto"/>
        <w:outlineLvl w:val="3"/>
        <w:rPr>
          <w:rFonts w:ascii="Times New Roman" w:hAnsi="Times New Roman"/>
          <w:b/>
          <w:bCs/>
          <w:lang w:val="en-HK"/>
        </w:rPr>
      </w:pPr>
      <w:r w:rsidRPr="00A159D0">
        <w:rPr>
          <w:rFonts w:ascii="Times New Roman" w:hAnsi="Times New Roman"/>
          <w:b/>
          <w:bCs/>
          <w:lang w:val="en-HK"/>
        </w:rPr>
        <w:t>Current Judicial Approaches</w:t>
      </w:r>
    </w:p>
    <w:p w14:paraId="7CC2481D" w14:textId="6FE6F9DF"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Courts have adopted varied characterizations—express, resulting, or constructive trusts—reflecting a lack of doctrinal consensus, as Hudson notes: “the existing law and commentary lacks coherence and consistency” (p. 775). These approaches are detailed below:</w:t>
      </w:r>
    </w:p>
    <w:p w14:paraId="1E6C8D84" w14:textId="076B19AE"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1. </w:t>
      </w:r>
      <w:r w:rsidRPr="00A159D0">
        <w:rPr>
          <w:rFonts w:ascii="Times New Roman" w:hAnsi="Times New Roman"/>
          <w:b/>
          <w:bCs/>
          <w:lang w:val="en-HK"/>
        </w:rPr>
        <w:t>Express Trust Model:</w:t>
      </w:r>
      <w:r w:rsidRPr="00A159D0">
        <w:rPr>
          <w:rFonts w:ascii="Times New Roman" w:hAnsi="Times New Roman"/>
          <w:lang w:val="en-HK"/>
        </w:rPr>
        <w:t xml:space="preserve"> </w:t>
      </w:r>
    </w:p>
    <w:p w14:paraId="457DCC08"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Description:</w:t>
      </w:r>
      <w:r w:rsidRPr="00A159D0">
        <w:rPr>
          <w:rFonts w:ascii="Times New Roman" w:hAnsi="Times New Roman"/>
          <w:lang w:val="en-HK"/>
        </w:rPr>
        <w:t xml:space="preserve"> Many courts view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as express trusts, requiring the three certainties (intention, subject matter, and objects), with intention being central. The document cites </w:t>
      </w:r>
      <w:proofErr w:type="spellStart"/>
      <w:r w:rsidRPr="00A159D0">
        <w:rPr>
          <w:rFonts w:ascii="Times New Roman" w:hAnsi="Times New Roman"/>
          <w:lang w:val="en-HK"/>
        </w:rPr>
        <w:t>Gummow</w:t>
      </w:r>
      <w:proofErr w:type="spellEnd"/>
      <w:r w:rsidRPr="00A159D0">
        <w:rPr>
          <w:rFonts w:ascii="Times New Roman" w:hAnsi="Times New Roman"/>
          <w:lang w:val="en-HK"/>
        </w:rPr>
        <w:t xml:space="preserve"> J in </w:t>
      </w:r>
      <w:r w:rsidRPr="00A159D0">
        <w:rPr>
          <w:rFonts w:ascii="Times New Roman" w:hAnsi="Times New Roman"/>
          <w:i/>
          <w:iCs/>
          <w:lang w:val="en-HK"/>
        </w:rPr>
        <w:t>Re Australian Elizabethan Theatre Trust</w:t>
      </w:r>
      <w:r w:rsidRPr="00A159D0">
        <w:rPr>
          <w:rFonts w:ascii="Times New Roman" w:hAnsi="Times New Roman"/>
          <w:lang w:val="en-HK"/>
        </w:rPr>
        <w:t xml:space="preserve"> (1991) 102 ALR 681, 693: “The question as to the existence of </w:t>
      </w:r>
      <w:r w:rsidRPr="00A159D0">
        <w:rPr>
          <w:rFonts w:ascii="Times New Roman" w:hAnsi="Times New Roman"/>
          <w:b/>
          <w:bCs/>
          <w:lang w:val="en-HK"/>
        </w:rPr>
        <w:t>any express trust will always have to be answered by reference to intention … inferred from the language employed by the parties</w:t>
      </w:r>
      <w:r w:rsidRPr="00A159D0">
        <w:rPr>
          <w:rFonts w:ascii="Times New Roman" w:hAnsi="Times New Roman"/>
          <w:lang w:val="en-HK"/>
        </w:rPr>
        <w:t>” (p. 780).</w:t>
      </w:r>
    </w:p>
    <w:p w14:paraId="2872B8CD"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Case Law:</w:t>
      </w:r>
      <w:r w:rsidRPr="00A159D0">
        <w:rPr>
          <w:rFonts w:ascii="Times New Roman" w:hAnsi="Times New Roman"/>
          <w:lang w:val="en-HK"/>
        </w:rPr>
        <w:t xml:space="preserve"> In </w:t>
      </w:r>
      <w:proofErr w:type="spellStart"/>
      <w:r w:rsidRPr="00A159D0">
        <w:rPr>
          <w:rFonts w:ascii="Times New Roman" w:hAnsi="Times New Roman"/>
          <w:i/>
          <w:iCs/>
          <w:lang w:val="en-HK"/>
        </w:rPr>
        <w:t>Twinsectra</w:t>
      </w:r>
      <w:proofErr w:type="spellEnd"/>
      <w:r w:rsidRPr="00A159D0">
        <w:rPr>
          <w:rFonts w:ascii="Times New Roman" w:hAnsi="Times New Roman"/>
          <w:i/>
          <w:iCs/>
          <w:lang w:val="en-HK"/>
        </w:rPr>
        <w:t xml:space="preserve"> Ltd v Yardley</w:t>
      </w:r>
      <w:r w:rsidRPr="00A159D0">
        <w:rPr>
          <w:rFonts w:ascii="Times New Roman" w:hAnsi="Times New Roman"/>
          <w:lang w:val="en-HK"/>
        </w:rPr>
        <w:t xml:space="preserve"> [2002] 2 AC 164, the Court of Appeal initially framed it as an express trust, though the House of Lords shifted to a resulting trust (p. 786). Potter LJ described a primary purpose trust with the beneficial interest “in suspense” until applied (p. 786, n. 62). In </w:t>
      </w:r>
      <w:proofErr w:type="spellStart"/>
      <w:r w:rsidRPr="00A159D0">
        <w:rPr>
          <w:rFonts w:ascii="Times New Roman" w:hAnsi="Times New Roman"/>
          <w:i/>
          <w:iCs/>
          <w:lang w:val="en-HK"/>
        </w:rPr>
        <w:t>Quistclose</w:t>
      </w:r>
      <w:proofErr w:type="spellEnd"/>
      <w:r w:rsidRPr="00A159D0">
        <w:rPr>
          <w:rFonts w:ascii="Times New Roman" w:hAnsi="Times New Roman"/>
          <w:lang w:val="en-HK"/>
        </w:rPr>
        <w:t>, Lord Wilberforce inferred a mutual intention that the funds not become Rolls’ general assets (p. 779).</w:t>
      </w:r>
    </w:p>
    <w:p w14:paraId="5C10D204" w14:textId="4C1D9D76"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Critique:</w:t>
      </w:r>
      <w:r w:rsidRPr="00A159D0">
        <w:rPr>
          <w:rFonts w:ascii="Times New Roman" w:hAnsi="Times New Roman"/>
          <w:lang w:val="en-HK"/>
        </w:rPr>
        <w:t xml:space="preserve"> Hudson argues that evidence of intention is often tenuous, as in </w:t>
      </w:r>
      <w:proofErr w:type="spellStart"/>
      <w:r w:rsidRPr="00A159D0">
        <w:rPr>
          <w:rFonts w:ascii="Times New Roman" w:hAnsi="Times New Roman"/>
          <w:i/>
          <w:iCs/>
          <w:lang w:val="en-HK"/>
        </w:rPr>
        <w:t>Quistclose</w:t>
      </w:r>
      <w:proofErr w:type="spellEnd"/>
      <w:r w:rsidRPr="00A159D0">
        <w:rPr>
          <w:rFonts w:ascii="Times New Roman" w:hAnsi="Times New Roman"/>
          <w:lang w:val="en-HK"/>
        </w:rPr>
        <w:t xml:space="preserve">, where the loan’s context (John Bloom’s interconnected companies) suggested a hasty arrangement rather than a trust (p. 784). Similarly, in </w:t>
      </w:r>
      <w:proofErr w:type="spellStart"/>
      <w:r w:rsidRPr="00A159D0">
        <w:rPr>
          <w:rFonts w:ascii="Times New Roman" w:hAnsi="Times New Roman"/>
          <w:i/>
          <w:iCs/>
          <w:lang w:val="en-HK"/>
        </w:rPr>
        <w:t>Twinsectra</w:t>
      </w:r>
      <w:proofErr w:type="spellEnd"/>
      <w:r w:rsidRPr="00A159D0">
        <w:rPr>
          <w:rFonts w:ascii="Times New Roman" w:hAnsi="Times New Roman"/>
          <w:lang w:val="en-HK"/>
        </w:rPr>
        <w:t>, the lack of segregation and vague purpose undermined an express trust (p. 787).</w:t>
      </w:r>
    </w:p>
    <w:p w14:paraId="0937B336" w14:textId="146A128B"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2. Resulting Trust Model:</w:t>
      </w:r>
      <w:r w:rsidRPr="00A159D0">
        <w:rPr>
          <w:rFonts w:ascii="Times New Roman" w:hAnsi="Times New Roman"/>
          <w:lang w:val="en-HK"/>
        </w:rPr>
        <w:t xml:space="preserve"> </w:t>
      </w:r>
    </w:p>
    <w:p w14:paraId="38E2CFFF"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Description:</w:t>
      </w:r>
      <w:r w:rsidRPr="00A159D0">
        <w:rPr>
          <w:rFonts w:ascii="Times New Roman" w:hAnsi="Times New Roman"/>
          <w:lang w:val="en-HK"/>
        </w:rPr>
        <w:t xml:space="preserve"> Lord Millett in </w:t>
      </w:r>
      <w:proofErr w:type="spellStart"/>
      <w:r w:rsidRPr="00A159D0">
        <w:rPr>
          <w:rFonts w:ascii="Times New Roman" w:hAnsi="Times New Roman"/>
          <w:i/>
          <w:iCs/>
          <w:lang w:val="en-HK"/>
        </w:rPr>
        <w:t>Twinsectra</w:t>
      </w:r>
      <w:proofErr w:type="spellEnd"/>
      <w:r w:rsidRPr="00A159D0">
        <w:rPr>
          <w:rFonts w:ascii="Times New Roman" w:hAnsi="Times New Roman"/>
          <w:lang w:val="en-HK"/>
        </w:rPr>
        <w:t xml:space="preserve"> [2002] 2 AC 164 proposed a single resulting trust, asserting the beneficial interest remains with the lender unless the purpose is fulfilled (p. 781). He stated: “the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 is best characterised as resulting as the lender did not intend to vest in the borrower the beneficial interest” (p. 781, citing [2002] 2 AC 164, [100], [102]).</w:t>
      </w:r>
    </w:p>
    <w:p w14:paraId="1D3BA4C8"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Case Facts and Reasoning:</w:t>
      </w:r>
      <w:r w:rsidRPr="00A159D0">
        <w:rPr>
          <w:rFonts w:ascii="Times New Roman" w:hAnsi="Times New Roman"/>
          <w:lang w:val="en-HK"/>
        </w:rPr>
        <w:t xml:space="preserve"> </w:t>
      </w:r>
      <w:proofErr w:type="spellStart"/>
      <w:r w:rsidRPr="00A159D0">
        <w:rPr>
          <w:rFonts w:ascii="Times New Roman" w:hAnsi="Times New Roman"/>
          <w:lang w:val="en-HK"/>
        </w:rPr>
        <w:t>Twinsectra</w:t>
      </w:r>
      <w:proofErr w:type="spellEnd"/>
      <w:r w:rsidRPr="00A159D0">
        <w:rPr>
          <w:rFonts w:ascii="Times New Roman" w:hAnsi="Times New Roman"/>
          <w:lang w:val="en-HK"/>
        </w:rPr>
        <w:t xml:space="preserve"> lent £1 million for property acquisition, secured by a solicitor’s undertaking. When misapplied, Lord Millett held a resulting trust arose </w:t>
      </w:r>
      <w:r w:rsidRPr="00A159D0">
        <w:rPr>
          <w:rFonts w:ascii="Times New Roman" w:hAnsi="Times New Roman"/>
          <w:lang w:val="en-HK"/>
        </w:rPr>
        <w:lastRenderedPageBreak/>
        <w:t xml:space="preserve">immediately, as the lender lacked intent to benefit the borrower (p. 781). This departs from his earlier view in “The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 Who Can Enforce It?” (1985) 101 LQR 269, </w:t>
      </w:r>
      <w:proofErr w:type="spellStart"/>
      <w:r w:rsidRPr="00A159D0">
        <w:rPr>
          <w:rFonts w:ascii="Times New Roman" w:hAnsi="Times New Roman"/>
          <w:lang w:val="en-HK"/>
        </w:rPr>
        <w:t>favoring</w:t>
      </w:r>
      <w:proofErr w:type="spellEnd"/>
      <w:r w:rsidRPr="00A159D0">
        <w:rPr>
          <w:rFonts w:ascii="Times New Roman" w:hAnsi="Times New Roman"/>
          <w:lang w:val="en-HK"/>
        </w:rPr>
        <w:t xml:space="preserve"> an express trust (p. 781, n. 30).</w:t>
      </w:r>
    </w:p>
    <w:p w14:paraId="2974CDD5"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Judicial Reception:</w:t>
      </w:r>
      <w:r w:rsidRPr="00A159D0">
        <w:rPr>
          <w:rFonts w:ascii="Times New Roman" w:hAnsi="Times New Roman"/>
          <w:lang w:val="en-HK"/>
        </w:rPr>
        <w:t xml:space="preserve"> English courts have followed this, e.g., </w:t>
      </w:r>
      <w:r w:rsidRPr="00A159D0">
        <w:rPr>
          <w:rFonts w:ascii="Times New Roman" w:hAnsi="Times New Roman"/>
          <w:i/>
          <w:iCs/>
          <w:lang w:val="en-HK"/>
        </w:rPr>
        <w:t xml:space="preserve">Bellis v </w:t>
      </w:r>
      <w:proofErr w:type="spellStart"/>
      <w:r w:rsidRPr="00A159D0">
        <w:rPr>
          <w:rFonts w:ascii="Times New Roman" w:hAnsi="Times New Roman"/>
          <w:i/>
          <w:iCs/>
          <w:lang w:val="en-HK"/>
        </w:rPr>
        <w:t>Challinor</w:t>
      </w:r>
      <w:proofErr w:type="spellEnd"/>
      <w:r w:rsidRPr="00A159D0">
        <w:rPr>
          <w:rFonts w:ascii="Times New Roman" w:hAnsi="Times New Roman"/>
          <w:lang w:val="en-HK"/>
        </w:rPr>
        <w:t xml:space="preserve"> [2015] EWCA </w:t>
      </w:r>
      <w:proofErr w:type="spellStart"/>
      <w:r w:rsidRPr="00A159D0">
        <w:rPr>
          <w:rFonts w:ascii="Times New Roman" w:hAnsi="Times New Roman"/>
          <w:lang w:val="en-HK"/>
        </w:rPr>
        <w:t>Civ</w:t>
      </w:r>
      <w:proofErr w:type="spellEnd"/>
      <w:r w:rsidRPr="00A159D0">
        <w:rPr>
          <w:rFonts w:ascii="Times New Roman" w:hAnsi="Times New Roman"/>
          <w:lang w:val="en-HK"/>
        </w:rPr>
        <w:t xml:space="preserve"> 59, where Briggs LJ noted the default position is absolute transfer unless restricted use is proven (p. 782, citing [2015] EWCA </w:t>
      </w:r>
      <w:proofErr w:type="spellStart"/>
      <w:r w:rsidRPr="00A159D0">
        <w:rPr>
          <w:rFonts w:ascii="Times New Roman" w:hAnsi="Times New Roman"/>
          <w:lang w:val="en-HK"/>
        </w:rPr>
        <w:t>Civ</w:t>
      </w:r>
      <w:proofErr w:type="spellEnd"/>
      <w:r w:rsidRPr="00A159D0">
        <w:rPr>
          <w:rFonts w:ascii="Times New Roman" w:hAnsi="Times New Roman"/>
          <w:lang w:val="en-HK"/>
        </w:rPr>
        <w:t xml:space="preserve"> 59, [65]).</w:t>
      </w:r>
    </w:p>
    <w:p w14:paraId="582C5877"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Critique:</w:t>
      </w:r>
      <w:r w:rsidRPr="00A159D0">
        <w:rPr>
          <w:rFonts w:ascii="Times New Roman" w:hAnsi="Times New Roman"/>
          <w:lang w:val="en-HK"/>
        </w:rPr>
        <w:t xml:space="preserve"> Hudson highlights doctrinal tensions, as Millett’s focus on intention resembles an express trust, creating a “hybrid” (p. 781, citing Penner, p. 781, n. 34). Penner questions: “What … genuinely distinguishes A’s intention that he retain the beneficial interest from A’s intention only that B should not have it?” (p. 783, quoting Penner, p. 783, n. 44).</w:t>
      </w:r>
    </w:p>
    <w:p w14:paraId="23675974" w14:textId="250E6BC1"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3. </w:t>
      </w:r>
      <w:r w:rsidRPr="00A159D0">
        <w:rPr>
          <w:rFonts w:ascii="Times New Roman" w:hAnsi="Times New Roman"/>
          <w:b/>
          <w:bCs/>
          <w:lang w:val="en-HK"/>
        </w:rPr>
        <w:t>Constructive Trust Possibility:</w:t>
      </w:r>
      <w:r w:rsidRPr="00A159D0">
        <w:rPr>
          <w:rFonts w:ascii="Times New Roman" w:hAnsi="Times New Roman"/>
          <w:lang w:val="en-HK"/>
        </w:rPr>
        <w:t xml:space="preserve"> </w:t>
      </w:r>
    </w:p>
    <w:p w14:paraId="4EDF78B4"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Description:</w:t>
      </w:r>
      <w:r w:rsidRPr="00A159D0">
        <w:rPr>
          <w:rFonts w:ascii="Times New Roman" w:hAnsi="Times New Roman"/>
          <w:lang w:val="en-HK"/>
        </w:rPr>
        <w:t xml:space="preserve"> Though not dominant, some suggest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are imposed as </w:t>
      </w:r>
      <w:r w:rsidRPr="00A159D0">
        <w:rPr>
          <w:rFonts w:ascii="Times New Roman" w:hAnsi="Times New Roman"/>
          <w:b/>
          <w:bCs/>
          <w:lang w:val="en-HK"/>
        </w:rPr>
        <w:t>constructive trusts, especially where intention is weak</w:t>
      </w:r>
      <w:r w:rsidRPr="00A159D0">
        <w:rPr>
          <w:rFonts w:ascii="Times New Roman" w:hAnsi="Times New Roman"/>
          <w:lang w:val="en-HK"/>
        </w:rPr>
        <w:t xml:space="preserve">. In </w:t>
      </w:r>
      <w:r w:rsidRPr="00A159D0">
        <w:rPr>
          <w:rFonts w:ascii="Times New Roman" w:hAnsi="Times New Roman"/>
          <w:i/>
          <w:iCs/>
          <w:lang w:val="en-HK"/>
        </w:rPr>
        <w:t>Re EVTR Ltd</w:t>
      </w:r>
      <w:r w:rsidRPr="00A159D0">
        <w:rPr>
          <w:rFonts w:ascii="Times New Roman" w:hAnsi="Times New Roman"/>
          <w:lang w:val="en-HK"/>
        </w:rPr>
        <w:t xml:space="preserve"> (1987) 3 BCC 389, Dillon LJ held repaid funds were subject to a constructive trust after the initial purpose failed, citing </w:t>
      </w:r>
      <w:r w:rsidRPr="00A159D0">
        <w:rPr>
          <w:rFonts w:ascii="Times New Roman" w:hAnsi="Times New Roman"/>
          <w:i/>
          <w:iCs/>
          <w:lang w:val="en-HK"/>
        </w:rPr>
        <w:t>Keech v Sandford</w:t>
      </w:r>
      <w:r w:rsidRPr="00A159D0">
        <w:rPr>
          <w:rFonts w:ascii="Times New Roman" w:hAnsi="Times New Roman"/>
          <w:lang w:val="en-HK"/>
        </w:rPr>
        <w:t xml:space="preserve"> (1726) </w:t>
      </w:r>
      <w:proofErr w:type="spellStart"/>
      <w:r w:rsidRPr="00A159D0">
        <w:rPr>
          <w:rFonts w:ascii="Times New Roman" w:hAnsi="Times New Roman"/>
          <w:lang w:val="en-HK"/>
        </w:rPr>
        <w:t>Sel</w:t>
      </w:r>
      <w:proofErr w:type="spellEnd"/>
      <w:r w:rsidRPr="00A159D0">
        <w:rPr>
          <w:rFonts w:ascii="Times New Roman" w:hAnsi="Times New Roman"/>
          <w:lang w:val="en-HK"/>
        </w:rPr>
        <w:t xml:space="preserve"> Cas T King 61 (p. 797).</w:t>
      </w:r>
    </w:p>
    <w:p w14:paraId="641C95A8"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Case Facts:</w:t>
      </w:r>
      <w:r w:rsidRPr="00A159D0">
        <w:rPr>
          <w:rFonts w:ascii="Times New Roman" w:hAnsi="Times New Roman"/>
          <w:lang w:val="en-HK"/>
        </w:rPr>
        <w:t xml:space="preserve"> Mr. Barber lent £60,000 to EVTR for equipment, which failed when EVTR entered receivership. The Court of Appeal held the repaid sum was held on trust for Barber (p. 797).</w:t>
      </w:r>
    </w:p>
    <w:p w14:paraId="18E43EEB" w14:textId="272E96BA"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Critique:</w:t>
      </w:r>
      <w:r w:rsidRPr="00A159D0">
        <w:rPr>
          <w:rFonts w:ascii="Times New Roman" w:hAnsi="Times New Roman"/>
          <w:lang w:val="en-HK"/>
        </w:rPr>
        <w:t xml:space="preserve"> Hudson suggests this aligns with fairness or unconscionability, not intention, indicating an imposed trust (p. 803).</w:t>
      </w:r>
    </w:p>
    <w:p w14:paraId="074E8348" w14:textId="77777777" w:rsidR="00AB796A" w:rsidRPr="00A159D0" w:rsidRDefault="00AB796A" w:rsidP="00A159D0">
      <w:pPr>
        <w:spacing w:after="240" w:line="360" w:lineRule="auto"/>
        <w:outlineLvl w:val="3"/>
        <w:rPr>
          <w:rFonts w:ascii="Times New Roman" w:hAnsi="Times New Roman"/>
          <w:b/>
          <w:bCs/>
          <w:lang w:val="en-HK"/>
        </w:rPr>
      </w:pPr>
      <w:r w:rsidRPr="00A159D0">
        <w:rPr>
          <w:rFonts w:ascii="Times New Roman" w:hAnsi="Times New Roman"/>
          <w:b/>
          <w:bCs/>
          <w:lang w:val="en-HK"/>
        </w:rPr>
        <w:t>Statutory Context</w:t>
      </w:r>
    </w:p>
    <w:p w14:paraId="1D0F09B9" w14:textId="3D6805C6"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The document references insolvency and personal property securities laws affecting judicial approaches:</w:t>
      </w:r>
    </w:p>
    <w:p w14:paraId="1A9C14E3" w14:textId="56CFDE48" w:rsidR="00AB796A" w:rsidRPr="00A159D0" w:rsidRDefault="00AB796A" w:rsidP="00A159D0">
      <w:pPr>
        <w:numPr>
          <w:ilvl w:val="0"/>
          <w:numId w:val="4"/>
        </w:numPr>
        <w:spacing w:after="240" w:line="360" w:lineRule="auto"/>
        <w:rPr>
          <w:rFonts w:ascii="Times New Roman" w:hAnsi="Times New Roman"/>
          <w:lang w:val="en-HK"/>
        </w:rPr>
      </w:pPr>
      <w:r w:rsidRPr="00A159D0">
        <w:rPr>
          <w:rFonts w:ascii="Times New Roman" w:hAnsi="Times New Roman"/>
          <w:b/>
          <w:bCs/>
          <w:lang w:val="en-HK"/>
        </w:rPr>
        <w:t>Insolvency Act 1986 (UK):</w:t>
      </w:r>
      <w:r w:rsidRPr="00A159D0">
        <w:rPr>
          <w:rFonts w:ascii="Times New Roman" w:hAnsi="Times New Roman"/>
          <w:lang w:val="en-HK"/>
        </w:rPr>
        <w:t xml:space="preserve"> Section 239 defines preferences as transactions at the “relevant time” influenced by a desire to prefer a creditor (p. 804). Courts often deny preference status, arguing the funds never enter the borrower’s estate (p. 805, citing </w:t>
      </w:r>
      <w:r w:rsidRPr="00A159D0">
        <w:rPr>
          <w:rFonts w:ascii="Times New Roman" w:hAnsi="Times New Roman"/>
          <w:i/>
          <w:iCs/>
          <w:lang w:val="en-HK"/>
        </w:rPr>
        <w:t xml:space="preserve">In re </w:t>
      </w:r>
      <w:proofErr w:type="spellStart"/>
      <w:r w:rsidRPr="00A159D0">
        <w:rPr>
          <w:rFonts w:ascii="Times New Roman" w:hAnsi="Times New Roman"/>
          <w:i/>
          <w:iCs/>
          <w:lang w:val="en-HK"/>
        </w:rPr>
        <w:t>Kayford</w:t>
      </w:r>
      <w:proofErr w:type="spellEnd"/>
      <w:r w:rsidRPr="00A159D0">
        <w:rPr>
          <w:rFonts w:ascii="Times New Roman" w:hAnsi="Times New Roman"/>
          <w:lang w:val="en-HK"/>
        </w:rPr>
        <w:t xml:space="preserve"> [1975] 1 WLR 279, 281).</w:t>
      </w:r>
    </w:p>
    <w:p w14:paraId="62F2767C" w14:textId="77777777" w:rsidR="00AB796A" w:rsidRPr="00A159D0" w:rsidRDefault="00AB796A" w:rsidP="00A159D0">
      <w:pPr>
        <w:numPr>
          <w:ilvl w:val="0"/>
          <w:numId w:val="4"/>
        </w:numPr>
        <w:spacing w:after="240" w:line="360" w:lineRule="auto"/>
        <w:rPr>
          <w:rFonts w:ascii="Times New Roman" w:hAnsi="Times New Roman"/>
          <w:lang w:val="en-HK"/>
        </w:rPr>
      </w:pPr>
      <w:r w:rsidRPr="00A159D0">
        <w:rPr>
          <w:rFonts w:ascii="Times New Roman" w:hAnsi="Times New Roman"/>
          <w:b/>
          <w:bCs/>
          <w:lang w:val="en-HK"/>
        </w:rPr>
        <w:lastRenderedPageBreak/>
        <w:t>Personal Property Securities Act 2009 (</w:t>
      </w:r>
      <w:proofErr w:type="spellStart"/>
      <w:r w:rsidRPr="00A159D0">
        <w:rPr>
          <w:rFonts w:ascii="Times New Roman" w:hAnsi="Times New Roman"/>
          <w:b/>
          <w:bCs/>
          <w:lang w:val="en-HK"/>
        </w:rPr>
        <w:t>Cth</w:t>
      </w:r>
      <w:proofErr w:type="spellEnd"/>
      <w:r w:rsidRPr="00A159D0">
        <w:rPr>
          <w:rFonts w:ascii="Times New Roman" w:hAnsi="Times New Roman"/>
          <w:b/>
          <w:bCs/>
          <w:lang w:val="en-HK"/>
        </w:rPr>
        <w:t>) (PPSA) (Australia):</w:t>
      </w:r>
      <w:r w:rsidRPr="00A159D0">
        <w:rPr>
          <w:rFonts w:ascii="Times New Roman" w:hAnsi="Times New Roman"/>
          <w:lang w:val="en-HK"/>
        </w:rPr>
        <w:t xml:space="preserve"> Section 12(1) adopts a functional security interest definition, but Section 8(1)(h) excludes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(pp. 806-809). This contrasts with judicial views of them as express trusts (p. 810).</w:t>
      </w:r>
    </w:p>
    <w:p w14:paraId="214CA72A" w14:textId="7D4BE08D"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Current Judicial Tendencies</w:t>
      </w:r>
    </w:p>
    <w:p w14:paraId="1135BBA8" w14:textId="5AB2490E"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English courts lean toward Lord Millett’s resulting trust model, emphasizing intention but often finding it with minimal evidence (p. 803). Australian courts </w:t>
      </w:r>
      <w:proofErr w:type="spellStart"/>
      <w:r w:rsidRPr="00A159D0">
        <w:rPr>
          <w:rFonts w:ascii="Times New Roman" w:hAnsi="Times New Roman"/>
          <w:lang w:val="en-HK"/>
        </w:rPr>
        <w:t>favor</w:t>
      </w:r>
      <w:proofErr w:type="spellEnd"/>
      <w:r w:rsidRPr="00A159D0">
        <w:rPr>
          <w:rFonts w:ascii="Times New Roman" w:hAnsi="Times New Roman"/>
          <w:lang w:val="en-HK"/>
        </w:rPr>
        <w:t xml:space="preserve"> express trusts, focusing on intention (p. 780, n. 27). Hudson critiques this as an “unsatisfactory amalgam,” with intention emphasized but not rigorously evidenced, and insolvency implications ignored (p. 778).</w:t>
      </w:r>
    </w:p>
    <w:p w14:paraId="556CD26E" w14:textId="77777777" w:rsidR="00AB796A" w:rsidRPr="00A159D0" w:rsidRDefault="00863B4F" w:rsidP="00A159D0">
      <w:pPr>
        <w:spacing w:after="240" w:line="360" w:lineRule="auto"/>
        <w:rPr>
          <w:rFonts w:ascii="Times New Roman" w:hAnsi="Times New Roman"/>
          <w:lang w:val="en-HK"/>
        </w:rPr>
      </w:pPr>
      <w:r w:rsidRPr="00863B4F">
        <w:rPr>
          <w:rFonts w:ascii="Times New Roman" w:hAnsi="Times New Roman"/>
          <w:noProof/>
          <w:lang w:val="en-HK"/>
          <w14:ligatures w14:val="standardContextual"/>
        </w:rPr>
        <w:pict w14:anchorId="03270E20">
          <v:rect id="_x0000_i1026" alt="" style="width:451.3pt;height:.05pt;mso-width-percent:0;mso-height-percent:0;mso-width-percent:0;mso-height-percent:0" o:hralign="center" o:hrstd="t" o:hr="t" fillcolor="#a0a0a0" stroked="f"/>
        </w:pict>
      </w:r>
    </w:p>
    <w:p w14:paraId="2BBA2A3F" w14:textId="04A98CE9" w:rsidR="00AB796A" w:rsidRPr="00A159D0" w:rsidRDefault="00AB796A" w:rsidP="00A159D0">
      <w:pPr>
        <w:spacing w:after="240" w:line="360" w:lineRule="auto"/>
        <w:outlineLvl w:val="2"/>
        <w:rPr>
          <w:rFonts w:ascii="Times New Roman" w:hAnsi="Times New Roman"/>
          <w:b/>
          <w:bCs/>
          <w:lang w:val="en-HK"/>
        </w:rPr>
      </w:pPr>
      <w:r w:rsidRPr="00A159D0">
        <w:rPr>
          <w:rFonts w:ascii="Times New Roman" w:hAnsi="Times New Roman"/>
          <w:b/>
          <w:bCs/>
          <w:lang w:val="en-HK"/>
        </w:rPr>
        <w:t xml:space="preserve">2. Justifications of </w:t>
      </w:r>
      <w:proofErr w:type="spellStart"/>
      <w:r w:rsidRPr="00A159D0">
        <w:rPr>
          <w:rFonts w:ascii="Times New Roman" w:hAnsi="Times New Roman"/>
          <w:b/>
          <w:bCs/>
          <w:lang w:val="en-HK"/>
        </w:rPr>
        <w:t>Quistclose</w:t>
      </w:r>
      <w:proofErr w:type="spellEnd"/>
      <w:r w:rsidRPr="00A159D0">
        <w:rPr>
          <w:rFonts w:ascii="Times New Roman" w:hAnsi="Times New Roman"/>
          <w:b/>
          <w:bCs/>
          <w:lang w:val="en-HK"/>
        </w:rPr>
        <w:t xml:space="preserve"> Trusts</w:t>
      </w:r>
      <w:r w:rsidRPr="00A159D0">
        <w:rPr>
          <w:rFonts w:ascii="Times New Roman" w:hAnsi="Times New Roman"/>
          <w:lang w:val="en-HK"/>
        </w:rPr>
        <w:br/>
        <w:t xml:space="preserve">The document evaluates four normative justifications for the recognition of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respecting party intention, preventing unconscionable conduct, promoting fairness, and incentivising desirable transactions. Each is assessed for its doctrinal coherence and normative strength, with Hudson concluding that intention is the most compelling, though not without flaws. Below, each justification is unpacked with extensive detail from the document.</w:t>
      </w:r>
    </w:p>
    <w:p w14:paraId="5C2E5B77" w14:textId="6D1379B8" w:rsidR="00AB796A" w:rsidRPr="00A159D0" w:rsidRDefault="00AB796A" w:rsidP="00A159D0">
      <w:pPr>
        <w:spacing w:after="240" w:line="360" w:lineRule="auto"/>
        <w:outlineLvl w:val="3"/>
        <w:rPr>
          <w:rFonts w:ascii="Times New Roman" w:hAnsi="Times New Roman"/>
          <w:b/>
          <w:bCs/>
          <w:lang w:val="en-HK"/>
        </w:rPr>
      </w:pPr>
      <w:r w:rsidRPr="00A159D0">
        <w:rPr>
          <w:rFonts w:ascii="Times New Roman" w:hAnsi="Times New Roman"/>
          <w:b/>
          <w:bCs/>
          <w:lang w:val="en-HK"/>
        </w:rPr>
        <w:t>1. Intention</w:t>
      </w:r>
    </w:p>
    <w:p w14:paraId="0663D4EF" w14:textId="778F6C8E"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Core Argument:</w:t>
      </w:r>
      <w:r w:rsidRPr="00A159D0">
        <w:rPr>
          <w:rFonts w:ascii="Times New Roman" w:hAnsi="Times New Roman"/>
          <w:lang w:val="en-HK"/>
        </w:rPr>
        <w:t xml:space="preserve"> The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 is justified as it gives effect to the parties’ intention to create a trust relationship, aligning with the facilitative role of express trusts in equity. This rests on the idea that if the legal prerequisites for a trust are met, the law should recognize it without needing further justification. Jamie Glister articulates this: “as long as the necessary intention to create a trust can be inferred from the parties’ agreement, there is no reason to deny them the relationship that they objectively intended” (p. 776, quoting J.A. Glister, “The nature of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classification and reconciliation” (2004) 63 CLJ 632, 645). Hudson suggests this reflects a broader normative proposition that trust rules embody decisions about when trusts </w:t>
      </w:r>
      <w:r w:rsidRPr="00A159D0">
        <w:rPr>
          <w:rFonts w:ascii="Times New Roman" w:hAnsi="Times New Roman"/>
          <w:i/>
          <w:iCs/>
          <w:lang w:val="en-HK"/>
        </w:rPr>
        <w:t>ought</w:t>
      </w:r>
      <w:r w:rsidRPr="00A159D0">
        <w:rPr>
          <w:rFonts w:ascii="Times New Roman" w:hAnsi="Times New Roman"/>
          <w:lang w:val="en-HK"/>
        </w:rPr>
        <w:t xml:space="preserve"> to arise (p. 776).</w:t>
      </w:r>
    </w:p>
    <w:p w14:paraId="3EEC7DF6"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Supporting Case Law:</w:t>
      </w:r>
      <w:r w:rsidRPr="00A159D0">
        <w:rPr>
          <w:rFonts w:ascii="Times New Roman" w:hAnsi="Times New Roman"/>
          <w:lang w:val="en-HK"/>
        </w:rPr>
        <w:t xml:space="preserve"> </w:t>
      </w:r>
    </w:p>
    <w:p w14:paraId="11A9157F" w14:textId="7CE303C1"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i/>
          <w:iCs/>
          <w:lang w:val="en-HK"/>
        </w:rPr>
        <w:t xml:space="preserve">1. </w:t>
      </w:r>
      <w:proofErr w:type="spellStart"/>
      <w:r w:rsidRPr="00A159D0">
        <w:rPr>
          <w:rFonts w:ascii="Times New Roman" w:hAnsi="Times New Roman"/>
          <w:b/>
          <w:bCs/>
          <w:i/>
          <w:iCs/>
          <w:lang w:val="en-HK"/>
        </w:rPr>
        <w:t>Quistclose</w:t>
      </w:r>
      <w:proofErr w:type="spellEnd"/>
      <w:r w:rsidRPr="00A159D0">
        <w:rPr>
          <w:rFonts w:ascii="Times New Roman" w:hAnsi="Times New Roman"/>
          <w:b/>
          <w:bCs/>
          <w:i/>
          <w:iCs/>
          <w:lang w:val="en-HK"/>
        </w:rPr>
        <w:t xml:space="preserve"> Investments Ltd v Rolls Razor Ltd [1970] AC 567]:</w:t>
      </w:r>
      <w:r w:rsidRPr="00A159D0">
        <w:rPr>
          <w:rFonts w:ascii="Times New Roman" w:hAnsi="Times New Roman"/>
          <w:lang w:val="en-HK"/>
        </w:rPr>
        <w:t xml:space="preserve">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lent £209,719 to Rolls Razor to pay a dividend, deposited into a separate Barclays account. When Rolls </w:t>
      </w:r>
      <w:r w:rsidRPr="00A159D0">
        <w:rPr>
          <w:rFonts w:ascii="Times New Roman" w:hAnsi="Times New Roman"/>
          <w:lang w:val="en-HK"/>
        </w:rPr>
        <w:lastRenderedPageBreak/>
        <w:t xml:space="preserve">entered liquidation before payment, Lord Wilberforce found a “mutual intention” that the funds “should not become part of the general assets of Rolls but should be used exclusively for payment of the shareholders” (p. 779, quoting [1970] AC 567, 580). This supported a primary trust for shareholders and a secondary trust for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(p. 776). He reasoned: “when the money is advanced, the lender acquires an equitable right to see that it is applied for the primary designated purpose … if the primary purpose cannot be carried out … the remedies of equity may be invoked” (p. 779, quoting [1970] AC 567, 581-582).</w:t>
      </w:r>
    </w:p>
    <w:p w14:paraId="079BD120" w14:textId="56BC1AF2"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i/>
          <w:iCs/>
          <w:lang w:val="en-HK"/>
        </w:rPr>
        <w:t xml:space="preserve">2. </w:t>
      </w:r>
      <w:proofErr w:type="spellStart"/>
      <w:r w:rsidRPr="00A159D0">
        <w:rPr>
          <w:rFonts w:ascii="Times New Roman" w:hAnsi="Times New Roman"/>
          <w:b/>
          <w:bCs/>
          <w:i/>
          <w:iCs/>
          <w:lang w:val="en-HK"/>
        </w:rPr>
        <w:t>Twinsectra</w:t>
      </w:r>
      <w:proofErr w:type="spellEnd"/>
      <w:r w:rsidRPr="00A159D0">
        <w:rPr>
          <w:rFonts w:ascii="Times New Roman" w:hAnsi="Times New Roman"/>
          <w:b/>
          <w:bCs/>
          <w:i/>
          <w:iCs/>
          <w:lang w:val="en-HK"/>
        </w:rPr>
        <w:t xml:space="preserve"> Ltd v Yardley [2002] 2 AC 164]:</w:t>
      </w:r>
      <w:r w:rsidRPr="00A159D0">
        <w:rPr>
          <w:rFonts w:ascii="Times New Roman" w:hAnsi="Times New Roman"/>
          <w:lang w:val="en-HK"/>
        </w:rPr>
        <w:t xml:space="preserve"> </w:t>
      </w:r>
      <w:proofErr w:type="spellStart"/>
      <w:r w:rsidRPr="00A159D0">
        <w:rPr>
          <w:rFonts w:ascii="Times New Roman" w:hAnsi="Times New Roman"/>
          <w:lang w:val="en-HK"/>
        </w:rPr>
        <w:t>Twinsectra</w:t>
      </w:r>
      <w:proofErr w:type="spellEnd"/>
      <w:r w:rsidRPr="00A159D0">
        <w:rPr>
          <w:rFonts w:ascii="Times New Roman" w:hAnsi="Times New Roman"/>
          <w:lang w:val="en-HK"/>
        </w:rPr>
        <w:t xml:space="preserve"> lent £1 million for property acquisition, secured by a solicitor’s undertaking to use it “solely” for that purpose (p. 786). When misapplied, Lord Millett held a resulting trust arose, emphasizing intention: “The question in every case is whether the parties intended the money to be at the free disposal of the recipient” (p. 783, quoting [2002] 2 AC 164, [74]). The Court of Appeal had initially framed it as an express trust (p. 786).</w:t>
      </w:r>
    </w:p>
    <w:p w14:paraId="7CA49F33" w14:textId="31BCE3C8"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i/>
          <w:iCs/>
          <w:lang w:val="en-HK"/>
        </w:rPr>
        <w:t>3. Re Australian Elizabethan Theatre Trust (1991) 102 ALR 681]:</w:t>
      </w:r>
      <w:r w:rsidRPr="00A159D0">
        <w:rPr>
          <w:rFonts w:ascii="Times New Roman" w:hAnsi="Times New Roman"/>
          <w:lang w:val="en-HK"/>
        </w:rPr>
        <w:t xml:space="preserve"> </w:t>
      </w:r>
      <w:proofErr w:type="spellStart"/>
      <w:r w:rsidRPr="00A159D0">
        <w:rPr>
          <w:rFonts w:ascii="Times New Roman" w:hAnsi="Times New Roman"/>
          <w:lang w:val="en-HK"/>
        </w:rPr>
        <w:t>Gummow</w:t>
      </w:r>
      <w:proofErr w:type="spellEnd"/>
      <w:r w:rsidRPr="00A159D0">
        <w:rPr>
          <w:rFonts w:ascii="Times New Roman" w:hAnsi="Times New Roman"/>
          <w:lang w:val="en-HK"/>
        </w:rPr>
        <w:t xml:space="preserve"> J reinforced intention’s centrality: “The relevant intention is to be inferred from the language employed by the parties … the court may look also to the nature of the transaction and the relevant circumstances” (p. 780, quoting (1991) 102 ALR 681, 693). He viewed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as orthodox express trusts (p. 780).</w:t>
      </w:r>
    </w:p>
    <w:p w14:paraId="2781749F"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Detailed Analysis:</w:t>
      </w:r>
      <w:r w:rsidRPr="00A159D0">
        <w:rPr>
          <w:rFonts w:ascii="Times New Roman" w:hAnsi="Times New Roman"/>
          <w:lang w:val="en-HK"/>
        </w:rPr>
        <w:t xml:space="preserve"> </w:t>
      </w:r>
    </w:p>
    <w:p w14:paraId="0B5E9EC7" w14:textId="5600FB51" w:rsidR="00AB796A" w:rsidRPr="00A159D0" w:rsidRDefault="00AB796A" w:rsidP="00A159D0">
      <w:pPr>
        <w:numPr>
          <w:ilvl w:val="1"/>
          <w:numId w:val="5"/>
        </w:numPr>
        <w:spacing w:after="240" w:line="360" w:lineRule="auto"/>
        <w:rPr>
          <w:rFonts w:ascii="Times New Roman" w:hAnsi="Times New Roman"/>
          <w:lang w:val="en-HK"/>
        </w:rPr>
      </w:pPr>
      <w:r w:rsidRPr="00A159D0">
        <w:rPr>
          <w:rFonts w:ascii="Times New Roman" w:hAnsi="Times New Roman"/>
          <w:b/>
          <w:bCs/>
          <w:lang w:val="en-HK"/>
        </w:rPr>
        <w:t>Express Trust Model:</w:t>
      </w:r>
      <w:r w:rsidRPr="00A159D0">
        <w:rPr>
          <w:rFonts w:ascii="Times New Roman" w:hAnsi="Times New Roman"/>
          <w:lang w:val="en-HK"/>
        </w:rPr>
        <w:t xml:space="preserve"> Courts often require the three certainties—intention, subject matter, and objects. In </w:t>
      </w:r>
      <w:proofErr w:type="spellStart"/>
      <w:r w:rsidRPr="00A159D0">
        <w:rPr>
          <w:rFonts w:ascii="Times New Roman" w:hAnsi="Times New Roman"/>
          <w:i/>
          <w:iCs/>
          <w:lang w:val="en-HK"/>
        </w:rPr>
        <w:t>Quistclose</w:t>
      </w:r>
      <w:proofErr w:type="spellEnd"/>
      <w:r w:rsidRPr="00A159D0">
        <w:rPr>
          <w:rFonts w:ascii="Times New Roman" w:hAnsi="Times New Roman"/>
          <w:lang w:val="en-HK"/>
        </w:rPr>
        <w:t xml:space="preserve">, intention was inferred from the separate account and correspondence, though not explicitly stated (p. 784). </w:t>
      </w:r>
      <w:proofErr w:type="spellStart"/>
      <w:r w:rsidRPr="00A159D0">
        <w:rPr>
          <w:rFonts w:ascii="Times New Roman" w:hAnsi="Times New Roman"/>
          <w:lang w:val="en-HK"/>
        </w:rPr>
        <w:t>Gummow</w:t>
      </w:r>
      <w:proofErr w:type="spellEnd"/>
      <w:r w:rsidRPr="00A159D0">
        <w:rPr>
          <w:rFonts w:ascii="Times New Roman" w:hAnsi="Times New Roman"/>
          <w:lang w:val="en-HK"/>
        </w:rPr>
        <w:t xml:space="preserve"> J noted flexibility: “the trust is a supple instrument” (p. 780, quoting (1991) 102 ALR 681, 693).</w:t>
      </w:r>
    </w:p>
    <w:p w14:paraId="47FDEF11" w14:textId="77777777" w:rsidR="00AB796A" w:rsidRPr="00A159D0" w:rsidRDefault="00AB796A" w:rsidP="00A159D0">
      <w:pPr>
        <w:numPr>
          <w:ilvl w:val="1"/>
          <w:numId w:val="5"/>
        </w:numPr>
        <w:spacing w:after="240" w:line="360" w:lineRule="auto"/>
        <w:rPr>
          <w:rFonts w:ascii="Times New Roman" w:hAnsi="Times New Roman"/>
          <w:lang w:val="en-HK"/>
        </w:rPr>
      </w:pPr>
      <w:r w:rsidRPr="00A159D0">
        <w:rPr>
          <w:rFonts w:ascii="Times New Roman" w:hAnsi="Times New Roman"/>
          <w:b/>
          <w:bCs/>
          <w:lang w:val="en-HK"/>
        </w:rPr>
        <w:t>Resulting Trust Model:</w:t>
      </w:r>
      <w:r w:rsidRPr="00A159D0">
        <w:rPr>
          <w:rFonts w:ascii="Times New Roman" w:hAnsi="Times New Roman"/>
          <w:lang w:val="en-HK"/>
        </w:rPr>
        <w:t xml:space="preserve"> Lord Millett in </w:t>
      </w:r>
      <w:proofErr w:type="spellStart"/>
      <w:r w:rsidRPr="00A159D0">
        <w:rPr>
          <w:rFonts w:ascii="Times New Roman" w:hAnsi="Times New Roman"/>
          <w:i/>
          <w:iCs/>
          <w:lang w:val="en-HK"/>
        </w:rPr>
        <w:t>Twinsectra</w:t>
      </w:r>
      <w:proofErr w:type="spellEnd"/>
      <w:r w:rsidRPr="00A159D0">
        <w:rPr>
          <w:rFonts w:ascii="Times New Roman" w:hAnsi="Times New Roman"/>
          <w:lang w:val="en-HK"/>
        </w:rPr>
        <w:t xml:space="preserve"> shifted to a resulting trust, arguing the lender retains beneficial interest absent intent to benefit the borrower (p. 781). He cited Chambers’ theory that resulting trusts arise from a lack of intent to benefit, not a positive intent to retain (p. 781, citing R. Chambers, </w:t>
      </w:r>
      <w:r w:rsidRPr="00A159D0">
        <w:rPr>
          <w:rFonts w:ascii="Times New Roman" w:hAnsi="Times New Roman"/>
          <w:i/>
          <w:iCs/>
          <w:lang w:val="en-HK"/>
        </w:rPr>
        <w:t>Resulting Trusts</w:t>
      </w:r>
      <w:r w:rsidRPr="00A159D0">
        <w:rPr>
          <w:rFonts w:ascii="Times New Roman" w:hAnsi="Times New Roman"/>
          <w:lang w:val="en-HK"/>
        </w:rPr>
        <w:t xml:space="preserve"> (1997) </w:t>
      </w:r>
      <w:proofErr w:type="spellStart"/>
      <w:r w:rsidRPr="00A159D0">
        <w:rPr>
          <w:rFonts w:ascii="Times New Roman" w:hAnsi="Times New Roman"/>
          <w:lang w:val="en-HK"/>
        </w:rPr>
        <w:t>ch</w:t>
      </w:r>
      <w:proofErr w:type="spellEnd"/>
      <w:r w:rsidRPr="00A159D0">
        <w:rPr>
          <w:rFonts w:ascii="Times New Roman" w:hAnsi="Times New Roman"/>
          <w:lang w:val="en-HK"/>
        </w:rPr>
        <w:t xml:space="preserve"> 3). Hudson notes this blurs into express trust territory, as proving restricted use requires positive intent (p. 782).</w:t>
      </w:r>
    </w:p>
    <w:p w14:paraId="3ED18772"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Critiques:</w:t>
      </w:r>
      <w:r w:rsidRPr="00A159D0">
        <w:rPr>
          <w:rFonts w:ascii="Times New Roman" w:hAnsi="Times New Roman"/>
          <w:lang w:val="en-HK"/>
        </w:rPr>
        <w:t xml:space="preserve"> </w:t>
      </w:r>
    </w:p>
    <w:p w14:paraId="0745F1A4" w14:textId="1A2BD87A"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lastRenderedPageBreak/>
        <w:t>1. Empirical Weakness:</w:t>
      </w:r>
      <w:r w:rsidRPr="00A159D0">
        <w:rPr>
          <w:rFonts w:ascii="Times New Roman" w:hAnsi="Times New Roman"/>
          <w:lang w:val="en-HK"/>
        </w:rPr>
        <w:t xml:space="preserve"> Hudson identifies a practical flaw: courts often find intention where evidence is scant or contradictory. In </w:t>
      </w:r>
      <w:proofErr w:type="spellStart"/>
      <w:r w:rsidRPr="00A159D0">
        <w:rPr>
          <w:rFonts w:ascii="Times New Roman" w:hAnsi="Times New Roman"/>
          <w:i/>
          <w:iCs/>
          <w:lang w:val="en-HK"/>
        </w:rPr>
        <w:t>Quistclose</w:t>
      </w:r>
      <w:proofErr w:type="spellEnd"/>
      <w:r w:rsidRPr="00A159D0">
        <w:rPr>
          <w:rFonts w:ascii="Times New Roman" w:hAnsi="Times New Roman"/>
          <w:lang w:val="en-HK"/>
        </w:rPr>
        <w:t xml:space="preserve">, John Bloom’s control of both companies and the loan’s haste suggest no trust intent, yet Lord Wilberforce found one (p. 784). In </w:t>
      </w:r>
      <w:proofErr w:type="spellStart"/>
      <w:r w:rsidRPr="00A159D0">
        <w:rPr>
          <w:rFonts w:ascii="Times New Roman" w:hAnsi="Times New Roman"/>
          <w:i/>
          <w:iCs/>
          <w:lang w:val="en-HK"/>
        </w:rPr>
        <w:t>Twinsectra</w:t>
      </w:r>
      <w:proofErr w:type="spellEnd"/>
      <w:r w:rsidRPr="00A159D0">
        <w:rPr>
          <w:rFonts w:ascii="Times New Roman" w:hAnsi="Times New Roman"/>
          <w:lang w:val="en-HK"/>
        </w:rPr>
        <w:t xml:space="preserve">, no segregation and vague terms (“acquisition of property”) undermined intent, yet a trust was upheld (p. 787). In </w:t>
      </w:r>
      <w:r w:rsidRPr="00A159D0">
        <w:rPr>
          <w:rFonts w:ascii="Times New Roman" w:hAnsi="Times New Roman"/>
          <w:i/>
          <w:iCs/>
          <w:lang w:val="en-HK"/>
        </w:rPr>
        <w:t>Cooper v PRG Powerhouse Ltd [2008] EWHC 498 (Ch)]</w:t>
      </w:r>
      <w:r w:rsidRPr="00A159D0">
        <w:rPr>
          <w:rFonts w:ascii="Times New Roman" w:hAnsi="Times New Roman"/>
          <w:lang w:val="en-HK"/>
        </w:rPr>
        <w:t>, Mr. Cooper’s £34,000 payment to discharge a car debt lacked explicit trust language, but Evans-Lombe J implied it, stating: “it was clearly to be implied … that neither Mr Cooper nor [Powerhouse] regarded the amount … as part of the assets of the company at its ‘free disposal’” (p. 788, quoting [2008] EWHC 498, [15]).</w:t>
      </w:r>
    </w:p>
    <w:p w14:paraId="2765757C" w14:textId="7258FB91"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2. Philosophical Limitation:</w:t>
      </w:r>
      <w:r w:rsidRPr="00A159D0">
        <w:rPr>
          <w:rFonts w:ascii="Times New Roman" w:hAnsi="Times New Roman"/>
          <w:lang w:val="en-HK"/>
        </w:rPr>
        <w:t xml:space="preserve"> Even if intention is proven, it’s incomplete. Gardner describes trusts as a “facilitative device” maximizing autonomy (p. 790, quoting S. Gardner, </w:t>
      </w:r>
      <w:r w:rsidRPr="00A159D0">
        <w:rPr>
          <w:rFonts w:ascii="Times New Roman" w:hAnsi="Times New Roman"/>
          <w:i/>
          <w:iCs/>
          <w:lang w:val="en-HK"/>
        </w:rPr>
        <w:t>An Introduction to the Law of Trusts</w:t>
      </w:r>
      <w:r w:rsidRPr="00A159D0">
        <w:rPr>
          <w:rFonts w:ascii="Times New Roman" w:hAnsi="Times New Roman"/>
          <w:lang w:val="en-HK"/>
        </w:rPr>
        <w:t xml:space="preserve"> (3rd ed, 2011) 31), but Hudson argues this doesn’t justify all uses, like insolvency protection (p. 790). In </w:t>
      </w:r>
      <w:proofErr w:type="spellStart"/>
      <w:r w:rsidRPr="00A159D0">
        <w:rPr>
          <w:rFonts w:ascii="Times New Roman" w:hAnsi="Times New Roman"/>
          <w:i/>
          <w:iCs/>
          <w:lang w:val="en-HK"/>
        </w:rPr>
        <w:t>Twinsectra</w:t>
      </w:r>
      <w:proofErr w:type="spellEnd"/>
      <w:r w:rsidRPr="00A159D0">
        <w:rPr>
          <w:rFonts w:ascii="Times New Roman" w:hAnsi="Times New Roman"/>
          <w:lang w:val="en-HK"/>
        </w:rPr>
        <w:t xml:space="preserve">, Lord Hoffmann focused on doctrine, not policy (p. 790), and </w:t>
      </w:r>
      <w:proofErr w:type="spellStart"/>
      <w:r w:rsidRPr="00A159D0">
        <w:rPr>
          <w:rFonts w:ascii="Times New Roman" w:hAnsi="Times New Roman"/>
          <w:lang w:val="en-HK"/>
        </w:rPr>
        <w:t>Gummow</w:t>
      </w:r>
      <w:proofErr w:type="spellEnd"/>
      <w:r w:rsidRPr="00A159D0">
        <w:rPr>
          <w:rFonts w:ascii="Times New Roman" w:hAnsi="Times New Roman"/>
          <w:lang w:val="en-HK"/>
        </w:rPr>
        <w:t xml:space="preserve"> J dismissed insolvency concerns by noting the funds never became the borrower’s property (p. 790, citing (1991) 102 ALR 681, 691-692).</w:t>
      </w:r>
    </w:p>
    <w:p w14:paraId="102A50F1" w14:textId="5BEA03EC"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3. </w:t>
      </w:r>
      <w:r w:rsidRPr="00A159D0">
        <w:rPr>
          <w:rFonts w:ascii="Times New Roman" w:hAnsi="Times New Roman"/>
          <w:b/>
          <w:bCs/>
          <w:lang w:val="en-HK"/>
        </w:rPr>
        <w:t>Regulatory Implications:</w:t>
      </w:r>
      <w:r w:rsidRPr="00A159D0">
        <w:rPr>
          <w:rFonts w:ascii="Times New Roman" w:hAnsi="Times New Roman"/>
          <w:lang w:val="en-HK"/>
        </w:rPr>
        <w:t xml:space="preserve"> If intentional,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resemble security interests under the </w:t>
      </w:r>
      <w:r w:rsidRPr="00A159D0">
        <w:rPr>
          <w:rFonts w:ascii="Times New Roman" w:hAnsi="Times New Roman"/>
          <w:i/>
          <w:iCs/>
          <w:lang w:val="en-HK"/>
        </w:rPr>
        <w:t>Personal Property Securities Act 2009 (</w:t>
      </w:r>
      <w:proofErr w:type="spellStart"/>
      <w:r w:rsidRPr="00A159D0">
        <w:rPr>
          <w:rFonts w:ascii="Times New Roman" w:hAnsi="Times New Roman"/>
          <w:i/>
          <w:iCs/>
          <w:lang w:val="en-HK"/>
        </w:rPr>
        <w:t>Cth</w:t>
      </w:r>
      <w:proofErr w:type="spellEnd"/>
      <w:r w:rsidRPr="00A159D0">
        <w:rPr>
          <w:rFonts w:ascii="Times New Roman" w:hAnsi="Times New Roman"/>
          <w:i/>
          <w:iCs/>
          <w:lang w:val="en-HK"/>
        </w:rPr>
        <w:t>)</w:t>
      </w:r>
      <w:r w:rsidRPr="00A159D0">
        <w:rPr>
          <w:rFonts w:ascii="Times New Roman" w:hAnsi="Times New Roman"/>
          <w:lang w:val="en-HK"/>
        </w:rPr>
        <w:t xml:space="preserve"> (PPSA) s 12(1), which defines security interests functionally (p. 806). Yet, s 8(1)(h) excludes them, misaligning with an intention-based express trust view (p. 809).</w:t>
      </w:r>
    </w:p>
    <w:p w14:paraId="62FC7414" w14:textId="77777777" w:rsidR="00A159D0" w:rsidRDefault="00A159D0" w:rsidP="00A159D0">
      <w:pPr>
        <w:spacing w:after="240" w:line="360" w:lineRule="auto"/>
        <w:outlineLvl w:val="3"/>
        <w:rPr>
          <w:rFonts w:ascii="Times New Roman" w:hAnsi="Times New Roman"/>
          <w:b/>
          <w:bCs/>
          <w:lang w:val="en-HK"/>
        </w:rPr>
      </w:pPr>
    </w:p>
    <w:p w14:paraId="5C5D1594" w14:textId="54448057" w:rsidR="00AB796A" w:rsidRPr="00A159D0" w:rsidRDefault="00AB796A" w:rsidP="00A159D0">
      <w:pPr>
        <w:spacing w:after="240" w:line="360" w:lineRule="auto"/>
        <w:outlineLvl w:val="3"/>
        <w:rPr>
          <w:rFonts w:ascii="Times New Roman" w:hAnsi="Times New Roman"/>
          <w:b/>
          <w:bCs/>
          <w:lang w:val="en-HK"/>
        </w:rPr>
      </w:pPr>
      <w:r w:rsidRPr="00A159D0">
        <w:rPr>
          <w:rFonts w:ascii="Times New Roman" w:hAnsi="Times New Roman"/>
          <w:b/>
          <w:bCs/>
          <w:lang w:val="en-HK"/>
        </w:rPr>
        <w:t>2. Unconscionability</w:t>
      </w:r>
    </w:p>
    <w:p w14:paraId="16AE43BF"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Core Argument:</w:t>
      </w:r>
      <w:r w:rsidRPr="00A159D0">
        <w:rPr>
          <w:rFonts w:ascii="Times New Roman" w:hAnsi="Times New Roman"/>
          <w:lang w:val="en-HK"/>
        </w:rPr>
        <w:t xml:space="preserve"> Equity intervenes to prevent unconscionable conduct where the recipient disregards purpose restrictions, binding their conscience. Lord Millett in </w:t>
      </w:r>
      <w:proofErr w:type="spellStart"/>
      <w:r w:rsidRPr="00A159D0">
        <w:rPr>
          <w:rFonts w:ascii="Times New Roman" w:hAnsi="Times New Roman"/>
          <w:i/>
          <w:iCs/>
          <w:lang w:val="en-HK"/>
        </w:rPr>
        <w:t>Twinsectra</w:t>
      </w:r>
      <w:proofErr w:type="spellEnd"/>
      <w:r w:rsidRPr="00A159D0">
        <w:rPr>
          <w:rFonts w:ascii="Times New Roman" w:hAnsi="Times New Roman"/>
          <w:lang w:val="en-HK"/>
        </w:rPr>
        <w:t xml:space="preserve"> stated: “It is unconscionable for a man to obtain money on terms as to its application and then disregard the terms … The duty is fiduciary in character because a person who makes money available … places his trust and confidence in the recipient” (p. 792, quoting [2002] 2 AC 164, [76]).</w:t>
      </w:r>
    </w:p>
    <w:p w14:paraId="0E335A22"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Supporting Case Law:</w:t>
      </w:r>
      <w:r w:rsidRPr="00A159D0">
        <w:rPr>
          <w:rFonts w:ascii="Times New Roman" w:hAnsi="Times New Roman"/>
          <w:lang w:val="en-HK"/>
        </w:rPr>
        <w:t xml:space="preserve"> </w:t>
      </w:r>
    </w:p>
    <w:p w14:paraId="4C2CACCE" w14:textId="02FA1976" w:rsidR="00AB796A" w:rsidRPr="00A159D0" w:rsidRDefault="00AB796A" w:rsidP="00A159D0">
      <w:pPr>
        <w:numPr>
          <w:ilvl w:val="1"/>
          <w:numId w:val="6"/>
        </w:numPr>
        <w:spacing w:after="240" w:line="360" w:lineRule="auto"/>
        <w:rPr>
          <w:rFonts w:ascii="Times New Roman" w:hAnsi="Times New Roman"/>
          <w:lang w:val="en-HK"/>
        </w:rPr>
      </w:pPr>
      <w:r w:rsidRPr="00A159D0">
        <w:rPr>
          <w:rFonts w:ascii="Times New Roman" w:hAnsi="Times New Roman"/>
          <w:b/>
          <w:bCs/>
          <w:i/>
          <w:iCs/>
          <w:lang w:val="en-HK"/>
        </w:rPr>
        <w:lastRenderedPageBreak/>
        <w:t>Carreras Rothmans v Freeman Matthews Treasure [1985] Ch 207]:</w:t>
      </w:r>
      <w:r w:rsidRPr="00A159D0">
        <w:rPr>
          <w:rFonts w:ascii="Times New Roman" w:hAnsi="Times New Roman"/>
          <w:lang w:val="en-HK"/>
        </w:rPr>
        <w:t xml:space="preserve"> The plaintiff paid funds into a separate account for advertising fees owed by the defendant, who entered liquidation. Peter Gibson J held a trust arose: “equity fastens on the conscience of the person who receives … property transferred for a specific purpose only … so that such person will not be permitted to treat the property as his own” (p. 791, quoting [1985] Ch 207, 222). He noted the funds “were never intended to become the property of the defendant” (p. 792, quoting [1985] Ch 207, 220).</w:t>
      </w:r>
    </w:p>
    <w:p w14:paraId="76BB28A5" w14:textId="43B5A31F" w:rsidR="00AB796A" w:rsidRPr="00A159D0" w:rsidRDefault="00AB796A" w:rsidP="00A159D0">
      <w:pPr>
        <w:numPr>
          <w:ilvl w:val="1"/>
          <w:numId w:val="6"/>
        </w:numPr>
        <w:spacing w:after="240" w:line="360" w:lineRule="auto"/>
        <w:rPr>
          <w:rFonts w:ascii="Times New Roman" w:hAnsi="Times New Roman"/>
          <w:lang w:val="en-HK"/>
        </w:rPr>
      </w:pPr>
      <w:proofErr w:type="spellStart"/>
      <w:r w:rsidRPr="00A159D0">
        <w:rPr>
          <w:rFonts w:ascii="Times New Roman" w:hAnsi="Times New Roman"/>
          <w:b/>
          <w:bCs/>
          <w:i/>
          <w:iCs/>
          <w:lang w:val="en-HK"/>
        </w:rPr>
        <w:t>Twinsectra</w:t>
      </w:r>
      <w:proofErr w:type="spellEnd"/>
      <w:r w:rsidRPr="00A159D0">
        <w:rPr>
          <w:rFonts w:ascii="Times New Roman" w:hAnsi="Times New Roman"/>
          <w:b/>
          <w:bCs/>
          <w:i/>
          <w:iCs/>
          <w:lang w:val="en-HK"/>
        </w:rPr>
        <w:t xml:space="preserve"> Ltd v Yardley]:</w:t>
      </w:r>
      <w:r w:rsidRPr="00A159D0">
        <w:rPr>
          <w:rFonts w:ascii="Times New Roman" w:hAnsi="Times New Roman"/>
          <w:lang w:val="en-HK"/>
        </w:rPr>
        <w:t xml:space="preserve"> Lord Millett’s conscience-based reasoning underpinned his resulting trust, arguing misuse betrays trust, creating a fiduciary duty (p. 792).</w:t>
      </w:r>
    </w:p>
    <w:p w14:paraId="05134A9D"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Scholarly Perspective:</w:t>
      </w:r>
      <w:r w:rsidRPr="00A159D0">
        <w:rPr>
          <w:rFonts w:ascii="Times New Roman" w:hAnsi="Times New Roman"/>
          <w:lang w:val="en-HK"/>
        </w:rPr>
        <w:t xml:space="preserve"> </w:t>
      </w:r>
    </w:p>
    <w:p w14:paraId="3068D53D" w14:textId="2A3FA2D9"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Timon Hughes-Davies</w:t>
      </w:r>
      <w:r w:rsidRPr="00A159D0">
        <w:rPr>
          <w:rFonts w:ascii="Times New Roman" w:hAnsi="Times New Roman"/>
          <w:lang w:val="en-HK"/>
        </w:rPr>
        <w:t xml:space="preserve"> posits fiduciary duties arise when the lender has a “separate and distinct interest” beyond repayment, and the loan is “soft” (e.g., no interest). Examples include </w:t>
      </w:r>
      <w:r w:rsidRPr="00A159D0">
        <w:rPr>
          <w:rFonts w:ascii="Times New Roman" w:hAnsi="Times New Roman"/>
          <w:i/>
          <w:iCs/>
          <w:lang w:val="en-HK"/>
        </w:rPr>
        <w:t>Northern Developments</w:t>
      </w:r>
      <w:r w:rsidRPr="00A159D0">
        <w:rPr>
          <w:rFonts w:ascii="Times New Roman" w:hAnsi="Times New Roman"/>
          <w:lang w:val="en-HK"/>
        </w:rPr>
        <w:t xml:space="preserve"> (banks protecting group loans) and </w:t>
      </w:r>
      <w:proofErr w:type="spellStart"/>
      <w:r w:rsidRPr="00A159D0">
        <w:rPr>
          <w:rFonts w:ascii="Times New Roman" w:hAnsi="Times New Roman"/>
          <w:i/>
          <w:iCs/>
          <w:lang w:val="en-HK"/>
        </w:rPr>
        <w:t>Toovey</w:t>
      </w:r>
      <w:proofErr w:type="spellEnd"/>
      <w:r w:rsidRPr="00A159D0">
        <w:rPr>
          <w:rFonts w:ascii="Times New Roman" w:hAnsi="Times New Roman"/>
          <w:i/>
          <w:iCs/>
          <w:lang w:val="en-HK"/>
        </w:rPr>
        <w:t xml:space="preserve"> v Milne</w:t>
      </w:r>
      <w:r w:rsidRPr="00A159D0">
        <w:rPr>
          <w:rFonts w:ascii="Times New Roman" w:hAnsi="Times New Roman"/>
          <w:lang w:val="en-HK"/>
        </w:rPr>
        <w:t xml:space="preserve"> (1819) 2 B &amp; </w:t>
      </w:r>
      <w:proofErr w:type="spellStart"/>
      <w:r w:rsidRPr="00A159D0">
        <w:rPr>
          <w:rFonts w:ascii="Times New Roman" w:hAnsi="Times New Roman"/>
          <w:lang w:val="en-HK"/>
        </w:rPr>
        <w:t>Ald</w:t>
      </w:r>
      <w:proofErr w:type="spellEnd"/>
      <w:r w:rsidRPr="00A159D0">
        <w:rPr>
          <w:rFonts w:ascii="Times New Roman" w:hAnsi="Times New Roman"/>
          <w:lang w:val="en-HK"/>
        </w:rPr>
        <w:t xml:space="preserve"> 683 (lender aiding a relative) (p. 794, citing T. Hughes-Davies, “Redefining the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 [2015] Conv 26, 28-29). He argues: “If … B will help A to achieve the intended end result … it is this element of trust or reliance that imposes fiduciary duties on B” (p. 795, quoting [2015] Conv 26, 42).</w:t>
      </w:r>
    </w:p>
    <w:p w14:paraId="40C9429A"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Detailed Analysis:</w:t>
      </w:r>
      <w:r w:rsidRPr="00A159D0">
        <w:rPr>
          <w:rFonts w:ascii="Times New Roman" w:hAnsi="Times New Roman"/>
          <w:lang w:val="en-HK"/>
        </w:rPr>
        <w:t xml:space="preserve"> </w:t>
      </w:r>
    </w:p>
    <w:p w14:paraId="040CE5B1"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In </w:t>
      </w:r>
      <w:r w:rsidRPr="00A159D0">
        <w:rPr>
          <w:rFonts w:ascii="Times New Roman" w:hAnsi="Times New Roman"/>
          <w:i/>
          <w:iCs/>
          <w:lang w:val="en-HK"/>
        </w:rPr>
        <w:t>Carreras</w:t>
      </w:r>
      <w:r w:rsidRPr="00A159D0">
        <w:rPr>
          <w:rFonts w:ascii="Times New Roman" w:hAnsi="Times New Roman"/>
          <w:lang w:val="en-HK"/>
        </w:rPr>
        <w:t xml:space="preserve">, unconscionability reinforced intention, as the separate account evidenced restrictions (p. 792). In </w:t>
      </w:r>
      <w:proofErr w:type="spellStart"/>
      <w:r w:rsidRPr="00A159D0">
        <w:rPr>
          <w:rFonts w:ascii="Times New Roman" w:hAnsi="Times New Roman"/>
          <w:i/>
          <w:iCs/>
          <w:lang w:val="en-HK"/>
        </w:rPr>
        <w:t>Twinsectra</w:t>
      </w:r>
      <w:proofErr w:type="spellEnd"/>
      <w:r w:rsidRPr="00A159D0">
        <w:rPr>
          <w:rFonts w:ascii="Times New Roman" w:hAnsi="Times New Roman"/>
          <w:lang w:val="en-HK"/>
        </w:rPr>
        <w:t xml:space="preserve">, Lord Millett extended this to justify equitable intervention despite weak intent evidence (p. 792). Hughes-Davies’ model ties unconscionability to specific lender interests, e.g., John Bloom in </w:t>
      </w:r>
      <w:proofErr w:type="spellStart"/>
      <w:r w:rsidRPr="00A159D0">
        <w:rPr>
          <w:rFonts w:ascii="Times New Roman" w:hAnsi="Times New Roman"/>
          <w:i/>
          <w:iCs/>
          <w:lang w:val="en-HK"/>
        </w:rPr>
        <w:t>Quistclose</w:t>
      </w:r>
      <w:proofErr w:type="spellEnd"/>
      <w:r w:rsidRPr="00A159D0">
        <w:rPr>
          <w:rFonts w:ascii="Times New Roman" w:hAnsi="Times New Roman"/>
          <w:lang w:val="en-HK"/>
        </w:rPr>
        <w:t xml:space="preserve"> saving Rolls (p. 794).</w:t>
      </w:r>
    </w:p>
    <w:p w14:paraId="19D504ED"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Critiques:</w:t>
      </w:r>
      <w:r w:rsidRPr="00A159D0">
        <w:rPr>
          <w:rFonts w:ascii="Times New Roman" w:hAnsi="Times New Roman"/>
          <w:lang w:val="en-HK"/>
        </w:rPr>
        <w:t xml:space="preserve"> </w:t>
      </w:r>
    </w:p>
    <w:p w14:paraId="1C2ABA56" w14:textId="6F8195FF"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1. Distinction from Contract:</w:t>
      </w:r>
      <w:r w:rsidRPr="00A159D0">
        <w:rPr>
          <w:rFonts w:ascii="Times New Roman" w:hAnsi="Times New Roman"/>
          <w:lang w:val="en-HK"/>
        </w:rPr>
        <w:t xml:space="preserve"> Hudson questions what differentiates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scenarios from contractual breaches where equity doesn’t intervene (p. 792). Lord Mustill in </w:t>
      </w:r>
      <w:r w:rsidRPr="00A159D0">
        <w:rPr>
          <w:rFonts w:ascii="Times New Roman" w:hAnsi="Times New Roman"/>
          <w:i/>
          <w:iCs/>
          <w:lang w:val="en-HK"/>
        </w:rPr>
        <w:t>Re Goldcorp Exchange Ltd [1995] 1 AC 74]</w:t>
      </w:r>
      <w:r w:rsidRPr="00A159D0">
        <w:rPr>
          <w:rFonts w:ascii="Times New Roman" w:hAnsi="Times New Roman"/>
          <w:lang w:val="en-HK"/>
        </w:rPr>
        <w:t xml:space="preserve"> rejected </w:t>
      </w:r>
      <w:r w:rsidRPr="00A159D0">
        <w:rPr>
          <w:rFonts w:ascii="Times New Roman" w:hAnsi="Times New Roman"/>
          <w:b/>
          <w:bCs/>
          <w:lang w:val="en-HK"/>
        </w:rPr>
        <w:t>fiduciary duties absent contractual limits</w:t>
      </w:r>
      <w:r w:rsidRPr="00A159D0">
        <w:rPr>
          <w:rFonts w:ascii="Times New Roman" w:hAnsi="Times New Roman"/>
          <w:lang w:val="en-HK"/>
        </w:rPr>
        <w:t>, stating: “</w:t>
      </w:r>
      <w:r w:rsidRPr="00A159D0">
        <w:rPr>
          <w:rFonts w:ascii="Times New Roman" w:hAnsi="Times New Roman"/>
          <w:b/>
          <w:bCs/>
          <w:lang w:val="en-HK"/>
        </w:rPr>
        <w:t>the duty was to expend the moneys … [an] obligation which … cannot be extracted from … the contract</w:t>
      </w:r>
      <w:r w:rsidRPr="00A159D0">
        <w:rPr>
          <w:rFonts w:ascii="Times New Roman" w:hAnsi="Times New Roman"/>
          <w:lang w:val="en-HK"/>
        </w:rPr>
        <w:t>” (p. 793, quoting [1995] 1 AC 74).</w:t>
      </w:r>
    </w:p>
    <w:p w14:paraId="2E3B3E99" w14:textId="77777777" w:rsidR="00AB796A" w:rsidRPr="00A159D0" w:rsidRDefault="00AB796A" w:rsidP="00A159D0">
      <w:pPr>
        <w:spacing w:after="240" w:line="360" w:lineRule="auto"/>
        <w:ind w:left="1440"/>
        <w:rPr>
          <w:rFonts w:ascii="Times New Roman" w:hAnsi="Times New Roman"/>
          <w:lang w:val="en-HK"/>
        </w:rPr>
      </w:pPr>
    </w:p>
    <w:p w14:paraId="10F0256B" w14:textId="52E5C7EB" w:rsidR="00AB796A" w:rsidRPr="00A159D0" w:rsidRDefault="00AB796A" w:rsidP="00A159D0">
      <w:pPr>
        <w:numPr>
          <w:ilvl w:val="1"/>
          <w:numId w:val="6"/>
        </w:numPr>
        <w:spacing w:after="240" w:line="360" w:lineRule="auto"/>
        <w:rPr>
          <w:rFonts w:ascii="Times New Roman" w:hAnsi="Times New Roman"/>
          <w:lang w:val="en-HK"/>
        </w:rPr>
      </w:pPr>
      <w:r w:rsidRPr="00A159D0">
        <w:rPr>
          <w:rFonts w:ascii="Times New Roman" w:hAnsi="Times New Roman"/>
          <w:b/>
          <w:bCs/>
          <w:lang w:val="en-HK"/>
        </w:rPr>
        <w:t>Vagueness Risk:</w:t>
      </w:r>
      <w:r w:rsidRPr="00A159D0">
        <w:rPr>
          <w:rFonts w:ascii="Times New Roman" w:hAnsi="Times New Roman"/>
          <w:lang w:val="en-HK"/>
        </w:rPr>
        <w:t xml:space="preserve"> Hughes-Davies’ “separate interest” (e.g., familial happiness in </w:t>
      </w:r>
      <w:proofErr w:type="spellStart"/>
      <w:r w:rsidRPr="00A159D0">
        <w:rPr>
          <w:rFonts w:ascii="Times New Roman" w:hAnsi="Times New Roman"/>
          <w:i/>
          <w:iCs/>
          <w:lang w:val="en-HK"/>
        </w:rPr>
        <w:t>Toovey</w:t>
      </w:r>
      <w:proofErr w:type="spellEnd"/>
      <w:r w:rsidRPr="00A159D0">
        <w:rPr>
          <w:rFonts w:ascii="Times New Roman" w:hAnsi="Times New Roman"/>
          <w:lang w:val="en-HK"/>
        </w:rPr>
        <w:t xml:space="preserve">) is often generic, risking retrofitted claims and unpredictability (p. 795). Hudson notes </w:t>
      </w:r>
      <w:r w:rsidRPr="00A159D0">
        <w:rPr>
          <w:rFonts w:ascii="Times New Roman" w:hAnsi="Times New Roman"/>
          <w:i/>
          <w:iCs/>
          <w:lang w:val="en-HK"/>
        </w:rPr>
        <w:t>Northern Developments</w:t>
      </w:r>
      <w:r w:rsidRPr="00A159D0">
        <w:rPr>
          <w:rFonts w:ascii="Times New Roman" w:hAnsi="Times New Roman"/>
          <w:lang w:val="en-HK"/>
        </w:rPr>
        <w:t xml:space="preserve"> reflects calculated banking risk, not fiduciary trust (p. 795).</w:t>
      </w:r>
    </w:p>
    <w:p w14:paraId="15BC1808" w14:textId="3C675C70" w:rsidR="00AB796A" w:rsidRPr="00A159D0" w:rsidRDefault="00AB796A" w:rsidP="00A159D0">
      <w:pPr>
        <w:numPr>
          <w:ilvl w:val="1"/>
          <w:numId w:val="6"/>
        </w:numPr>
        <w:spacing w:after="240" w:line="360" w:lineRule="auto"/>
        <w:rPr>
          <w:rFonts w:ascii="Times New Roman" w:hAnsi="Times New Roman"/>
          <w:lang w:val="en-HK"/>
        </w:rPr>
      </w:pPr>
      <w:r w:rsidRPr="00A159D0">
        <w:rPr>
          <w:rFonts w:ascii="Times New Roman" w:hAnsi="Times New Roman"/>
          <w:b/>
          <w:bCs/>
          <w:lang w:val="en-HK"/>
        </w:rPr>
        <w:t>Doctrinal Overlap:</w:t>
      </w:r>
      <w:r w:rsidRPr="00A159D0">
        <w:rPr>
          <w:rFonts w:ascii="Times New Roman" w:hAnsi="Times New Roman"/>
          <w:lang w:val="en-HK"/>
        </w:rPr>
        <w:t xml:space="preserve"> If unconscionability is key, it aligns with constructive trusts, reducing intention’s role (p. 792), as seen in </w:t>
      </w:r>
      <w:r w:rsidRPr="00A159D0">
        <w:rPr>
          <w:rFonts w:ascii="Times New Roman" w:hAnsi="Times New Roman"/>
          <w:i/>
          <w:iCs/>
          <w:lang w:val="en-HK"/>
        </w:rPr>
        <w:t>Cooper</w:t>
      </w:r>
      <w:r w:rsidRPr="00A159D0">
        <w:rPr>
          <w:rFonts w:ascii="Times New Roman" w:hAnsi="Times New Roman"/>
          <w:lang w:val="en-HK"/>
        </w:rPr>
        <w:t>’s implied trust (p. 788).</w:t>
      </w:r>
    </w:p>
    <w:p w14:paraId="6BF2AF50" w14:textId="77777777" w:rsidR="00AB796A" w:rsidRPr="00A159D0" w:rsidRDefault="00AB796A" w:rsidP="00A159D0">
      <w:pPr>
        <w:numPr>
          <w:ilvl w:val="0"/>
          <w:numId w:val="6"/>
        </w:numPr>
        <w:spacing w:after="240" w:line="360" w:lineRule="auto"/>
        <w:rPr>
          <w:rFonts w:ascii="Times New Roman" w:hAnsi="Times New Roman"/>
          <w:lang w:val="en-HK"/>
        </w:rPr>
      </w:pPr>
      <w:r w:rsidRPr="00A159D0">
        <w:rPr>
          <w:rFonts w:ascii="Times New Roman" w:hAnsi="Times New Roman"/>
          <w:b/>
          <w:bCs/>
          <w:lang w:val="en-HK"/>
        </w:rPr>
        <w:t>Implications:</w:t>
      </w:r>
      <w:r w:rsidRPr="00A159D0">
        <w:rPr>
          <w:rFonts w:ascii="Times New Roman" w:hAnsi="Times New Roman"/>
          <w:lang w:val="en-HK"/>
        </w:rPr>
        <w:t xml:space="preserve"> An unconscionability basis suggests imposed trusts, potentially outside PPSA s 12(1) but conflicting with judicial express/resulting characterizations (p. 810).</w:t>
      </w:r>
    </w:p>
    <w:p w14:paraId="583C8A0B" w14:textId="77777777" w:rsidR="00AB796A" w:rsidRPr="00A159D0" w:rsidRDefault="00AB796A" w:rsidP="00A159D0">
      <w:pPr>
        <w:spacing w:after="240" w:line="360" w:lineRule="auto"/>
        <w:rPr>
          <w:rFonts w:ascii="Times New Roman" w:hAnsi="Times New Roman"/>
          <w:lang w:val="en-HK"/>
        </w:rPr>
      </w:pPr>
    </w:p>
    <w:p w14:paraId="09CBB158" w14:textId="5A36A902" w:rsidR="00AB796A" w:rsidRPr="00A159D0" w:rsidRDefault="00AB796A" w:rsidP="00A159D0">
      <w:pPr>
        <w:spacing w:after="240" w:line="360" w:lineRule="auto"/>
        <w:outlineLvl w:val="3"/>
        <w:rPr>
          <w:rFonts w:ascii="Times New Roman" w:hAnsi="Times New Roman"/>
          <w:b/>
          <w:bCs/>
          <w:lang w:val="en-HK"/>
        </w:rPr>
      </w:pPr>
      <w:r w:rsidRPr="00A159D0">
        <w:rPr>
          <w:rFonts w:ascii="Times New Roman" w:hAnsi="Times New Roman"/>
          <w:b/>
          <w:bCs/>
          <w:lang w:val="en-HK"/>
        </w:rPr>
        <w:t>3. Fairness</w:t>
      </w:r>
    </w:p>
    <w:p w14:paraId="665F2C19"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Core Argument:</w:t>
      </w:r>
      <w:r w:rsidRPr="00A159D0">
        <w:rPr>
          <w:rFonts w:ascii="Times New Roman" w:hAnsi="Times New Roman"/>
          <w:lang w:val="en-HK"/>
        </w:rPr>
        <w:t xml:space="preserve"> Fairness justifies returning funds to the lender if the purpose fails, avoiding hardship and preventing creditor windfalls. Bingham LJ in </w:t>
      </w:r>
      <w:r w:rsidRPr="00A159D0">
        <w:rPr>
          <w:rFonts w:ascii="Times New Roman" w:hAnsi="Times New Roman"/>
          <w:i/>
          <w:iCs/>
          <w:lang w:val="en-HK"/>
        </w:rPr>
        <w:t>Re EVTR</w:t>
      </w:r>
      <w:r w:rsidRPr="00A159D0">
        <w:rPr>
          <w:rFonts w:ascii="Times New Roman" w:hAnsi="Times New Roman"/>
          <w:lang w:val="en-HK"/>
        </w:rPr>
        <w:t xml:space="preserve"> stated: “It would … strike most people as very hard if Mr Barber were … confined to a claim as an unsecured creditor … the object of the payment was not achieved” (p. 798, quoting (1987) 3 BCC 389, 394).</w:t>
      </w:r>
    </w:p>
    <w:p w14:paraId="606FC2B9"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Supporting Case Law:</w:t>
      </w:r>
      <w:r w:rsidRPr="00A159D0">
        <w:rPr>
          <w:rFonts w:ascii="Times New Roman" w:hAnsi="Times New Roman"/>
          <w:lang w:val="en-HK"/>
        </w:rPr>
        <w:t xml:space="preserve"> </w:t>
      </w:r>
    </w:p>
    <w:p w14:paraId="775ACE3C" w14:textId="7F5AD012" w:rsidR="00AB796A" w:rsidRPr="00A159D0" w:rsidRDefault="00AB796A" w:rsidP="00A159D0">
      <w:pPr>
        <w:numPr>
          <w:ilvl w:val="1"/>
          <w:numId w:val="7"/>
        </w:numPr>
        <w:spacing w:after="240" w:line="360" w:lineRule="auto"/>
        <w:rPr>
          <w:rFonts w:ascii="Times New Roman" w:hAnsi="Times New Roman"/>
          <w:lang w:val="en-HK"/>
        </w:rPr>
      </w:pPr>
      <w:r w:rsidRPr="00A159D0">
        <w:rPr>
          <w:rFonts w:ascii="Times New Roman" w:hAnsi="Times New Roman"/>
          <w:b/>
          <w:bCs/>
          <w:i/>
          <w:iCs/>
          <w:lang w:val="en-HK"/>
        </w:rPr>
        <w:t>Re EVTR Ltd (1987) 3 BCC 389]:</w:t>
      </w:r>
      <w:r w:rsidRPr="00A159D0">
        <w:rPr>
          <w:rFonts w:ascii="Times New Roman" w:hAnsi="Times New Roman"/>
          <w:lang w:val="en-HK"/>
        </w:rPr>
        <w:t xml:space="preserve"> Mr. Barber lent £60,000 for EVTR to buy equipment. After receivership, the seller repaid £49,000, which the Court of Appeal held on trust for Barber. Dillon LJ reasoned the purpose failed “in any realistic sense” (p. 797, quoting (1987) 3 BCC 389, 393), and Bingham LJ emphasized fairness (p. 798).</w:t>
      </w:r>
    </w:p>
    <w:p w14:paraId="71A6C7DC" w14:textId="77777777" w:rsidR="00AB796A" w:rsidRPr="00A159D0" w:rsidRDefault="00AB796A" w:rsidP="00A159D0">
      <w:pPr>
        <w:numPr>
          <w:ilvl w:val="1"/>
          <w:numId w:val="7"/>
        </w:numPr>
        <w:spacing w:after="240" w:line="360" w:lineRule="auto"/>
        <w:rPr>
          <w:rFonts w:ascii="Times New Roman" w:hAnsi="Times New Roman"/>
          <w:lang w:val="en-HK"/>
        </w:rPr>
      </w:pPr>
      <w:r w:rsidRPr="00A159D0">
        <w:rPr>
          <w:rFonts w:ascii="Times New Roman" w:hAnsi="Times New Roman"/>
          <w:b/>
          <w:bCs/>
          <w:i/>
          <w:iCs/>
          <w:lang w:val="en-HK"/>
        </w:rPr>
        <w:t xml:space="preserve">In re </w:t>
      </w:r>
      <w:proofErr w:type="spellStart"/>
      <w:r w:rsidRPr="00A159D0">
        <w:rPr>
          <w:rFonts w:ascii="Times New Roman" w:hAnsi="Times New Roman"/>
          <w:b/>
          <w:bCs/>
          <w:i/>
          <w:iCs/>
          <w:lang w:val="en-HK"/>
        </w:rPr>
        <w:t>Kayford</w:t>
      </w:r>
      <w:proofErr w:type="spellEnd"/>
      <w:r w:rsidRPr="00A159D0">
        <w:rPr>
          <w:rFonts w:ascii="Times New Roman" w:hAnsi="Times New Roman"/>
          <w:b/>
          <w:bCs/>
          <w:i/>
          <w:iCs/>
          <w:lang w:val="en-HK"/>
        </w:rPr>
        <w:t xml:space="preserve"> [1975] 1 WLR 279]:</w:t>
      </w:r>
      <w:r w:rsidRPr="00A159D0">
        <w:rPr>
          <w:rFonts w:ascii="Times New Roman" w:hAnsi="Times New Roman"/>
          <w:lang w:val="en-HK"/>
        </w:rPr>
        <w:t xml:space="preserve"> A mail-order company segregated customer prepayments into a trust account amid supplier issues. </w:t>
      </w:r>
      <w:proofErr w:type="spellStart"/>
      <w:r w:rsidRPr="00A159D0">
        <w:rPr>
          <w:rFonts w:ascii="Times New Roman" w:hAnsi="Times New Roman"/>
          <w:lang w:val="en-HK"/>
        </w:rPr>
        <w:t>Megarry</w:t>
      </w:r>
      <w:proofErr w:type="spellEnd"/>
      <w:r w:rsidRPr="00A159D0">
        <w:rPr>
          <w:rFonts w:ascii="Times New Roman" w:hAnsi="Times New Roman"/>
          <w:lang w:val="en-HK"/>
        </w:rPr>
        <w:t xml:space="preserve"> J upheld a trust, citing fairness: “where money in advance is being paid … it is an entirely proper … thing … to start to pay the money into a trust account” (p. 805, quoting [1975] 1 WLR 279, 282).</w:t>
      </w:r>
    </w:p>
    <w:p w14:paraId="780DE883"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Detailed Analysis:</w:t>
      </w:r>
      <w:r w:rsidRPr="00A159D0">
        <w:rPr>
          <w:rFonts w:ascii="Times New Roman" w:hAnsi="Times New Roman"/>
          <w:lang w:val="en-HK"/>
        </w:rPr>
        <w:t xml:space="preserve"> </w:t>
      </w:r>
    </w:p>
    <w:p w14:paraId="489DD304"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In </w:t>
      </w:r>
      <w:r w:rsidRPr="00A159D0">
        <w:rPr>
          <w:rFonts w:ascii="Times New Roman" w:hAnsi="Times New Roman"/>
          <w:i/>
          <w:iCs/>
          <w:lang w:val="en-HK"/>
        </w:rPr>
        <w:t>Re EVTR</w:t>
      </w:r>
      <w:r w:rsidRPr="00A159D0">
        <w:rPr>
          <w:rFonts w:ascii="Times New Roman" w:hAnsi="Times New Roman"/>
          <w:lang w:val="en-HK"/>
        </w:rPr>
        <w:t xml:space="preserve">, fairness protected Barber’s quasi-lottery winnings from creditors (p. 798). In </w:t>
      </w:r>
      <w:proofErr w:type="spellStart"/>
      <w:r w:rsidRPr="00A159D0">
        <w:rPr>
          <w:rFonts w:ascii="Times New Roman" w:hAnsi="Times New Roman"/>
          <w:i/>
          <w:iCs/>
          <w:lang w:val="en-HK"/>
        </w:rPr>
        <w:t>Kayford</w:t>
      </w:r>
      <w:proofErr w:type="spellEnd"/>
      <w:r w:rsidRPr="00A159D0">
        <w:rPr>
          <w:rFonts w:ascii="Times New Roman" w:hAnsi="Times New Roman"/>
          <w:lang w:val="en-HK"/>
        </w:rPr>
        <w:t xml:space="preserve">, it shielded vulnerable customers, aligning with public interest (p. 805). Some link </w:t>
      </w:r>
      <w:r w:rsidRPr="00A159D0">
        <w:rPr>
          <w:rFonts w:ascii="Times New Roman" w:hAnsi="Times New Roman"/>
          <w:lang w:val="en-HK"/>
        </w:rPr>
        <w:lastRenderedPageBreak/>
        <w:t xml:space="preserve">this to unjust enrichment via failure of basis (p. 796, citing Bryan and Vann, </w:t>
      </w:r>
      <w:r w:rsidRPr="00A159D0">
        <w:rPr>
          <w:rFonts w:ascii="Times New Roman" w:hAnsi="Times New Roman"/>
          <w:i/>
          <w:iCs/>
          <w:lang w:val="en-HK"/>
        </w:rPr>
        <w:t>Equity and Trusts in Australia</w:t>
      </w:r>
      <w:r w:rsidRPr="00A159D0">
        <w:rPr>
          <w:rFonts w:ascii="Times New Roman" w:hAnsi="Times New Roman"/>
          <w:lang w:val="en-HK"/>
        </w:rPr>
        <w:t xml:space="preserve"> [22.27]-[22.30]).</w:t>
      </w:r>
    </w:p>
    <w:p w14:paraId="59E190D0"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Critiques:</w:t>
      </w:r>
      <w:r w:rsidRPr="00A159D0">
        <w:rPr>
          <w:rFonts w:ascii="Times New Roman" w:hAnsi="Times New Roman"/>
          <w:lang w:val="en-HK"/>
        </w:rPr>
        <w:t xml:space="preserve"> </w:t>
      </w:r>
    </w:p>
    <w:p w14:paraId="3D7D6A75" w14:textId="639F406D"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1. Lender Variability:</w:t>
      </w:r>
      <w:r w:rsidRPr="00A159D0">
        <w:rPr>
          <w:rFonts w:ascii="Times New Roman" w:hAnsi="Times New Roman"/>
          <w:lang w:val="en-HK"/>
        </w:rPr>
        <w:t xml:space="preserve"> Hudson queries if all lenders merit equal treatment—e.g., </w:t>
      </w:r>
      <w:r w:rsidRPr="00A159D0">
        <w:rPr>
          <w:rFonts w:ascii="Times New Roman" w:hAnsi="Times New Roman"/>
          <w:b/>
          <w:bCs/>
          <w:lang w:val="en-HK"/>
        </w:rPr>
        <w:t>Barber was an investor, not just a benevolent lender (p. 798).</w:t>
      </w:r>
      <w:r w:rsidRPr="00A159D0">
        <w:rPr>
          <w:rFonts w:ascii="Times New Roman" w:hAnsi="Times New Roman"/>
          <w:lang w:val="en-HK"/>
        </w:rPr>
        <w:t xml:space="preserve"> Should institutional lenders like </w:t>
      </w:r>
      <w:proofErr w:type="spellStart"/>
      <w:r w:rsidRPr="00A159D0">
        <w:rPr>
          <w:rFonts w:ascii="Times New Roman" w:hAnsi="Times New Roman"/>
          <w:lang w:val="en-HK"/>
        </w:rPr>
        <w:t>Twinsectra’s</w:t>
      </w:r>
      <w:proofErr w:type="spellEnd"/>
      <w:r w:rsidRPr="00A159D0">
        <w:rPr>
          <w:rFonts w:ascii="Times New Roman" w:hAnsi="Times New Roman"/>
          <w:lang w:val="en-HK"/>
        </w:rPr>
        <w:t xml:space="preserve"> Mr. Atherton enjoy the same </w:t>
      </w:r>
      <w:proofErr w:type="spellStart"/>
      <w:r w:rsidRPr="00A159D0">
        <w:rPr>
          <w:rFonts w:ascii="Times New Roman" w:hAnsi="Times New Roman"/>
          <w:lang w:val="en-HK"/>
        </w:rPr>
        <w:t>favor</w:t>
      </w:r>
      <w:proofErr w:type="spellEnd"/>
      <w:r w:rsidRPr="00A159D0">
        <w:rPr>
          <w:rFonts w:ascii="Times New Roman" w:hAnsi="Times New Roman"/>
          <w:lang w:val="en-HK"/>
        </w:rPr>
        <w:t>? (p. 798).</w:t>
      </w:r>
    </w:p>
    <w:p w14:paraId="4B016797" w14:textId="248D2975"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2. </w:t>
      </w:r>
      <w:r w:rsidRPr="00A159D0">
        <w:rPr>
          <w:rFonts w:ascii="Times New Roman" w:hAnsi="Times New Roman"/>
          <w:b/>
          <w:bCs/>
          <w:lang w:val="en-HK"/>
        </w:rPr>
        <w:t>Insolvency Tension:</w:t>
      </w:r>
      <w:r w:rsidRPr="00A159D0">
        <w:rPr>
          <w:rFonts w:ascii="Times New Roman" w:hAnsi="Times New Roman"/>
          <w:lang w:val="en-HK"/>
        </w:rPr>
        <w:t xml:space="preserve"> Statutory schemes like the </w:t>
      </w:r>
      <w:r w:rsidRPr="00A159D0">
        <w:rPr>
          <w:rFonts w:ascii="Times New Roman" w:hAnsi="Times New Roman"/>
          <w:i/>
          <w:iCs/>
          <w:lang w:val="en-HK"/>
        </w:rPr>
        <w:t>Insolvency Act 1986</w:t>
      </w:r>
      <w:r w:rsidRPr="00A159D0">
        <w:rPr>
          <w:rFonts w:ascii="Times New Roman" w:hAnsi="Times New Roman"/>
          <w:lang w:val="en-HK"/>
        </w:rPr>
        <w:t xml:space="preserve"> s 175 prioritize employees over general creditors (p. 799). Hudson argues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priority undermines this, especially if creditors include employees (p. 799, citing </w:t>
      </w:r>
      <w:r w:rsidRPr="00A159D0">
        <w:rPr>
          <w:rFonts w:ascii="Times New Roman" w:hAnsi="Times New Roman"/>
          <w:i/>
          <w:iCs/>
          <w:lang w:val="en-HK"/>
        </w:rPr>
        <w:t>Two Feathers</w:t>
      </w:r>
      <w:r w:rsidRPr="00A159D0">
        <w:rPr>
          <w:rFonts w:ascii="Times New Roman" w:hAnsi="Times New Roman"/>
          <w:lang w:val="en-HK"/>
        </w:rPr>
        <w:t xml:space="preserve"> 2013 ONCA 598, [23]).</w:t>
      </w:r>
    </w:p>
    <w:p w14:paraId="005FF9F2" w14:textId="0F9D058E" w:rsidR="00AB796A" w:rsidRPr="00A159D0" w:rsidRDefault="00AB796A" w:rsidP="00A159D0">
      <w:pPr>
        <w:numPr>
          <w:ilvl w:val="1"/>
          <w:numId w:val="7"/>
        </w:numPr>
        <w:spacing w:after="240" w:line="360" w:lineRule="auto"/>
        <w:rPr>
          <w:rFonts w:ascii="Times New Roman" w:hAnsi="Times New Roman"/>
          <w:lang w:val="en-HK"/>
        </w:rPr>
      </w:pPr>
      <w:r w:rsidRPr="00A159D0">
        <w:rPr>
          <w:rFonts w:ascii="Times New Roman" w:hAnsi="Times New Roman"/>
          <w:b/>
          <w:bCs/>
          <w:lang w:val="en-HK"/>
        </w:rPr>
        <w:t>Operational Challenge:</w:t>
      </w:r>
      <w:r w:rsidRPr="00A159D0">
        <w:rPr>
          <w:rFonts w:ascii="Times New Roman" w:hAnsi="Times New Roman"/>
          <w:lang w:val="en-HK"/>
        </w:rPr>
        <w:t xml:space="preserve"> Fairness resists clear rules, risking inconsistent application. In </w:t>
      </w:r>
      <w:r w:rsidRPr="00A159D0">
        <w:rPr>
          <w:rFonts w:ascii="Times New Roman" w:hAnsi="Times New Roman"/>
          <w:i/>
          <w:iCs/>
          <w:lang w:val="en-HK"/>
        </w:rPr>
        <w:t>Re EVTR</w:t>
      </w:r>
      <w:r w:rsidRPr="00A159D0">
        <w:rPr>
          <w:rFonts w:ascii="Times New Roman" w:hAnsi="Times New Roman"/>
          <w:lang w:val="en-HK"/>
        </w:rPr>
        <w:t xml:space="preserve">, weak trust evidence suggests an imposed trust (p. 799). Pincus J in </w:t>
      </w:r>
      <w:r w:rsidRPr="00A159D0">
        <w:rPr>
          <w:rFonts w:ascii="Times New Roman" w:hAnsi="Times New Roman"/>
          <w:i/>
          <w:iCs/>
          <w:lang w:val="en-HK"/>
        </w:rPr>
        <w:t>Re Miles</w:t>
      </w:r>
      <w:r w:rsidRPr="00A159D0">
        <w:rPr>
          <w:rFonts w:ascii="Times New Roman" w:hAnsi="Times New Roman"/>
          <w:lang w:val="en-HK"/>
        </w:rPr>
        <w:t xml:space="preserve"> warned against extending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to all interrupted transactions (p. 805, quoting (1988) 85 ALR 216, 221).</w:t>
      </w:r>
    </w:p>
    <w:p w14:paraId="48548526" w14:textId="402C3100" w:rsidR="00AB796A" w:rsidRPr="00A159D0" w:rsidRDefault="00AB796A" w:rsidP="00A159D0">
      <w:pPr>
        <w:numPr>
          <w:ilvl w:val="1"/>
          <w:numId w:val="7"/>
        </w:numPr>
        <w:spacing w:after="240" w:line="360" w:lineRule="auto"/>
        <w:rPr>
          <w:rFonts w:ascii="Times New Roman" w:hAnsi="Times New Roman"/>
          <w:lang w:val="en-HK"/>
        </w:rPr>
      </w:pPr>
      <w:r w:rsidRPr="00A159D0">
        <w:rPr>
          <w:rFonts w:ascii="Times New Roman" w:hAnsi="Times New Roman"/>
          <w:b/>
          <w:bCs/>
          <w:lang w:val="en-HK"/>
        </w:rPr>
        <w:t>Unjust Enrichment Debate:</w:t>
      </w:r>
      <w:r w:rsidRPr="00A159D0">
        <w:rPr>
          <w:rFonts w:ascii="Times New Roman" w:hAnsi="Times New Roman"/>
          <w:lang w:val="en-HK"/>
        </w:rPr>
        <w:t xml:space="preserve"> Birks critiques conflating fairness with unjust enrichment, noting “unconscientiousness ex post … has no explanatory weight” (p. 800, quoting P. Birks, </w:t>
      </w:r>
      <w:r w:rsidRPr="00A159D0">
        <w:rPr>
          <w:rFonts w:ascii="Times New Roman" w:hAnsi="Times New Roman"/>
          <w:i/>
          <w:iCs/>
          <w:lang w:val="en-HK"/>
        </w:rPr>
        <w:t>Unjust Enrichment</w:t>
      </w:r>
      <w:r w:rsidRPr="00A159D0">
        <w:rPr>
          <w:rFonts w:ascii="Times New Roman" w:hAnsi="Times New Roman"/>
          <w:lang w:val="en-HK"/>
        </w:rPr>
        <w:t xml:space="preserve"> (2nd ed, 2005) 6). Hudson agrees it’s intention-driven, not fairness-driven (p. 800).</w:t>
      </w:r>
    </w:p>
    <w:p w14:paraId="6D84CBA2" w14:textId="77777777" w:rsidR="00AB796A" w:rsidRPr="00A159D0" w:rsidRDefault="00AB796A" w:rsidP="00A159D0">
      <w:pPr>
        <w:numPr>
          <w:ilvl w:val="0"/>
          <w:numId w:val="7"/>
        </w:numPr>
        <w:spacing w:after="240" w:line="360" w:lineRule="auto"/>
        <w:rPr>
          <w:rFonts w:ascii="Times New Roman" w:hAnsi="Times New Roman"/>
          <w:lang w:val="en-HK"/>
        </w:rPr>
      </w:pPr>
      <w:r w:rsidRPr="00A159D0">
        <w:rPr>
          <w:rFonts w:ascii="Times New Roman" w:hAnsi="Times New Roman"/>
          <w:b/>
          <w:bCs/>
          <w:lang w:val="en-HK"/>
        </w:rPr>
        <w:t>Implications:</w:t>
      </w:r>
      <w:r w:rsidRPr="00A159D0">
        <w:rPr>
          <w:rFonts w:ascii="Times New Roman" w:hAnsi="Times New Roman"/>
          <w:lang w:val="en-HK"/>
        </w:rPr>
        <w:t xml:space="preserve"> A fairness basis leans toward constructive trusts, clashing with insolvency statutes (e.g., Insolvency Act 1986 s 239 on preferences) and judicial intent focus (p. 804).</w:t>
      </w:r>
    </w:p>
    <w:p w14:paraId="1A84F4F9" w14:textId="77777777" w:rsidR="00AB796A" w:rsidRPr="00A159D0" w:rsidRDefault="00AB796A" w:rsidP="00A159D0">
      <w:pPr>
        <w:spacing w:after="240" w:line="360" w:lineRule="auto"/>
        <w:rPr>
          <w:rFonts w:ascii="Times New Roman" w:hAnsi="Times New Roman"/>
          <w:lang w:val="en-HK"/>
        </w:rPr>
      </w:pPr>
    </w:p>
    <w:p w14:paraId="79B6B651" w14:textId="77777777" w:rsidR="00AB796A" w:rsidRPr="00A159D0" w:rsidRDefault="00AB796A" w:rsidP="00A159D0">
      <w:pPr>
        <w:spacing w:after="240" w:line="360" w:lineRule="auto"/>
        <w:outlineLvl w:val="3"/>
        <w:rPr>
          <w:rFonts w:ascii="Times New Roman" w:hAnsi="Times New Roman"/>
          <w:b/>
          <w:bCs/>
          <w:lang w:val="en-HK"/>
        </w:rPr>
      </w:pPr>
      <w:r w:rsidRPr="00A159D0">
        <w:rPr>
          <w:rFonts w:ascii="Times New Roman" w:hAnsi="Times New Roman"/>
          <w:b/>
          <w:bCs/>
          <w:lang w:val="en-HK"/>
        </w:rPr>
        <w:t>4. Incentivisation</w:t>
      </w:r>
    </w:p>
    <w:p w14:paraId="6B5A4588"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Core Argument:</w:t>
      </w:r>
      <w:r w:rsidRPr="00A159D0">
        <w:rPr>
          <w:rFonts w:ascii="Times New Roman" w:hAnsi="Times New Roman"/>
          <w:lang w:val="en-HK"/>
        </w:rPr>
        <w:t xml:space="preserve">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encourage lending to distressed entities by offering quasi-security against insolvency. Smolyansky argues: “There is obvious societal and economic benefit in forestalling bankruptcy … if potential lenders … are not protected then such loans are unlikely to be made” (p. 802, quoting M. Smolyansky, “Reining in the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 (2014) 20 T&amp;T 558, 566).</w:t>
      </w:r>
    </w:p>
    <w:p w14:paraId="3E06D440"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lastRenderedPageBreak/>
        <w:t>Judicial and Scholarly Support:</w:t>
      </w:r>
      <w:r w:rsidRPr="00A159D0">
        <w:rPr>
          <w:rFonts w:ascii="Times New Roman" w:hAnsi="Times New Roman"/>
          <w:lang w:val="en-HK"/>
        </w:rPr>
        <w:t xml:space="preserve"> </w:t>
      </w:r>
    </w:p>
    <w:p w14:paraId="3D366911" w14:textId="50BC4292"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1. </w:t>
      </w:r>
      <w:r w:rsidRPr="00A159D0">
        <w:rPr>
          <w:rFonts w:ascii="Times New Roman" w:hAnsi="Times New Roman"/>
          <w:b/>
          <w:bCs/>
          <w:i/>
          <w:iCs/>
          <w:lang w:val="en-HK"/>
        </w:rPr>
        <w:t>Australian Elizabethan Theatre Trust]:</w:t>
      </w:r>
      <w:r w:rsidRPr="00A159D0">
        <w:rPr>
          <w:rFonts w:ascii="Times New Roman" w:hAnsi="Times New Roman"/>
          <w:lang w:val="en-HK"/>
        </w:rPr>
        <w:t xml:space="preserve"> </w:t>
      </w:r>
      <w:proofErr w:type="spellStart"/>
      <w:r w:rsidRPr="00A159D0">
        <w:rPr>
          <w:rFonts w:ascii="Times New Roman" w:hAnsi="Times New Roman"/>
          <w:lang w:val="en-HK"/>
        </w:rPr>
        <w:t>Gummow</w:t>
      </w:r>
      <w:proofErr w:type="spellEnd"/>
      <w:r w:rsidRPr="00A159D0">
        <w:rPr>
          <w:rFonts w:ascii="Times New Roman" w:hAnsi="Times New Roman"/>
          <w:lang w:val="en-HK"/>
        </w:rPr>
        <w:t xml:space="preserve"> J noted Finn’s view that it’s “in substance … a security device” (p. 801, citing (1991) 102 ALR 681, 691, quoting Priestley, “The </w:t>
      </w:r>
      <w:proofErr w:type="spellStart"/>
      <w:r w:rsidRPr="00A159D0">
        <w:rPr>
          <w:rFonts w:ascii="Times New Roman" w:hAnsi="Times New Roman"/>
          <w:lang w:val="en-HK"/>
        </w:rPr>
        <w:t>Romalpa</w:t>
      </w:r>
      <w:proofErr w:type="spellEnd"/>
      <w:r w:rsidRPr="00A159D0">
        <w:rPr>
          <w:rFonts w:ascii="Times New Roman" w:hAnsi="Times New Roman"/>
          <w:lang w:val="en-HK"/>
        </w:rPr>
        <w:t xml:space="preserve"> Clause and the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 in </w:t>
      </w:r>
      <w:r w:rsidRPr="00A159D0">
        <w:rPr>
          <w:rFonts w:ascii="Times New Roman" w:hAnsi="Times New Roman"/>
          <w:i/>
          <w:iCs/>
          <w:lang w:val="en-HK"/>
        </w:rPr>
        <w:t>Equity and Commercial Relationships</w:t>
      </w:r>
      <w:r w:rsidRPr="00A159D0">
        <w:rPr>
          <w:rFonts w:ascii="Times New Roman" w:hAnsi="Times New Roman"/>
          <w:lang w:val="en-HK"/>
        </w:rPr>
        <w:t xml:space="preserve"> (1987)).</w:t>
      </w:r>
    </w:p>
    <w:p w14:paraId="49A55A08" w14:textId="21BE53B4"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2. </w:t>
      </w:r>
      <w:proofErr w:type="spellStart"/>
      <w:r w:rsidRPr="00A159D0">
        <w:rPr>
          <w:rFonts w:ascii="Times New Roman" w:hAnsi="Times New Roman"/>
          <w:b/>
          <w:bCs/>
          <w:i/>
          <w:iCs/>
          <w:lang w:val="en-HK"/>
        </w:rPr>
        <w:t>Twinsectra</w:t>
      </w:r>
      <w:proofErr w:type="spellEnd"/>
      <w:r w:rsidRPr="00A159D0">
        <w:rPr>
          <w:rFonts w:ascii="Times New Roman" w:hAnsi="Times New Roman"/>
          <w:b/>
          <w:bCs/>
          <w:i/>
          <w:iCs/>
          <w:lang w:val="en-HK"/>
        </w:rPr>
        <w:t>]:</w:t>
      </w:r>
      <w:r w:rsidRPr="00A159D0">
        <w:rPr>
          <w:rFonts w:ascii="Times New Roman" w:hAnsi="Times New Roman"/>
          <w:lang w:val="en-HK"/>
        </w:rPr>
        <w:t xml:space="preserve"> Lord Millett likened it to a retention of title clause: “the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 is a simple commercial arrangement akin … to a retention of title clause” (p. 801, quoting [2002] 2 AC 164, [81]).</w:t>
      </w:r>
    </w:p>
    <w:p w14:paraId="127C699D"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Smolyansky posits it as an unarticulated policy to protect lenders, suggesting a constructive trust (p. 802).</w:t>
      </w:r>
    </w:p>
    <w:p w14:paraId="065658ED"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Detailed Analysis:</w:t>
      </w:r>
      <w:r w:rsidRPr="00A159D0">
        <w:rPr>
          <w:rFonts w:ascii="Times New Roman" w:hAnsi="Times New Roman"/>
          <w:lang w:val="en-HK"/>
        </w:rPr>
        <w:t xml:space="preserve"> </w:t>
      </w:r>
    </w:p>
    <w:p w14:paraId="195CFE1A" w14:textId="4D6DBF72"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The trust keeps funds outside the borrower’s estate (p. 800), akin to PPSA s 12(1) security interests (p. 806). Smolyansky sees </w:t>
      </w:r>
      <w:proofErr w:type="spellStart"/>
      <w:r w:rsidRPr="00A159D0">
        <w:rPr>
          <w:rFonts w:ascii="Times New Roman" w:hAnsi="Times New Roman"/>
          <w:i/>
          <w:iCs/>
          <w:lang w:val="en-HK"/>
        </w:rPr>
        <w:t>Quistclose</w:t>
      </w:r>
      <w:proofErr w:type="spellEnd"/>
      <w:r w:rsidRPr="00A159D0">
        <w:rPr>
          <w:rFonts w:ascii="Times New Roman" w:hAnsi="Times New Roman"/>
          <w:lang w:val="en-HK"/>
        </w:rPr>
        <w:t xml:space="preserve"> as a rescue loan, justifying protection (p. 802).</w:t>
      </w:r>
    </w:p>
    <w:p w14:paraId="633A80EA"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t>Critiques:</w:t>
      </w:r>
      <w:r w:rsidRPr="00A159D0">
        <w:rPr>
          <w:rFonts w:ascii="Times New Roman" w:hAnsi="Times New Roman"/>
          <w:lang w:val="en-HK"/>
        </w:rPr>
        <w:t xml:space="preserve"> </w:t>
      </w:r>
    </w:p>
    <w:p w14:paraId="088BF175" w14:textId="3F11AE57"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1. </w:t>
      </w:r>
      <w:r w:rsidRPr="00A159D0">
        <w:rPr>
          <w:rFonts w:ascii="Times New Roman" w:hAnsi="Times New Roman"/>
          <w:b/>
          <w:bCs/>
          <w:lang w:val="en-HK"/>
        </w:rPr>
        <w:t>Empirical Uncertainty:</w:t>
      </w:r>
      <w:r w:rsidRPr="00A159D0">
        <w:rPr>
          <w:rFonts w:ascii="Times New Roman" w:hAnsi="Times New Roman"/>
          <w:lang w:val="en-HK"/>
        </w:rPr>
        <w:t xml:space="preserve"> No evidence proves lenders rely on </w:t>
      </w:r>
      <w:proofErr w:type="spellStart"/>
      <w:r w:rsidRPr="00A159D0">
        <w:rPr>
          <w:rFonts w:ascii="Times New Roman" w:hAnsi="Times New Roman"/>
          <w:lang w:val="en-HK"/>
        </w:rPr>
        <w:t>Quistclose</w:t>
      </w:r>
      <w:proofErr w:type="spellEnd"/>
      <w:r w:rsidRPr="00A159D0">
        <w:rPr>
          <w:rFonts w:ascii="Times New Roman" w:hAnsi="Times New Roman"/>
          <w:lang w:val="en-HK"/>
        </w:rPr>
        <w:t xml:space="preserve"> trusts. In </w:t>
      </w:r>
      <w:proofErr w:type="spellStart"/>
      <w:r w:rsidRPr="00A159D0">
        <w:rPr>
          <w:rFonts w:ascii="Times New Roman" w:hAnsi="Times New Roman"/>
          <w:i/>
          <w:iCs/>
          <w:lang w:val="en-HK"/>
        </w:rPr>
        <w:t>Twinsectra</w:t>
      </w:r>
      <w:proofErr w:type="spellEnd"/>
      <w:r w:rsidRPr="00A159D0">
        <w:rPr>
          <w:rFonts w:ascii="Times New Roman" w:hAnsi="Times New Roman"/>
          <w:lang w:val="en-HK"/>
        </w:rPr>
        <w:t xml:space="preserve">, the 24% interest rate likely drove lending, not trust protection (p. 803). In </w:t>
      </w:r>
      <w:proofErr w:type="spellStart"/>
      <w:r w:rsidRPr="00A159D0">
        <w:rPr>
          <w:rFonts w:ascii="Times New Roman" w:hAnsi="Times New Roman"/>
          <w:i/>
          <w:iCs/>
          <w:lang w:val="en-HK"/>
        </w:rPr>
        <w:t>Quistclose</w:t>
      </w:r>
      <w:proofErr w:type="spellEnd"/>
      <w:r w:rsidRPr="00A159D0">
        <w:rPr>
          <w:rFonts w:ascii="Times New Roman" w:hAnsi="Times New Roman"/>
          <w:lang w:val="en-HK"/>
        </w:rPr>
        <w:t>, the loan supported “Mr X” finance, not insolvency planning (p. 803).</w:t>
      </w:r>
    </w:p>
    <w:p w14:paraId="4AB114D8" w14:textId="31102CBA"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2. </w:t>
      </w:r>
      <w:r w:rsidRPr="00A159D0">
        <w:rPr>
          <w:rFonts w:ascii="Times New Roman" w:hAnsi="Times New Roman"/>
          <w:b/>
          <w:bCs/>
          <w:lang w:val="en-HK"/>
        </w:rPr>
        <w:t>Normative Question:</w:t>
      </w:r>
      <w:r w:rsidRPr="00A159D0">
        <w:rPr>
          <w:rFonts w:ascii="Times New Roman" w:hAnsi="Times New Roman"/>
          <w:lang w:val="en-HK"/>
        </w:rPr>
        <w:t xml:space="preserve"> Why </w:t>
      </w:r>
      <w:proofErr w:type="spellStart"/>
      <w:r w:rsidRPr="00A159D0">
        <w:rPr>
          <w:rFonts w:ascii="Times New Roman" w:hAnsi="Times New Roman"/>
          <w:lang w:val="en-HK"/>
        </w:rPr>
        <w:t>favor</w:t>
      </w:r>
      <w:proofErr w:type="spellEnd"/>
      <w:r w:rsidRPr="00A159D0">
        <w:rPr>
          <w:rFonts w:ascii="Times New Roman" w:hAnsi="Times New Roman"/>
          <w:lang w:val="en-HK"/>
        </w:rPr>
        <w:t xml:space="preserve"> these lenders over others with security options? Hudson asks if Mr. Bloom or Mr. Atherton deserve special equitable rights (p. 803).</w:t>
      </w:r>
    </w:p>
    <w:p w14:paraId="7C2185B3" w14:textId="1F56CCFC"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3. </w:t>
      </w:r>
      <w:r w:rsidRPr="00A159D0">
        <w:rPr>
          <w:rFonts w:ascii="Times New Roman" w:hAnsi="Times New Roman"/>
          <w:b/>
          <w:bCs/>
          <w:lang w:val="en-HK"/>
        </w:rPr>
        <w:t>Doctrinal Tension:</w:t>
      </w:r>
      <w:r w:rsidRPr="00A159D0">
        <w:rPr>
          <w:rFonts w:ascii="Times New Roman" w:hAnsi="Times New Roman"/>
          <w:lang w:val="en-HK"/>
        </w:rPr>
        <w:t xml:space="preserve"> Incentivisation requires subjective intent, yet Smolyansky </w:t>
      </w:r>
      <w:proofErr w:type="spellStart"/>
      <w:r w:rsidRPr="00A159D0">
        <w:rPr>
          <w:rFonts w:ascii="Times New Roman" w:hAnsi="Times New Roman"/>
          <w:lang w:val="en-HK"/>
        </w:rPr>
        <w:t>favors</w:t>
      </w:r>
      <w:proofErr w:type="spellEnd"/>
      <w:r w:rsidRPr="00A159D0">
        <w:rPr>
          <w:rFonts w:ascii="Times New Roman" w:hAnsi="Times New Roman"/>
          <w:lang w:val="en-HK"/>
        </w:rPr>
        <w:t xml:space="preserve"> a constructive trust, inconsistent with ex ante awareness (p. 802, citing J. </w:t>
      </w:r>
      <w:proofErr w:type="spellStart"/>
      <w:r w:rsidRPr="00A159D0">
        <w:rPr>
          <w:rFonts w:ascii="Times New Roman" w:hAnsi="Times New Roman"/>
          <w:lang w:val="en-HK"/>
        </w:rPr>
        <w:t>Litman</w:t>
      </w:r>
      <w:proofErr w:type="spellEnd"/>
      <w:r w:rsidRPr="00A159D0">
        <w:rPr>
          <w:rFonts w:ascii="Times New Roman" w:hAnsi="Times New Roman"/>
          <w:lang w:val="en-HK"/>
        </w:rPr>
        <w:t>, “Copyright as Myth” (1991) 53 University of Pittsburgh Law Review 235, 241: “those whom the law seeks to prod are aware of the goodies”).</w:t>
      </w:r>
    </w:p>
    <w:p w14:paraId="4ED5660C" w14:textId="7370608E" w:rsidR="00AB796A" w:rsidRPr="00A159D0" w:rsidRDefault="00AB796A" w:rsidP="00A159D0">
      <w:pPr>
        <w:spacing w:after="240" w:line="360" w:lineRule="auto"/>
        <w:rPr>
          <w:rFonts w:ascii="Times New Roman" w:hAnsi="Times New Roman"/>
          <w:lang w:val="en-HK"/>
        </w:rPr>
      </w:pPr>
      <w:r w:rsidRPr="00A159D0">
        <w:rPr>
          <w:rFonts w:ascii="Times New Roman" w:hAnsi="Times New Roman"/>
          <w:lang w:val="en-HK"/>
        </w:rPr>
        <w:t xml:space="preserve">4. </w:t>
      </w:r>
      <w:r w:rsidRPr="00A159D0">
        <w:rPr>
          <w:rFonts w:ascii="Times New Roman" w:hAnsi="Times New Roman"/>
          <w:b/>
          <w:bCs/>
          <w:lang w:val="en-HK"/>
        </w:rPr>
        <w:t>Fairness Overlap:</w:t>
      </w:r>
      <w:r w:rsidRPr="00A159D0">
        <w:rPr>
          <w:rFonts w:ascii="Times New Roman" w:hAnsi="Times New Roman"/>
          <w:lang w:val="en-HK"/>
        </w:rPr>
        <w:t xml:space="preserve"> Smolyansky shifts to fairness: “it would truly be unconscionable for the unsecured creditors … to claim … the unexpended loan money” (p. 803, quoting (2014) 20 T&amp;T 558, 567), diluting the incentive focus.</w:t>
      </w:r>
    </w:p>
    <w:p w14:paraId="222B178B" w14:textId="77777777" w:rsidR="00AB796A" w:rsidRPr="00A159D0" w:rsidRDefault="00AB796A" w:rsidP="00A159D0">
      <w:pPr>
        <w:spacing w:after="240" w:line="360" w:lineRule="auto"/>
        <w:rPr>
          <w:rFonts w:ascii="Times New Roman" w:hAnsi="Times New Roman"/>
          <w:lang w:val="en-HK"/>
        </w:rPr>
      </w:pPr>
      <w:r w:rsidRPr="00A159D0">
        <w:rPr>
          <w:rFonts w:ascii="Times New Roman" w:hAnsi="Times New Roman"/>
          <w:b/>
          <w:bCs/>
          <w:lang w:val="en-HK"/>
        </w:rPr>
        <w:lastRenderedPageBreak/>
        <w:t>Regulatory Implications:</w:t>
      </w:r>
      <w:r w:rsidRPr="00A159D0">
        <w:rPr>
          <w:rFonts w:ascii="Times New Roman" w:hAnsi="Times New Roman"/>
          <w:lang w:val="en-HK"/>
        </w:rPr>
        <w:t xml:space="preserve"> If intentional for incentivisation, PPSA s 12(1) registration aligns with transparency (p. 808), but s 8(1)(h) exclusion contradicts this, </w:t>
      </w:r>
      <w:proofErr w:type="spellStart"/>
      <w:r w:rsidRPr="00A159D0">
        <w:rPr>
          <w:rFonts w:ascii="Times New Roman" w:hAnsi="Times New Roman"/>
          <w:lang w:val="en-HK"/>
        </w:rPr>
        <w:t>favoring</w:t>
      </w:r>
      <w:proofErr w:type="spellEnd"/>
      <w:r w:rsidRPr="00A159D0">
        <w:rPr>
          <w:rFonts w:ascii="Times New Roman" w:hAnsi="Times New Roman"/>
          <w:lang w:val="en-HK"/>
        </w:rPr>
        <w:t xml:space="preserve"> an imposed trust view (p. 809).</w:t>
      </w:r>
    </w:p>
    <w:p w14:paraId="1856D972" w14:textId="00B89B0C" w:rsidR="004070B4" w:rsidRPr="00A159D0" w:rsidRDefault="00863B4F" w:rsidP="00A159D0">
      <w:pPr>
        <w:spacing w:after="240" w:line="360" w:lineRule="auto"/>
        <w:rPr>
          <w:rFonts w:ascii="Times New Roman" w:hAnsi="Times New Roman"/>
          <w:lang w:val="en-HK"/>
        </w:rPr>
      </w:pPr>
      <w:r w:rsidRPr="00863B4F">
        <w:rPr>
          <w:rFonts w:ascii="Times New Roman" w:hAnsi="Times New Roman"/>
          <w:noProof/>
          <w:lang w:val="en-HK"/>
          <w14:ligatures w14:val="standardContextual"/>
        </w:rPr>
        <w:pict w14:anchorId="4520DC2C">
          <v:rect id="_x0000_i1025" alt="" style="width:451.3pt;height:.05pt;mso-width-percent:0;mso-height-percent:0;mso-width-percent:0;mso-height-percent:0" o:hralign="center" o:hrstd="t" o:hr="t" fillcolor="#a0a0a0" stroked="f"/>
        </w:pict>
      </w:r>
    </w:p>
    <w:p w14:paraId="2CE22EDE" w14:textId="16DFC099" w:rsidR="00AA70F3" w:rsidRPr="00A159D0" w:rsidRDefault="00AA70F3" w:rsidP="00A159D0">
      <w:pPr>
        <w:autoSpaceDE w:val="0"/>
        <w:autoSpaceDN w:val="0"/>
        <w:adjustRightInd w:val="0"/>
        <w:spacing w:after="240" w:line="360" w:lineRule="auto"/>
        <w:rPr>
          <w:rFonts w:ascii="Times-Bold" w:eastAsiaTheme="minorEastAsia" w:hAnsi="Times-Bold" w:cs="Times-Bold"/>
          <w:b/>
          <w:bCs/>
          <w14:ligatures w14:val="standardContextual"/>
        </w:rPr>
      </w:pPr>
      <w:r w:rsidRPr="00A159D0">
        <w:rPr>
          <w:rFonts w:ascii="Times-Bold" w:eastAsiaTheme="minorEastAsia" w:hAnsi="Times-Bold" w:cs="Times-Bold"/>
          <w:b/>
          <w:bCs/>
          <w14:ligatures w14:val="standardContextual"/>
        </w:rPr>
        <w:t xml:space="preserve">Practical Ramifications of </w:t>
      </w:r>
      <w:proofErr w:type="spellStart"/>
      <w:r w:rsidRPr="00A159D0">
        <w:rPr>
          <w:rFonts w:ascii="Times-Bold" w:eastAsiaTheme="minorEastAsia" w:hAnsi="Times-Bold" w:cs="Times-Bold"/>
          <w:b/>
          <w:bCs/>
          <w14:ligatures w14:val="standardContextual"/>
        </w:rPr>
        <w:t>Quistclose</w:t>
      </w:r>
      <w:proofErr w:type="spellEnd"/>
      <w:r w:rsidRPr="00A159D0">
        <w:rPr>
          <w:rFonts w:ascii="Times-Bold" w:eastAsiaTheme="minorEastAsia" w:hAnsi="Times-Bold" w:cs="Times-Bold"/>
          <w:b/>
          <w:bCs/>
          <w14:ligatures w14:val="standardContextual"/>
        </w:rPr>
        <w:t xml:space="preserve"> Trusts</w:t>
      </w:r>
    </w:p>
    <w:p w14:paraId="7C2CBDA2" w14:textId="77777777"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Overview:</w:t>
      </w:r>
      <w:r w:rsidRPr="00A159D0">
        <w:rPr>
          <w:rFonts w:ascii="Times-Roman" w:eastAsiaTheme="minorEastAsia" w:hAnsi="Times-Roman" w:cs="Times-Roman"/>
          <w14:ligatures w14:val="standardContextual"/>
        </w:rPr>
        <w:t xml:space="preserve"> The "Practical Ramifications" section synthesizes normative and doctrinal analyses of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exploring their real-world implications, particularly in insolvency contexts. It examines how their characterization—express, resulting, or constructive—affects regulation and highlights drawbacks, notably for unsecured creditors like suppliers. Hudson argues that the lack of a “clear, consistent and principled approach” (p. 777) leads to regulatory mismatches and adverse effects, which this summary elaborates.</w:t>
      </w:r>
    </w:p>
    <w:p w14:paraId="2790AB68" w14:textId="77777777" w:rsidR="00A159D0" w:rsidRPr="00A159D0" w:rsidRDefault="00A159D0" w:rsidP="00A159D0">
      <w:pPr>
        <w:autoSpaceDE w:val="0"/>
        <w:autoSpaceDN w:val="0"/>
        <w:adjustRightInd w:val="0"/>
        <w:spacing w:after="240" w:line="360" w:lineRule="auto"/>
        <w:rPr>
          <w:rFonts w:ascii="Times-Bold" w:eastAsiaTheme="minorEastAsia" w:hAnsi="Times-Bold" w:cs="Times-Bold"/>
          <w:b/>
          <w:bCs/>
          <w14:ligatures w14:val="standardContextual"/>
        </w:rPr>
      </w:pPr>
    </w:p>
    <w:p w14:paraId="5A2D5C11" w14:textId="20EC62A2" w:rsidR="00AA70F3" w:rsidRPr="00A159D0" w:rsidRDefault="00AA70F3" w:rsidP="00A159D0">
      <w:pPr>
        <w:autoSpaceDE w:val="0"/>
        <w:autoSpaceDN w:val="0"/>
        <w:adjustRightInd w:val="0"/>
        <w:spacing w:after="240" w:line="360" w:lineRule="auto"/>
        <w:rPr>
          <w:rFonts w:ascii="Times-Bold" w:eastAsiaTheme="minorEastAsia" w:hAnsi="Times-Bold" w:cs="Times-Bold"/>
          <w:b/>
          <w:bCs/>
          <w14:ligatures w14:val="standardContextual"/>
        </w:rPr>
      </w:pPr>
      <w:r w:rsidRPr="00A159D0">
        <w:rPr>
          <w:rFonts w:ascii="Times-Bold" w:eastAsiaTheme="minorEastAsia" w:hAnsi="Times-Bold" w:cs="Times-Bold"/>
          <w:b/>
          <w:bCs/>
          <w14:ligatures w14:val="standardContextual"/>
        </w:rPr>
        <w:t>Synthesis of Analysis</w:t>
      </w:r>
    </w:p>
    <w:p w14:paraId="2A551278" w14:textId="73F5C43F"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Core Issues Identified:</w:t>
      </w:r>
      <w:r w:rsidRPr="00A159D0">
        <w:rPr>
          <w:rFonts w:ascii="Times-Roman" w:eastAsiaTheme="minorEastAsia" w:hAnsi="Times-Roman" w:cs="Times-Roman"/>
          <w14:ligatures w14:val="standardContextual"/>
        </w:rPr>
        <w:t xml:space="preserve"> Hudson pinpoint two primary concerns: the ambiguous basis for recognizing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and the lack of a compelling normative justification (p. 803). In England, courts adopt an “unsatisfactory halfway house” between express and constructive trusts, emphasizing intention but often finding it with weak evidence and invoking unconscionability or fairness (p. 803). She </w:t>
      </w:r>
      <w:proofErr w:type="spellStart"/>
      <w:r w:rsidRPr="00A159D0">
        <w:rPr>
          <w:rFonts w:ascii="Times-Roman" w:eastAsiaTheme="minorEastAsia" w:hAnsi="Times-Roman" w:cs="Times-Roman"/>
          <w14:ligatures w14:val="standardContextual"/>
        </w:rPr>
        <w:t>favors</w:t>
      </w:r>
      <w:proofErr w:type="spellEnd"/>
      <w:r w:rsidRPr="00A159D0">
        <w:rPr>
          <w:rFonts w:ascii="Times-Roman" w:eastAsiaTheme="minorEastAsia" w:hAnsi="Times-Roman" w:cs="Times-Roman"/>
          <w14:ligatures w14:val="standardContextual"/>
        </w:rPr>
        <w:t xml:space="preserve"> an intention-based express trust model but notes it has not been logically pursued to its conclusion (p. 804).</w:t>
      </w:r>
    </w:p>
    <w:p w14:paraId="1F1A5342" w14:textId="3676ABFC" w:rsidR="00A159D0"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Characterization Models:</w:t>
      </w:r>
      <w:r w:rsidRPr="00A159D0">
        <w:rPr>
          <w:rFonts w:ascii="Times-Roman" w:eastAsiaTheme="minorEastAsia" w:hAnsi="Times-Roman" w:cs="Times-Roman"/>
          <w14:ligatures w14:val="standardContextual"/>
        </w:rPr>
        <w:t xml:space="preserve"> </w:t>
      </w:r>
      <w:r w:rsidRPr="00A159D0">
        <w:rPr>
          <w:rFonts w:ascii="Times-Italic" w:eastAsiaTheme="minorEastAsia" w:hAnsi="Times-Italic" w:cs="Times-Italic"/>
          <w:i/>
          <w:iCs/>
          <w14:ligatures w14:val="standardContextual"/>
        </w:rPr>
        <w:t>Express Trusts:</w:t>
      </w:r>
      <w:r w:rsidRPr="00A159D0">
        <w:rPr>
          <w:rFonts w:ascii="Times-Roman" w:eastAsiaTheme="minorEastAsia" w:hAnsi="Times-Roman" w:cs="Times-Roman"/>
          <w14:ligatures w14:val="standardContextual"/>
        </w:rPr>
        <w:t xml:space="preserve"> Predominant in Australia, requiring clear intention (p. 780, citing </w:t>
      </w:r>
      <w:r w:rsidRPr="00A159D0">
        <w:rPr>
          <w:rFonts w:ascii="Times-Italic" w:eastAsiaTheme="minorEastAsia" w:hAnsi="Times-Italic" w:cs="Times-Italic"/>
          <w:i/>
          <w:iCs/>
          <w14:ligatures w14:val="standardContextual"/>
        </w:rPr>
        <w:t>Re Australian Elizabethan Theatre Trust</w:t>
      </w:r>
      <w:r w:rsidRPr="00A159D0">
        <w:rPr>
          <w:rFonts w:ascii="Times-Roman" w:eastAsiaTheme="minorEastAsia" w:hAnsi="Times-Roman" w:cs="Times-Roman"/>
          <w14:ligatures w14:val="standardContextual"/>
        </w:rPr>
        <w:t xml:space="preserve"> (1991) 102 ALR 681, 693). </w:t>
      </w:r>
      <w:r w:rsidRPr="00A159D0">
        <w:rPr>
          <w:rFonts w:ascii="Times-Italic" w:eastAsiaTheme="minorEastAsia" w:hAnsi="Times-Italic" w:cs="Times-Italic"/>
          <w:i/>
          <w:iCs/>
          <w14:ligatures w14:val="standardContextual"/>
        </w:rPr>
        <w:t>Resulting Trusts:</w:t>
      </w:r>
      <w:r w:rsidRPr="00A159D0">
        <w:rPr>
          <w:rFonts w:ascii="Times-Roman" w:eastAsiaTheme="minorEastAsia" w:hAnsi="Times-Roman" w:cs="Times-Roman"/>
          <w14:ligatures w14:val="standardContextual"/>
        </w:rPr>
        <w:t xml:space="preserve"> </w:t>
      </w:r>
      <w:proofErr w:type="spellStart"/>
      <w:r w:rsidRPr="00A159D0">
        <w:rPr>
          <w:rFonts w:ascii="Times-Roman" w:eastAsiaTheme="minorEastAsia" w:hAnsi="Times-Roman" w:cs="Times-Roman"/>
          <w14:ligatures w14:val="standardContextual"/>
        </w:rPr>
        <w:t>Favored</w:t>
      </w:r>
      <w:proofErr w:type="spellEnd"/>
      <w:r w:rsidRPr="00A159D0">
        <w:rPr>
          <w:rFonts w:ascii="Times-Roman" w:eastAsiaTheme="minorEastAsia" w:hAnsi="Times-Roman" w:cs="Times-Roman"/>
          <w14:ligatures w14:val="standardContextual"/>
        </w:rPr>
        <w:t xml:space="preserve"> in England post-</w:t>
      </w:r>
      <w:proofErr w:type="spellStart"/>
      <w:r w:rsidRPr="00A159D0">
        <w:rPr>
          <w:rFonts w:ascii="Times-Italic" w:eastAsiaTheme="minorEastAsia" w:hAnsi="Times-Italic" w:cs="Times-Italic"/>
          <w:i/>
          <w:iCs/>
          <w14:ligatures w14:val="standardContextual"/>
        </w:rPr>
        <w:t>Twinsectra</w:t>
      </w:r>
      <w:proofErr w:type="spellEnd"/>
      <w:r w:rsidRPr="00A159D0">
        <w:rPr>
          <w:rFonts w:ascii="Times-Italic" w:eastAsiaTheme="minorEastAsia" w:hAnsi="Times-Italic" w:cs="Times-Italic"/>
          <w:i/>
          <w:iCs/>
          <w14:ligatures w14:val="standardContextual"/>
        </w:rPr>
        <w:t xml:space="preserve"> Ltd v Yardley</w:t>
      </w:r>
      <w:r w:rsidRPr="00A159D0">
        <w:rPr>
          <w:rFonts w:ascii="Times-Roman" w:eastAsiaTheme="minorEastAsia" w:hAnsi="Times-Roman" w:cs="Times-Roman"/>
          <w14:ligatures w14:val="standardContextual"/>
        </w:rPr>
        <w:t xml:space="preserve"> [2002] 2 AC 164], where Lord Millett argued the beneficial interest remains with the lender (p. 781). </w:t>
      </w:r>
      <w:r w:rsidRPr="00A159D0">
        <w:rPr>
          <w:rFonts w:ascii="Times-Italic" w:eastAsiaTheme="minorEastAsia" w:hAnsi="Times-Italic" w:cs="Times-Italic"/>
          <w:i/>
          <w:iCs/>
          <w14:ligatures w14:val="standardContextual"/>
        </w:rPr>
        <w:t>Constructive Trusts:</w:t>
      </w:r>
      <w:r w:rsidRPr="00A159D0">
        <w:rPr>
          <w:rFonts w:ascii="Times-Roman" w:eastAsiaTheme="minorEastAsia" w:hAnsi="Times-Roman" w:cs="Times-Roman"/>
          <w14:ligatures w14:val="standardContextual"/>
        </w:rPr>
        <w:t xml:space="preserve"> Suggested as a response to unconscionability or fairness, though not judicially dominant (p. 803).</w:t>
      </w:r>
    </w:p>
    <w:p w14:paraId="5061D6DB" w14:textId="58ADD03B"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Regulatory Relevance:</w:t>
      </w:r>
      <w:r w:rsidRPr="00A159D0">
        <w:rPr>
          <w:rFonts w:ascii="Times-Roman" w:eastAsiaTheme="minorEastAsia" w:hAnsi="Times-Roman" w:cs="Times-Roman"/>
          <w14:ligatures w14:val="standardContextual"/>
        </w:rPr>
        <w:t xml:space="preserve"> Hudson stresses that “express, resulting and constructive trusts arise and are regulated differently” (p. 804). For example, the </w:t>
      </w:r>
      <w:r w:rsidRPr="00A159D0">
        <w:rPr>
          <w:rFonts w:ascii="Times-Italic" w:eastAsiaTheme="minorEastAsia" w:hAnsi="Times-Italic" w:cs="Times-Italic"/>
          <w:i/>
          <w:iCs/>
          <w14:ligatures w14:val="standardContextual"/>
        </w:rPr>
        <w:t>Law of Property Act 1925</w:t>
      </w:r>
      <w:r w:rsidRPr="00A159D0">
        <w:rPr>
          <w:rFonts w:ascii="Times-Roman" w:eastAsiaTheme="minorEastAsia" w:hAnsi="Times-Roman" w:cs="Times-Roman"/>
          <w14:ligatures w14:val="standardContextual"/>
        </w:rPr>
        <w:t xml:space="preserve"> s 53 mandates signed writing for express trusts but exempts resulting and constructive trusts (p. </w:t>
      </w:r>
      <w:r w:rsidRPr="00A159D0">
        <w:rPr>
          <w:rFonts w:ascii="Times-Roman" w:eastAsiaTheme="minorEastAsia" w:hAnsi="Times-Roman" w:cs="Times-Roman"/>
          <w14:ligatures w14:val="standardContextual"/>
        </w:rPr>
        <w:lastRenderedPageBreak/>
        <w:t>804, n. 153), impacting their treatment in insolvency and personal property securities regimes.</w:t>
      </w:r>
    </w:p>
    <w:p w14:paraId="1F3E6D27" w14:textId="77777777" w:rsidR="00A159D0" w:rsidRPr="00A159D0" w:rsidRDefault="00A159D0" w:rsidP="00A159D0">
      <w:pPr>
        <w:autoSpaceDE w:val="0"/>
        <w:autoSpaceDN w:val="0"/>
        <w:adjustRightInd w:val="0"/>
        <w:spacing w:after="240" w:line="360" w:lineRule="auto"/>
        <w:rPr>
          <w:rFonts w:ascii="Times-Bold" w:eastAsiaTheme="minorEastAsia" w:hAnsi="Times-Bold" w:cs="Times-Bold"/>
          <w:b/>
          <w:bCs/>
          <w14:ligatures w14:val="standardContextual"/>
        </w:rPr>
      </w:pPr>
    </w:p>
    <w:p w14:paraId="73851503" w14:textId="740C845A" w:rsidR="00AA70F3" w:rsidRPr="00A159D0" w:rsidRDefault="00AA70F3" w:rsidP="00A159D0">
      <w:pPr>
        <w:autoSpaceDE w:val="0"/>
        <w:autoSpaceDN w:val="0"/>
        <w:adjustRightInd w:val="0"/>
        <w:spacing w:after="240" w:line="360" w:lineRule="auto"/>
        <w:rPr>
          <w:rFonts w:ascii="Times-Bold" w:eastAsiaTheme="minorEastAsia" w:hAnsi="Times-Bold" w:cs="Times-Bold"/>
          <w:b/>
          <w:bCs/>
          <w14:ligatures w14:val="standardContextual"/>
        </w:rPr>
      </w:pPr>
      <w:r w:rsidRPr="00A159D0">
        <w:rPr>
          <w:rFonts w:ascii="Times-Bold" w:eastAsiaTheme="minorEastAsia" w:hAnsi="Times-Bold" w:cs="Times-Bold"/>
          <w:b/>
          <w:bCs/>
          <w14:ligatures w14:val="standardContextual"/>
        </w:rPr>
        <w:t xml:space="preserve">Regulation of </w:t>
      </w:r>
      <w:proofErr w:type="spellStart"/>
      <w:r w:rsidRPr="00A159D0">
        <w:rPr>
          <w:rFonts w:ascii="Times-Bold" w:eastAsiaTheme="minorEastAsia" w:hAnsi="Times-Bold" w:cs="Times-Bold"/>
          <w:b/>
          <w:bCs/>
          <w14:ligatures w14:val="standardContextual"/>
        </w:rPr>
        <w:t>Quistclose</w:t>
      </w:r>
      <w:proofErr w:type="spellEnd"/>
      <w:r w:rsidRPr="00A159D0">
        <w:rPr>
          <w:rFonts w:ascii="Times-Bold" w:eastAsiaTheme="minorEastAsia" w:hAnsi="Times-Bold" w:cs="Times-Bold"/>
          <w:b/>
          <w:bCs/>
          <w14:ligatures w14:val="standardContextual"/>
        </w:rPr>
        <w:t xml:space="preserve"> Trusts: Unlawful Preference</w:t>
      </w:r>
    </w:p>
    <w:p w14:paraId="0E0B2769" w14:textId="567C271F"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Statutory Framework:</w:t>
      </w:r>
      <w:r w:rsidRPr="00A159D0">
        <w:rPr>
          <w:rFonts w:ascii="Times-Roman" w:eastAsiaTheme="minorEastAsia" w:hAnsi="Times-Roman" w:cs="Times-Roman"/>
          <w14:ligatures w14:val="standardContextual"/>
        </w:rPr>
        <w:t xml:space="preserve"> Under the </w:t>
      </w:r>
      <w:r w:rsidRPr="00A159D0">
        <w:rPr>
          <w:rFonts w:ascii="Times-Italic" w:eastAsiaTheme="minorEastAsia" w:hAnsi="Times-Italic" w:cs="Times-Italic"/>
          <w:i/>
          <w:iCs/>
          <w14:ligatures w14:val="standardContextual"/>
        </w:rPr>
        <w:t>Insolvency Act 1986</w:t>
      </w:r>
      <w:r w:rsidRPr="00A159D0">
        <w:rPr>
          <w:rFonts w:ascii="Times-Roman" w:eastAsiaTheme="minorEastAsia" w:hAnsi="Times-Roman" w:cs="Times-Roman"/>
          <w14:ligatures w14:val="standardContextual"/>
        </w:rPr>
        <w:t xml:space="preserve"> s 239, a preference occurs when a company, at the “relevant time,” acts “influenced … by a desire” to improve a creditor’s position in insolvency (p. 804).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are scrutinized here as they prioritize the lender over other creditors.</w:t>
      </w:r>
    </w:p>
    <w:p w14:paraId="5CF3AB07" w14:textId="77777777"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Judicial Approach:</w:t>
      </w:r>
      <w:r w:rsidRPr="00A159D0">
        <w:rPr>
          <w:rFonts w:ascii="Times-Roman" w:eastAsiaTheme="minorEastAsia" w:hAnsi="Times-Roman" w:cs="Times-Roman"/>
          <w14:ligatures w14:val="standardContextual"/>
        </w:rPr>
        <w:t xml:space="preserve"> </w:t>
      </w:r>
      <w:r w:rsidRPr="00A159D0">
        <w:rPr>
          <w:rFonts w:ascii="Times-Italic" w:eastAsiaTheme="minorEastAsia" w:hAnsi="Times-Italic" w:cs="Times-Italic"/>
          <w:i/>
          <w:iCs/>
          <w14:ligatures w14:val="standardContextual"/>
        </w:rPr>
        <w:t xml:space="preserve">In re </w:t>
      </w:r>
      <w:proofErr w:type="spellStart"/>
      <w:r w:rsidRPr="00A159D0">
        <w:rPr>
          <w:rFonts w:ascii="Times-Italic" w:eastAsiaTheme="minorEastAsia" w:hAnsi="Times-Italic" w:cs="Times-Italic"/>
          <w:i/>
          <w:iCs/>
          <w14:ligatures w14:val="standardContextual"/>
        </w:rPr>
        <w:t>Kayford</w:t>
      </w:r>
      <w:proofErr w:type="spellEnd"/>
      <w:r w:rsidRPr="00A159D0">
        <w:rPr>
          <w:rFonts w:ascii="Times-Italic" w:eastAsiaTheme="minorEastAsia" w:hAnsi="Times-Italic" w:cs="Times-Italic"/>
          <w:i/>
          <w:iCs/>
          <w14:ligatures w14:val="standardContextual"/>
        </w:rPr>
        <w:t xml:space="preserve"> [1975] 1 WLR 279]:</w:t>
      </w:r>
      <w:r w:rsidRPr="00A159D0">
        <w:rPr>
          <w:rFonts w:ascii="Times-Roman" w:eastAsiaTheme="minorEastAsia" w:hAnsi="Times-Roman" w:cs="Times-Roman"/>
          <w14:ligatures w14:val="standardContextual"/>
        </w:rPr>
        <w:t xml:space="preserve"> A mail-order company segregated customer prepayments into a trust account amid supplier issues. Upon liquidation, </w:t>
      </w:r>
      <w:proofErr w:type="spellStart"/>
      <w:r w:rsidRPr="00A159D0">
        <w:rPr>
          <w:rFonts w:ascii="Times-Roman" w:eastAsiaTheme="minorEastAsia" w:hAnsi="Times-Roman" w:cs="Times-Roman"/>
          <w14:ligatures w14:val="standardContextual"/>
        </w:rPr>
        <w:t>Megarry</w:t>
      </w:r>
      <w:proofErr w:type="spellEnd"/>
      <w:r w:rsidRPr="00A159D0">
        <w:rPr>
          <w:rFonts w:ascii="Times-Roman" w:eastAsiaTheme="minorEastAsia" w:hAnsi="Times-Roman" w:cs="Times-Roman"/>
          <w14:ligatures w14:val="standardContextual"/>
        </w:rPr>
        <w:t xml:space="preserve"> J held a trust arose, rejecting preference claims: “this case is not … preferring creditors but preventing those who pay money from becoming creditors, by making them beneficiaries under a trust” (p. 805, quoting [1975] 1 WLR 279, 281). He emphasized fairness: “where money in advance is being paid … it is an entirely proper … thing … to start to pay the money into a trust account” (p. 805, quoting [1975] 1 WLR 279, 282). </w:t>
      </w:r>
      <w:r w:rsidRPr="00A159D0">
        <w:rPr>
          <w:rFonts w:ascii="Times-Italic" w:eastAsiaTheme="minorEastAsia" w:hAnsi="Times-Italic" w:cs="Times-Italic"/>
          <w:i/>
          <w:iCs/>
          <w14:ligatures w14:val="standardContextual"/>
        </w:rPr>
        <w:t>Carreras Rothmans v Freeman Matthews Treasure [1985] Ch 207]:</w:t>
      </w:r>
      <w:r w:rsidRPr="00A159D0">
        <w:rPr>
          <w:rFonts w:ascii="Times-Roman" w:eastAsiaTheme="minorEastAsia" w:hAnsi="Times-Roman" w:cs="Times-Roman"/>
          <w14:ligatures w14:val="standardContextual"/>
        </w:rPr>
        <w:t xml:space="preserve"> Funds paid into a separate account for advertising fees were held on trust, prioritizing the plaintiff. Stevens argues this preferred one creditor class, fitting s 239 (p. 806, citing R. Stevens, “Rolls Razor Ltd” in </w:t>
      </w:r>
      <w:proofErr w:type="spellStart"/>
      <w:r w:rsidRPr="00A159D0">
        <w:rPr>
          <w:rFonts w:ascii="Times-Roman" w:eastAsiaTheme="minorEastAsia" w:hAnsi="Times-Roman" w:cs="Times-Roman"/>
          <w14:ligatures w14:val="standardContextual"/>
        </w:rPr>
        <w:t>Swadling</w:t>
      </w:r>
      <w:proofErr w:type="spellEnd"/>
      <w:r w:rsidRPr="00A159D0">
        <w:rPr>
          <w:rFonts w:ascii="Times-Roman" w:eastAsiaTheme="minorEastAsia" w:hAnsi="Times-Roman" w:cs="Times-Roman"/>
          <w14:ligatures w14:val="standardContextual"/>
        </w:rPr>
        <w:t xml:space="preserve"> (ed), 163).</w:t>
      </w:r>
    </w:p>
    <w:p w14:paraId="0AF51B1D" w14:textId="77777777"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p>
    <w:p w14:paraId="781DECC4" w14:textId="77777777"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Drawbacks for Unsecured Creditors (Suppliers) from Unlawful Preferences:</w:t>
      </w:r>
    </w:p>
    <w:p w14:paraId="3D63C164" w14:textId="01B0A935" w:rsidR="00AA70F3" w:rsidRPr="00A159D0"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 xml:space="preserve">1. </w:t>
      </w:r>
      <w:r w:rsidR="00AA70F3" w:rsidRPr="00A159D0">
        <w:rPr>
          <w:rFonts w:ascii="Times-Italic" w:eastAsiaTheme="minorEastAsia" w:hAnsi="Times-Italic" w:cs="Times-Italic"/>
          <w:i/>
          <w:iCs/>
          <w14:ligatures w14:val="standardContextual"/>
        </w:rPr>
        <w:t>Asset Reduction:</w:t>
      </w:r>
      <w:r w:rsidR="00AA70F3" w:rsidRPr="00A159D0">
        <w:rPr>
          <w:rFonts w:ascii="Times-Roman" w:eastAsiaTheme="minorEastAsia" w:hAnsi="Times-Roman" w:cs="Times-Roman"/>
          <w14:ligatures w14:val="standardContextual"/>
        </w:rPr>
        <w:t xml:space="preserve"> When </w:t>
      </w:r>
      <w:proofErr w:type="spellStart"/>
      <w:r w:rsidR="00AA70F3" w:rsidRPr="00A159D0">
        <w:rPr>
          <w:rFonts w:ascii="Times-Roman" w:eastAsiaTheme="minorEastAsia" w:hAnsi="Times-Roman" w:cs="Times-Roman"/>
          <w14:ligatures w14:val="standardContextual"/>
        </w:rPr>
        <w:t>Quistclose</w:t>
      </w:r>
      <w:proofErr w:type="spellEnd"/>
      <w:r w:rsidR="00AA70F3" w:rsidRPr="00A159D0">
        <w:rPr>
          <w:rFonts w:ascii="Times-Roman" w:eastAsiaTheme="minorEastAsia" w:hAnsi="Times-Roman" w:cs="Times-Roman"/>
          <w14:ligatures w14:val="standardContextual"/>
        </w:rPr>
        <w:t xml:space="preserve"> trusts exclude funds from the borrower’s estate, unsecured creditors lose access to those assets. In </w:t>
      </w:r>
      <w:proofErr w:type="spellStart"/>
      <w:r w:rsidR="00AA70F3" w:rsidRPr="00A159D0">
        <w:rPr>
          <w:rFonts w:ascii="Times-Italic" w:eastAsiaTheme="minorEastAsia" w:hAnsi="Times-Italic" w:cs="Times-Italic"/>
          <w:i/>
          <w:iCs/>
          <w14:ligatures w14:val="standardContextual"/>
        </w:rPr>
        <w:t>Kayford</w:t>
      </w:r>
      <w:proofErr w:type="spellEnd"/>
      <w:r w:rsidR="00AA70F3" w:rsidRPr="00A159D0">
        <w:rPr>
          <w:rFonts w:ascii="Times-Roman" w:eastAsiaTheme="minorEastAsia" w:hAnsi="Times-Roman" w:cs="Times-Roman"/>
          <w14:ligatures w14:val="standardContextual"/>
        </w:rPr>
        <w:t xml:space="preserve">, suppliers awaiting payment were disadvantaged as customer funds were ring-fenced (p. 805). Hudson notes statutory insolvency schemes aim for equitable distribution, but </w:t>
      </w:r>
      <w:proofErr w:type="spellStart"/>
      <w:r w:rsidR="00AA70F3" w:rsidRPr="00A159D0">
        <w:rPr>
          <w:rFonts w:ascii="Times-Roman" w:eastAsiaTheme="minorEastAsia" w:hAnsi="Times-Roman" w:cs="Times-Roman"/>
          <w14:ligatures w14:val="standardContextual"/>
        </w:rPr>
        <w:t>Quistclose</w:t>
      </w:r>
      <w:proofErr w:type="spellEnd"/>
      <w:r w:rsidR="00AA70F3" w:rsidRPr="00A159D0">
        <w:rPr>
          <w:rFonts w:ascii="Times-Roman" w:eastAsiaTheme="minorEastAsia" w:hAnsi="Times-Roman" w:cs="Times-Roman"/>
          <w14:ligatures w14:val="standardContextual"/>
        </w:rPr>
        <w:t xml:space="preserve"> trusts disrupt this (p. 805).</w:t>
      </w:r>
    </w:p>
    <w:p w14:paraId="6EE01D7D" w14:textId="715814BE" w:rsidR="00AA70F3" w:rsidRPr="00A159D0"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 xml:space="preserve">2. </w:t>
      </w:r>
      <w:r w:rsidR="00AA70F3" w:rsidRPr="00A159D0">
        <w:rPr>
          <w:rFonts w:ascii="Times-Italic" w:eastAsiaTheme="minorEastAsia" w:hAnsi="Times-Italic" w:cs="Times-Italic"/>
          <w:i/>
          <w:iCs/>
          <w14:ligatures w14:val="standardContextual"/>
        </w:rPr>
        <w:t>Prejudice to Suppliers:</w:t>
      </w:r>
      <w:r w:rsidR="00AA70F3" w:rsidRPr="00A159D0">
        <w:rPr>
          <w:rFonts w:ascii="Times-Roman" w:eastAsiaTheme="minorEastAsia" w:hAnsi="Times-Roman" w:cs="Times-Roman"/>
          <w14:ligatures w14:val="standardContextual"/>
        </w:rPr>
        <w:t xml:space="preserve"> Pincus J in </w:t>
      </w:r>
      <w:r w:rsidR="00AA70F3" w:rsidRPr="00A159D0">
        <w:rPr>
          <w:rFonts w:ascii="Times-Italic" w:eastAsiaTheme="minorEastAsia" w:hAnsi="Times-Italic" w:cs="Times-Italic"/>
          <w:i/>
          <w:iCs/>
          <w14:ligatures w14:val="standardContextual"/>
        </w:rPr>
        <w:t>Re Miles</w:t>
      </w:r>
      <w:r w:rsidR="00AA70F3" w:rsidRPr="00A159D0">
        <w:rPr>
          <w:rFonts w:ascii="Times-Roman" w:eastAsiaTheme="minorEastAsia" w:hAnsi="Times-Roman" w:cs="Times-Roman"/>
          <w14:ligatures w14:val="standardContextual"/>
        </w:rPr>
        <w:t xml:space="preserve"> (1988) 85 ALR 216 illustrates this: “If goods are delivered … and bankruptcy supervenes just before … payment … the vendor cannot get them back. He must submit to their being sold to satisfy the general body of creditors” (p. </w:t>
      </w:r>
      <w:r w:rsidR="00AA70F3" w:rsidRPr="00A159D0">
        <w:rPr>
          <w:rFonts w:ascii="Times-Roman" w:eastAsiaTheme="minorEastAsia" w:hAnsi="Times-Roman" w:cs="Times-Roman"/>
          <w14:ligatures w14:val="standardContextual"/>
        </w:rPr>
        <w:lastRenderedPageBreak/>
        <w:t xml:space="preserve">805, quoting (1988) 85 ALR 216, 221). A </w:t>
      </w:r>
      <w:proofErr w:type="spellStart"/>
      <w:r w:rsidR="00AA70F3" w:rsidRPr="00A159D0">
        <w:rPr>
          <w:rFonts w:ascii="Times-Roman" w:eastAsiaTheme="minorEastAsia" w:hAnsi="Times-Roman" w:cs="Times-Roman"/>
          <w14:ligatures w14:val="standardContextual"/>
        </w:rPr>
        <w:t>Quistclose</w:t>
      </w:r>
      <w:proofErr w:type="spellEnd"/>
      <w:r w:rsidR="00AA70F3" w:rsidRPr="00A159D0">
        <w:rPr>
          <w:rFonts w:ascii="Times-Roman" w:eastAsiaTheme="minorEastAsia" w:hAnsi="Times-Roman" w:cs="Times-Roman"/>
          <w14:ligatures w14:val="standardContextual"/>
        </w:rPr>
        <w:t xml:space="preserve"> trust exacerbates this by prioritizing the lender, leaving suppliers with mere insolvency claims.</w:t>
      </w:r>
    </w:p>
    <w:p w14:paraId="4E159783" w14:textId="5B20A998" w:rsidR="00AA70F3" w:rsidRPr="00A159D0"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 xml:space="preserve">3. </w:t>
      </w:r>
      <w:r w:rsidR="00AA70F3" w:rsidRPr="00A159D0">
        <w:rPr>
          <w:rFonts w:ascii="Times-Italic" w:eastAsiaTheme="minorEastAsia" w:hAnsi="Times-Italic" w:cs="Times-Italic"/>
          <w:i/>
          <w:iCs/>
          <w14:ligatures w14:val="standardContextual"/>
        </w:rPr>
        <w:t>Policy Conflict:</w:t>
      </w:r>
      <w:r w:rsidR="00AA70F3" w:rsidRPr="00A159D0">
        <w:rPr>
          <w:rFonts w:ascii="Times-Roman" w:eastAsiaTheme="minorEastAsia" w:hAnsi="Times-Roman" w:cs="Times-Roman"/>
          <w14:ligatures w14:val="standardContextual"/>
        </w:rPr>
        <w:t xml:space="preserve"> Stevens critiques </w:t>
      </w:r>
      <w:r w:rsidR="00AA70F3" w:rsidRPr="00A159D0">
        <w:rPr>
          <w:rFonts w:ascii="Times-Italic" w:eastAsiaTheme="minorEastAsia" w:hAnsi="Times-Italic" w:cs="Times-Italic"/>
          <w:i/>
          <w:iCs/>
          <w14:ligatures w14:val="standardContextual"/>
        </w:rPr>
        <w:t>Carreras</w:t>
      </w:r>
      <w:r w:rsidR="00AA70F3" w:rsidRPr="00A159D0">
        <w:rPr>
          <w:rFonts w:ascii="Times-Roman" w:eastAsiaTheme="minorEastAsia" w:hAnsi="Times-Roman" w:cs="Times-Roman"/>
          <w14:ligatures w14:val="standardContextual"/>
        </w:rPr>
        <w:t xml:space="preserve"> as a “clear example” of preference, arguing unsecured creditors suffer an unfair loss (p. 806). Hudson suggests this undermines the </w:t>
      </w:r>
      <w:r w:rsidR="00AA70F3" w:rsidRPr="00A159D0">
        <w:rPr>
          <w:rFonts w:ascii="Times-Italic" w:eastAsiaTheme="minorEastAsia" w:hAnsi="Times-Italic" w:cs="Times-Italic"/>
          <w:i/>
          <w:iCs/>
          <w14:ligatures w14:val="standardContextual"/>
        </w:rPr>
        <w:t>Insolvency Act 1986</w:t>
      </w:r>
      <w:r w:rsidR="00AA70F3" w:rsidRPr="00A159D0">
        <w:rPr>
          <w:rFonts w:ascii="Times-Roman" w:eastAsiaTheme="minorEastAsia" w:hAnsi="Times-Roman" w:cs="Times-Roman"/>
          <w14:ligatures w14:val="standardContextual"/>
        </w:rPr>
        <w:t>’s goal of balancing creditor claims (p. 805, citing Freeman v Pope (1870) LR 5 Ch App 538, 540: “debts must be paid before gifts can be made”).</w:t>
      </w:r>
    </w:p>
    <w:p w14:paraId="62A906BC" w14:textId="0F1724A2" w:rsidR="00AA70F3"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 xml:space="preserve">4. </w:t>
      </w:r>
      <w:r w:rsidR="00AA70F3" w:rsidRPr="00A159D0">
        <w:rPr>
          <w:rFonts w:ascii="Times-Italic" w:eastAsiaTheme="minorEastAsia" w:hAnsi="Times-Italic" w:cs="Times-Italic"/>
          <w:i/>
          <w:iCs/>
          <w14:ligatures w14:val="standardContextual"/>
        </w:rPr>
        <w:t>Judicial Rationale:</w:t>
      </w:r>
      <w:r w:rsidR="00AA70F3" w:rsidRPr="00A159D0">
        <w:rPr>
          <w:rFonts w:ascii="Times-Roman" w:eastAsiaTheme="minorEastAsia" w:hAnsi="Times-Roman" w:cs="Times-Roman"/>
          <w14:ligatures w14:val="standardContextual"/>
        </w:rPr>
        <w:t xml:space="preserve"> Courts often deny preference status, asserting funds never became the borrower’s property (p. 806, citing Stevens, 163). Hudson and Stevens argue this technicality ignores the policy against </w:t>
      </w:r>
      <w:proofErr w:type="spellStart"/>
      <w:r w:rsidR="00AA70F3" w:rsidRPr="00A159D0">
        <w:rPr>
          <w:rFonts w:ascii="Times-Roman" w:eastAsiaTheme="minorEastAsia" w:hAnsi="Times-Roman" w:cs="Times-Roman"/>
          <w14:ligatures w14:val="standardContextual"/>
        </w:rPr>
        <w:t>favoring</w:t>
      </w:r>
      <w:proofErr w:type="spellEnd"/>
      <w:r w:rsidR="00AA70F3" w:rsidRPr="00A159D0">
        <w:rPr>
          <w:rFonts w:ascii="Times-Roman" w:eastAsiaTheme="minorEastAsia" w:hAnsi="Times-Roman" w:cs="Times-Roman"/>
          <w14:ligatures w14:val="standardContextual"/>
        </w:rPr>
        <w:t xml:space="preserve"> one creditor, disproportionately harming suppliers (pp. 805-806).</w:t>
      </w:r>
    </w:p>
    <w:p w14:paraId="3ECB250B" w14:textId="77777777" w:rsidR="00A159D0" w:rsidRPr="00A159D0"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p>
    <w:p w14:paraId="4C6DD874" w14:textId="35AC3ED3" w:rsidR="00AA70F3" w:rsidRPr="00A159D0" w:rsidRDefault="00AA70F3" w:rsidP="00A159D0">
      <w:pPr>
        <w:autoSpaceDE w:val="0"/>
        <w:autoSpaceDN w:val="0"/>
        <w:adjustRightInd w:val="0"/>
        <w:spacing w:after="240" w:line="360" w:lineRule="auto"/>
        <w:rPr>
          <w:rFonts w:ascii="Times-Bold" w:eastAsiaTheme="minorEastAsia" w:hAnsi="Times-Bold" w:cs="Times-Bold"/>
          <w:b/>
          <w:bCs/>
          <w14:ligatures w14:val="standardContextual"/>
        </w:rPr>
      </w:pPr>
      <w:r w:rsidRPr="00A159D0">
        <w:rPr>
          <w:rFonts w:ascii="Times-Bold" w:eastAsiaTheme="minorEastAsia" w:hAnsi="Times-Bold" w:cs="Times-Bold"/>
          <w:b/>
          <w:bCs/>
          <w14:ligatures w14:val="standardContextual"/>
        </w:rPr>
        <w:t xml:space="preserve">Regulation of </w:t>
      </w:r>
      <w:proofErr w:type="spellStart"/>
      <w:r w:rsidRPr="00A159D0">
        <w:rPr>
          <w:rFonts w:ascii="Times-Bold" w:eastAsiaTheme="minorEastAsia" w:hAnsi="Times-Bold" w:cs="Times-Bold"/>
          <w:b/>
          <w:bCs/>
          <w14:ligatures w14:val="standardContextual"/>
        </w:rPr>
        <w:t>Quistclose</w:t>
      </w:r>
      <w:proofErr w:type="spellEnd"/>
      <w:r w:rsidRPr="00A159D0">
        <w:rPr>
          <w:rFonts w:ascii="Times-Bold" w:eastAsiaTheme="minorEastAsia" w:hAnsi="Times-Bold" w:cs="Times-Bold"/>
          <w:b/>
          <w:bCs/>
          <w14:ligatures w14:val="standardContextual"/>
        </w:rPr>
        <w:t xml:space="preserve"> Trusts: Security Interest</w:t>
      </w:r>
    </w:p>
    <w:p w14:paraId="336A4415" w14:textId="1258E4A0"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Statutory Framework:</w:t>
      </w:r>
      <w:r w:rsidRPr="00A159D0">
        <w:rPr>
          <w:rFonts w:ascii="Times-Roman" w:eastAsiaTheme="minorEastAsia" w:hAnsi="Times-Roman" w:cs="Times-Roman"/>
          <w14:ligatures w14:val="standardContextual"/>
        </w:rPr>
        <w:t xml:space="preserve"> The </w:t>
      </w:r>
      <w:r w:rsidRPr="00A159D0">
        <w:rPr>
          <w:rFonts w:ascii="Times-Italic" w:eastAsiaTheme="minorEastAsia" w:hAnsi="Times-Italic" w:cs="Times-Italic"/>
          <w:i/>
          <w:iCs/>
          <w14:ligatures w14:val="standardContextual"/>
        </w:rPr>
        <w:t>Personal Property Securities Act 2009 (</w:t>
      </w:r>
      <w:proofErr w:type="spellStart"/>
      <w:r w:rsidRPr="00A159D0">
        <w:rPr>
          <w:rFonts w:ascii="Times-Italic" w:eastAsiaTheme="minorEastAsia" w:hAnsi="Times-Italic" w:cs="Times-Italic"/>
          <w:i/>
          <w:iCs/>
          <w14:ligatures w14:val="standardContextual"/>
        </w:rPr>
        <w:t>Cth</w:t>
      </w:r>
      <w:proofErr w:type="spellEnd"/>
      <w:r w:rsidRPr="00A159D0">
        <w:rPr>
          <w:rFonts w:ascii="Times-Italic" w:eastAsiaTheme="minorEastAsia" w:hAnsi="Times-Italic" w:cs="Times-Italic"/>
          <w:i/>
          <w:iCs/>
          <w14:ligatures w14:val="standardContextual"/>
        </w:rPr>
        <w:t>)</w:t>
      </w:r>
      <w:r w:rsidRPr="00A159D0">
        <w:rPr>
          <w:rFonts w:ascii="Times-Roman" w:eastAsiaTheme="minorEastAsia" w:hAnsi="Times-Roman" w:cs="Times-Roman"/>
          <w14:ligatures w14:val="standardContextual"/>
        </w:rPr>
        <w:t xml:space="preserve"> (PPSA) s 12(1) defines security interests functionally as transactions securing payment or performance, regardless of form (p. 806). Section 8(1)(h) excludes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creating an anomaly (p. 809). In England, no comprehensive PPS register exists, and charges exclude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(p. 810, citing </w:t>
      </w:r>
      <w:r w:rsidRPr="00A159D0">
        <w:rPr>
          <w:rFonts w:ascii="Times-Italic" w:eastAsiaTheme="minorEastAsia" w:hAnsi="Times-Italic" w:cs="Times-Italic"/>
          <w:i/>
          <w:iCs/>
          <w14:ligatures w14:val="standardContextual"/>
        </w:rPr>
        <w:t>Carreras</w:t>
      </w:r>
      <w:r w:rsidRPr="00A159D0">
        <w:rPr>
          <w:rFonts w:ascii="Times-Roman" w:eastAsiaTheme="minorEastAsia" w:hAnsi="Times-Roman" w:cs="Times-Roman"/>
          <w14:ligatures w14:val="standardContextual"/>
        </w:rPr>
        <w:t>, 227).</w:t>
      </w:r>
    </w:p>
    <w:p w14:paraId="0EC2ABFA" w14:textId="77777777"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Judicial and Scholarly Views:</w:t>
      </w:r>
      <w:r w:rsidRPr="00A159D0">
        <w:rPr>
          <w:rFonts w:ascii="Times-Roman" w:eastAsiaTheme="minorEastAsia" w:hAnsi="Times-Roman" w:cs="Times-Roman"/>
          <w14:ligatures w14:val="standardContextual"/>
        </w:rPr>
        <w:t xml:space="preserve"> </w:t>
      </w:r>
      <w:proofErr w:type="spellStart"/>
      <w:r w:rsidRPr="00A159D0">
        <w:rPr>
          <w:rFonts w:ascii="Times-Italic" w:eastAsiaTheme="minorEastAsia" w:hAnsi="Times-Italic" w:cs="Times-Italic"/>
          <w:i/>
          <w:iCs/>
          <w14:ligatures w14:val="standardContextual"/>
        </w:rPr>
        <w:t>Twinsectra</w:t>
      </w:r>
      <w:proofErr w:type="spellEnd"/>
      <w:r w:rsidRPr="00A159D0">
        <w:rPr>
          <w:rFonts w:ascii="Times-Italic" w:eastAsiaTheme="minorEastAsia" w:hAnsi="Times-Italic" w:cs="Times-Italic"/>
          <w:i/>
          <w:iCs/>
          <w14:ligatures w14:val="standardContextual"/>
        </w:rPr>
        <w:t>:</w:t>
      </w:r>
      <w:r w:rsidRPr="00A159D0">
        <w:rPr>
          <w:rFonts w:ascii="Times-Roman" w:eastAsiaTheme="minorEastAsia" w:hAnsi="Times-Roman" w:cs="Times-Roman"/>
          <w14:ligatures w14:val="standardContextual"/>
        </w:rPr>
        <w:t xml:space="preserve"> Lord Millett likened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to retention of title clauses, suggesting a security-like function (p. 801, quoting [2002] 2 AC 164, [81]). </w:t>
      </w:r>
      <w:r w:rsidRPr="00A159D0">
        <w:rPr>
          <w:rFonts w:ascii="Times-Italic" w:eastAsiaTheme="minorEastAsia" w:hAnsi="Times-Italic" w:cs="Times-Italic"/>
          <w:i/>
          <w:iCs/>
          <w14:ligatures w14:val="standardContextual"/>
        </w:rPr>
        <w:t>Australian Elizabethan Theatre Trust:</w:t>
      </w:r>
      <w:r w:rsidRPr="00A159D0">
        <w:rPr>
          <w:rFonts w:ascii="Times-Roman" w:eastAsiaTheme="minorEastAsia" w:hAnsi="Times-Roman" w:cs="Times-Roman"/>
          <w14:ligatures w14:val="standardContextual"/>
        </w:rPr>
        <w:t xml:space="preserve"> </w:t>
      </w:r>
      <w:proofErr w:type="spellStart"/>
      <w:r w:rsidRPr="00A159D0">
        <w:rPr>
          <w:rFonts w:ascii="Times-Roman" w:eastAsiaTheme="minorEastAsia" w:hAnsi="Times-Roman" w:cs="Times-Roman"/>
          <w14:ligatures w14:val="standardContextual"/>
        </w:rPr>
        <w:t>Gummow</w:t>
      </w:r>
      <w:proofErr w:type="spellEnd"/>
      <w:r w:rsidRPr="00A159D0">
        <w:rPr>
          <w:rFonts w:ascii="Times-Roman" w:eastAsiaTheme="minorEastAsia" w:hAnsi="Times-Roman" w:cs="Times-Roman"/>
          <w14:ligatures w14:val="standardContextual"/>
        </w:rPr>
        <w:t xml:space="preserve"> J noted a “hiatus” in registration law (p. 801, citing (1991) 102 ALR 681, 691-692). Duggan and Brown argue trusts typically lack a debtor-creditor basis for security, but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overlay such a relationship (p. 807, quoting </w:t>
      </w:r>
      <w:r w:rsidRPr="00A159D0">
        <w:rPr>
          <w:rFonts w:ascii="Times-Italic" w:eastAsiaTheme="minorEastAsia" w:hAnsi="Times-Italic" w:cs="Times-Italic"/>
          <w:i/>
          <w:iCs/>
          <w14:ligatures w14:val="standardContextual"/>
        </w:rPr>
        <w:t>Australian Personal Property Securities Law</w:t>
      </w:r>
      <w:r w:rsidRPr="00A159D0">
        <w:rPr>
          <w:rFonts w:ascii="Times-Roman" w:eastAsiaTheme="minorEastAsia" w:hAnsi="Times-Roman" w:cs="Times-Roman"/>
          <w14:ligatures w14:val="standardContextual"/>
        </w:rPr>
        <w:t xml:space="preserve"> [3.12]).</w:t>
      </w:r>
    </w:p>
    <w:p w14:paraId="5D4C6132" w14:textId="77777777"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p>
    <w:p w14:paraId="5639B106" w14:textId="77777777"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Drawbacks for Unsecured Creditors (Suppliers) from Security Interests:</w:t>
      </w:r>
    </w:p>
    <w:p w14:paraId="57A9FAC4" w14:textId="7747887E" w:rsidR="00AA70F3" w:rsidRPr="00A159D0"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 xml:space="preserve">1. </w:t>
      </w:r>
      <w:r w:rsidR="00AA70F3" w:rsidRPr="00A159D0">
        <w:rPr>
          <w:rFonts w:ascii="Times-Italic" w:eastAsiaTheme="minorEastAsia" w:hAnsi="Times-Italic" w:cs="Times-Italic"/>
          <w:i/>
          <w:iCs/>
          <w14:ligatures w14:val="standardContextual"/>
        </w:rPr>
        <w:t>False Creditworthiness:</w:t>
      </w:r>
      <w:r w:rsidR="00AA70F3" w:rsidRPr="00A159D0">
        <w:rPr>
          <w:rFonts w:ascii="Times-Roman" w:eastAsiaTheme="minorEastAsia" w:hAnsi="Times-Roman" w:cs="Times-Roman"/>
          <w14:ligatures w14:val="standardContextual"/>
        </w:rPr>
        <w:t xml:space="preserve"> Gardner highlights: “the provision of money subject to a </w:t>
      </w:r>
      <w:proofErr w:type="spellStart"/>
      <w:r w:rsidR="00AA70F3" w:rsidRPr="00A159D0">
        <w:rPr>
          <w:rFonts w:ascii="Times-Roman" w:eastAsiaTheme="minorEastAsia" w:hAnsi="Times-Roman" w:cs="Times-Roman"/>
          <w14:ligatures w14:val="standardContextual"/>
        </w:rPr>
        <w:t>Quistclose</w:t>
      </w:r>
      <w:proofErr w:type="spellEnd"/>
      <w:r w:rsidR="00AA70F3" w:rsidRPr="00A159D0">
        <w:rPr>
          <w:rFonts w:ascii="Times-Roman" w:eastAsiaTheme="minorEastAsia" w:hAnsi="Times-Roman" w:cs="Times-Roman"/>
          <w14:ligatures w14:val="standardContextual"/>
        </w:rPr>
        <w:t xml:space="preserve"> trust … </w:t>
      </w:r>
      <w:r w:rsidR="00AA70F3" w:rsidRPr="00A159D0">
        <w:rPr>
          <w:rFonts w:ascii="Times-Roman" w:eastAsiaTheme="minorEastAsia" w:hAnsi="Times-Roman" w:cs="Times-Roman"/>
          <w:b/>
          <w:bCs/>
          <w14:ligatures w14:val="standardContextual"/>
        </w:rPr>
        <w:t xml:space="preserve">gives a false appearance of creditworthiness … other creditors may have been led to perceive the debtor as a viable concern … when … these resources are </w:t>
      </w:r>
      <w:r w:rsidR="00AA70F3" w:rsidRPr="00A159D0">
        <w:rPr>
          <w:rFonts w:ascii="Times-Roman" w:eastAsiaTheme="minorEastAsia" w:hAnsi="Times-Roman" w:cs="Times-Roman"/>
          <w:b/>
          <w:bCs/>
          <w14:ligatures w14:val="standardContextual"/>
        </w:rPr>
        <w:lastRenderedPageBreak/>
        <w:t xml:space="preserve">already bespoken” </w:t>
      </w:r>
      <w:r w:rsidR="00AA70F3" w:rsidRPr="00A159D0">
        <w:rPr>
          <w:rFonts w:ascii="Times-Roman" w:eastAsiaTheme="minorEastAsia" w:hAnsi="Times-Roman" w:cs="Times-Roman"/>
          <w14:ligatures w14:val="standardContextual"/>
        </w:rPr>
        <w:t xml:space="preserve">(p. 791, quoting </w:t>
      </w:r>
      <w:r w:rsidR="00AA70F3" w:rsidRPr="00A159D0">
        <w:rPr>
          <w:rFonts w:ascii="Times-Italic" w:eastAsiaTheme="minorEastAsia" w:hAnsi="Times-Italic" w:cs="Times-Italic"/>
          <w:i/>
          <w:iCs/>
          <w14:ligatures w14:val="standardContextual"/>
        </w:rPr>
        <w:t>An Introduction to the Law of Trusts</w:t>
      </w:r>
      <w:r w:rsidR="00AA70F3" w:rsidRPr="00A159D0">
        <w:rPr>
          <w:rFonts w:ascii="Times-Roman" w:eastAsiaTheme="minorEastAsia" w:hAnsi="Times-Roman" w:cs="Times-Roman"/>
          <w14:ligatures w14:val="standardContextual"/>
        </w:rPr>
        <w:t xml:space="preserve">, 39). In </w:t>
      </w:r>
      <w:proofErr w:type="spellStart"/>
      <w:r w:rsidR="00AA70F3" w:rsidRPr="00A159D0">
        <w:rPr>
          <w:rFonts w:ascii="Times-Italic" w:eastAsiaTheme="minorEastAsia" w:hAnsi="Times-Italic" w:cs="Times-Italic"/>
          <w:i/>
          <w:iCs/>
          <w14:ligatures w14:val="standardContextual"/>
        </w:rPr>
        <w:t>Quistclose</w:t>
      </w:r>
      <w:proofErr w:type="spellEnd"/>
      <w:r w:rsidR="00AA70F3" w:rsidRPr="00A159D0">
        <w:rPr>
          <w:rFonts w:ascii="Times-Italic" w:eastAsiaTheme="minorEastAsia" w:hAnsi="Times-Italic" w:cs="Times-Italic"/>
          <w:i/>
          <w:iCs/>
          <w14:ligatures w14:val="standardContextual"/>
        </w:rPr>
        <w:t xml:space="preserve"> Investments Ltd v Rolls Razor Ltd [1970] AC 567]</w:t>
      </w:r>
      <w:r w:rsidR="00AA70F3" w:rsidRPr="00A159D0">
        <w:rPr>
          <w:rFonts w:ascii="Times-Roman" w:eastAsiaTheme="minorEastAsia" w:hAnsi="Times-Roman" w:cs="Times-Roman"/>
          <w14:ligatures w14:val="standardContextual"/>
        </w:rPr>
        <w:t>, Rolls appeared solvent due to the £209,719 loan, potentially inducing suppliers to extend credit (p. 808).</w:t>
      </w:r>
    </w:p>
    <w:p w14:paraId="17E7DF64" w14:textId="0E4C36B9" w:rsidR="00AA70F3" w:rsidRPr="00A159D0"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 xml:space="preserve">2. </w:t>
      </w:r>
      <w:r w:rsidR="00AA70F3" w:rsidRPr="00A159D0">
        <w:rPr>
          <w:rFonts w:ascii="Times-Italic" w:eastAsiaTheme="minorEastAsia" w:hAnsi="Times-Italic" w:cs="Times-Italic"/>
          <w:i/>
          <w:iCs/>
          <w14:ligatures w14:val="standardContextual"/>
        </w:rPr>
        <w:t>Priority Erosion:</w:t>
      </w:r>
      <w:r w:rsidR="00AA70F3" w:rsidRPr="00A159D0">
        <w:rPr>
          <w:rFonts w:ascii="Times-Roman" w:eastAsiaTheme="minorEastAsia" w:hAnsi="Times-Roman" w:cs="Times-Roman"/>
          <w14:ligatures w14:val="standardContextual"/>
        </w:rPr>
        <w:t xml:space="preserve"> By keeping funds outside the estate</w:t>
      </w:r>
      <w:r w:rsidR="00AA70F3" w:rsidRPr="00A159D0">
        <w:rPr>
          <w:rFonts w:ascii="Times-Roman" w:eastAsiaTheme="minorEastAsia" w:hAnsi="Times-Roman" w:cs="Times-Roman"/>
          <w:b/>
          <w:bCs/>
          <w14:ligatures w14:val="standardContextual"/>
        </w:rPr>
        <w:t xml:space="preserve">, </w:t>
      </w:r>
      <w:proofErr w:type="spellStart"/>
      <w:r w:rsidR="00AA70F3" w:rsidRPr="00A159D0">
        <w:rPr>
          <w:rFonts w:ascii="Times-Roman" w:eastAsiaTheme="minorEastAsia" w:hAnsi="Times-Roman" w:cs="Times-Roman"/>
          <w:b/>
          <w:bCs/>
          <w14:ligatures w14:val="standardContextual"/>
        </w:rPr>
        <w:t>Quistclose</w:t>
      </w:r>
      <w:proofErr w:type="spellEnd"/>
      <w:r w:rsidR="00AA70F3" w:rsidRPr="00A159D0">
        <w:rPr>
          <w:rFonts w:ascii="Times-Roman" w:eastAsiaTheme="minorEastAsia" w:hAnsi="Times-Roman" w:cs="Times-Roman"/>
          <w:b/>
          <w:bCs/>
          <w14:ligatures w14:val="standardContextual"/>
        </w:rPr>
        <w:t xml:space="preserve"> trusts elevate the lender above unsecured creditors.</w:t>
      </w:r>
      <w:r w:rsidR="00AA70F3" w:rsidRPr="00A159D0">
        <w:rPr>
          <w:rFonts w:ascii="Times-Roman" w:eastAsiaTheme="minorEastAsia" w:hAnsi="Times-Roman" w:cs="Times-Roman"/>
          <w14:ligatures w14:val="standardContextual"/>
        </w:rPr>
        <w:t xml:space="preserve"> In </w:t>
      </w:r>
      <w:proofErr w:type="spellStart"/>
      <w:r w:rsidR="00AA70F3" w:rsidRPr="00A159D0">
        <w:rPr>
          <w:rFonts w:ascii="Times-Italic" w:eastAsiaTheme="minorEastAsia" w:hAnsi="Times-Italic" w:cs="Times-Italic"/>
          <w:i/>
          <w:iCs/>
          <w14:ligatures w14:val="standardContextual"/>
        </w:rPr>
        <w:t>Twinsectra</w:t>
      </w:r>
      <w:proofErr w:type="spellEnd"/>
      <w:r w:rsidR="00AA70F3" w:rsidRPr="00A159D0">
        <w:rPr>
          <w:rFonts w:ascii="Times-Roman" w:eastAsiaTheme="minorEastAsia" w:hAnsi="Times-Roman" w:cs="Times-Roman"/>
          <w14:ligatures w14:val="standardContextual"/>
        </w:rPr>
        <w:t xml:space="preserve">, the £1 million was unavailable to suppliers upon insolvency (p. 808). Hudson notes this mimics PPSA-covered interests like hire-purchase </w:t>
      </w:r>
      <w:proofErr w:type="gramStart"/>
      <w:r w:rsidR="00AA70F3" w:rsidRPr="00A159D0">
        <w:rPr>
          <w:rFonts w:ascii="Times-Roman" w:eastAsiaTheme="minorEastAsia" w:hAnsi="Times-Roman" w:cs="Times-Roman"/>
          <w14:ligatures w14:val="standardContextual"/>
        </w:rPr>
        <w:t>agreements, yet</w:t>
      </w:r>
      <w:proofErr w:type="gramEnd"/>
      <w:r w:rsidR="00AA70F3" w:rsidRPr="00A159D0">
        <w:rPr>
          <w:rFonts w:ascii="Times-Roman" w:eastAsiaTheme="minorEastAsia" w:hAnsi="Times-Roman" w:cs="Times-Roman"/>
          <w14:ligatures w14:val="standardContextual"/>
        </w:rPr>
        <w:t xml:space="preserve"> escapes registration (p. 808).</w:t>
      </w:r>
    </w:p>
    <w:p w14:paraId="69A56F50" w14:textId="1CDC0EBB" w:rsidR="00AA70F3" w:rsidRPr="00A159D0"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 xml:space="preserve">3. </w:t>
      </w:r>
      <w:r w:rsidR="00AA70F3" w:rsidRPr="00A159D0">
        <w:rPr>
          <w:rFonts w:ascii="Times-Italic" w:eastAsiaTheme="minorEastAsia" w:hAnsi="Times-Italic" w:cs="Times-Italic"/>
          <w:i/>
          <w:iCs/>
          <w14:ligatures w14:val="standardContextual"/>
        </w:rPr>
        <w:t>Increased Litigation Costs:</w:t>
      </w:r>
      <w:r w:rsidR="00AA70F3" w:rsidRPr="00A159D0">
        <w:rPr>
          <w:rFonts w:ascii="Times-Roman" w:eastAsiaTheme="minorEastAsia" w:hAnsi="Times-Roman" w:cs="Times-Roman"/>
          <w14:ligatures w14:val="standardContextual"/>
        </w:rPr>
        <w:t xml:space="preserve"> Hudson warns </w:t>
      </w:r>
      <w:proofErr w:type="spellStart"/>
      <w:r w:rsidR="00AA70F3" w:rsidRPr="00A159D0">
        <w:rPr>
          <w:rFonts w:ascii="Times-Roman" w:eastAsiaTheme="minorEastAsia" w:hAnsi="Times-Roman" w:cs="Times-Roman"/>
          <w14:ligatures w14:val="standardContextual"/>
        </w:rPr>
        <w:t>Quistclose</w:t>
      </w:r>
      <w:proofErr w:type="spellEnd"/>
      <w:r w:rsidR="00AA70F3" w:rsidRPr="00A159D0">
        <w:rPr>
          <w:rFonts w:ascii="Times-Roman" w:eastAsiaTheme="minorEastAsia" w:hAnsi="Times-Roman" w:cs="Times-Roman"/>
          <w14:ligatures w14:val="standardContextual"/>
        </w:rPr>
        <w:t xml:space="preserve"> trusts “further disadvantage the borrower’s creditors” by increasing liquidation costs: “the costs of the liquidator seeking judicial directions … will come out of the company’s assets, thereby reducing the funds available for distribution” (p. 799). Suppliers, often unsecured, bear this loss indirectly.</w:t>
      </w:r>
    </w:p>
    <w:p w14:paraId="37B1281F" w14:textId="412DE643" w:rsidR="00AA70F3"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 xml:space="preserve">4. </w:t>
      </w:r>
      <w:r w:rsidR="00AA70F3" w:rsidRPr="00A159D0">
        <w:rPr>
          <w:rFonts w:ascii="Times-Italic" w:eastAsiaTheme="minorEastAsia" w:hAnsi="Times-Italic" w:cs="Times-Italic"/>
          <w:i/>
          <w:iCs/>
          <w14:ligatures w14:val="standardContextual"/>
        </w:rPr>
        <w:t>Retroactive Advantage:</w:t>
      </w:r>
      <w:r w:rsidR="00AA70F3" w:rsidRPr="00A159D0">
        <w:rPr>
          <w:rFonts w:ascii="Times-Roman" w:eastAsiaTheme="minorEastAsia" w:hAnsi="Times-Roman" w:cs="Times-Roman"/>
          <w14:ligatures w14:val="standardContextual"/>
        </w:rPr>
        <w:t xml:space="preserve"> Well-advised lenders may “retrofit a trust framework on unsecured loans that have gone bad” (p. 809). In </w:t>
      </w:r>
      <w:r w:rsidR="00AA70F3" w:rsidRPr="00A159D0">
        <w:rPr>
          <w:rFonts w:ascii="Times-Italic" w:eastAsiaTheme="minorEastAsia" w:hAnsi="Times-Italic" w:cs="Times-Italic"/>
          <w:i/>
          <w:iCs/>
          <w14:ligatures w14:val="standardContextual"/>
        </w:rPr>
        <w:t>Carreras</w:t>
      </w:r>
      <w:r w:rsidR="00AA70F3" w:rsidRPr="00A159D0">
        <w:rPr>
          <w:rFonts w:ascii="Times-Roman" w:eastAsiaTheme="minorEastAsia" w:hAnsi="Times-Roman" w:cs="Times-Roman"/>
          <w14:ligatures w14:val="standardContextual"/>
        </w:rPr>
        <w:t xml:space="preserve">, professional advice shaped a trust argument, sidelining suppliers (p. 809, n. 181, citing McKendrick, “Commerce” in </w:t>
      </w:r>
      <w:proofErr w:type="spellStart"/>
      <w:r w:rsidR="00AA70F3" w:rsidRPr="00A159D0">
        <w:rPr>
          <w:rFonts w:ascii="Times-Roman" w:eastAsiaTheme="minorEastAsia" w:hAnsi="Times-Roman" w:cs="Times-Roman"/>
          <w14:ligatures w14:val="standardContextual"/>
        </w:rPr>
        <w:t>Swadling</w:t>
      </w:r>
      <w:proofErr w:type="spellEnd"/>
      <w:r w:rsidR="00AA70F3" w:rsidRPr="00A159D0">
        <w:rPr>
          <w:rFonts w:ascii="Times-Roman" w:eastAsiaTheme="minorEastAsia" w:hAnsi="Times-Roman" w:cs="Times-Roman"/>
          <w14:ligatures w14:val="standardContextual"/>
        </w:rPr>
        <w:t xml:space="preserve"> (ed), 149).</w:t>
      </w:r>
    </w:p>
    <w:p w14:paraId="032813F9" w14:textId="77777777" w:rsidR="00A159D0" w:rsidRPr="00A159D0"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p>
    <w:p w14:paraId="225D1078" w14:textId="77777777"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Regulatory Mismatch and Implications:</w:t>
      </w:r>
    </w:p>
    <w:p w14:paraId="59BC39CB" w14:textId="3392DE7F" w:rsidR="00A159D0" w:rsidRPr="00A159D0" w:rsidRDefault="00AA70F3"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PPSA Exclusion:</w:t>
      </w:r>
      <w:r w:rsidRPr="00A159D0">
        <w:rPr>
          <w:rFonts w:ascii="Times-Roman" w:eastAsiaTheme="minorEastAsia" w:hAnsi="Times-Roman" w:cs="Times-Roman"/>
          <w14:ligatures w14:val="standardContextual"/>
        </w:rPr>
        <w:t xml:space="preserve"> Section 8(1)(h) excludes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despite their security-like effect (p. 809). Hudson argues this suits constructive trusts but clashes with Australia’s express trust view (p. 810). In </w:t>
      </w:r>
      <w:r w:rsidRPr="00A159D0">
        <w:rPr>
          <w:rFonts w:ascii="Times-Italic" w:eastAsiaTheme="minorEastAsia" w:hAnsi="Times-Italic" w:cs="Times-Italic"/>
          <w:i/>
          <w:iCs/>
          <w14:ligatures w14:val="standardContextual"/>
        </w:rPr>
        <w:t>Two Feathers</w:t>
      </w:r>
      <w:r w:rsidRPr="00A159D0">
        <w:rPr>
          <w:rFonts w:ascii="Times-Roman" w:eastAsiaTheme="minorEastAsia" w:hAnsi="Times-Roman" w:cs="Times-Roman"/>
          <w14:ligatures w14:val="standardContextual"/>
        </w:rPr>
        <w:t xml:space="preserve"> 2013 ONCA 598, Feldman JA noted unregistered trusts hide assets from creditors, including suppliers (p. 810, n. 184).</w:t>
      </w:r>
    </w:p>
    <w:p w14:paraId="38EBBA0D" w14:textId="24045922" w:rsidR="00AA70F3" w:rsidRPr="00A159D0" w:rsidRDefault="00AA70F3"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Transparency Loss:</w:t>
      </w:r>
      <w:r w:rsidRPr="00A159D0">
        <w:rPr>
          <w:rFonts w:ascii="Times-Roman" w:eastAsiaTheme="minorEastAsia" w:hAnsi="Times-Roman" w:cs="Times-Roman"/>
          <w14:ligatures w14:val="standardContextual"/>
        </w:rPr>
        <w:t xml:space="preserve"> PPSA registration ensures “the ability of fresh money suppliers and other third parties to find out about the financial position of a company” (p. 808).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subvert this, as in </w:t>
      </w:r>
      <w:proofErr w:type="spellStart"/>
      <w:r w:rsidRPr="00A159D0">
        <w:rPr>
          <w:rFonts w:ascii="Times-Italic" w:eastAsiaTheme="minorEastAsia" w:hAnsi="Times-Italic" w:cs="Times-Italic"/>
          <w:i/>
          <w:iCs/>
          <w14:ligatures w14:val="standardContextual"/>
        </w:rPr>
        <w:t>Quistclose</w:t>
      </w:r>
      <w:proofErr w:type="spellEnd"/>
      <w:r w:rsidRPr="00A159D0">
        <w:rPr>
          <w:rFonts w:ascii="Times-Roman" w:eastAsiaTheme="minorEastAsia" w:hAnsi="Times-Roman" w:cs="Times-Roman"/>
          <w14:ligatures w14:val="standardContextual"/>
        </w:rPr>
        <w:t>, where Rolls’ illusion of solvency misled stakeholders (p. 808).</w:t>
      </w:r>
    </w:p>
    <w:p w14:paraId="464D4B61" w14:textId="3673402E" w:rsidR="00AA70F3" w:rsidRPr="00A159D0" w:rsidRDefault="00AA70F3"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t>English Context:</w:t>
      </w:r>
      <w:r w:rsidRPr="00A159D0">
        <w:rPr>
          <w:rFonts w:ascii="Times-Roman" w:eastAsiaTheme="minorEastAsia" w:hAnsi="Times-Roman" w:cs="Times-Roman"/>
          <w14:ligatures w14:val="standardContextual"/>
        </w:rPr>
        <w:t xml:space="preserve"> The Law Commission suggested exclusion from registration if imposed by law (p. 810, citing </w:t>
      </w:r>
      <w:r w:rsidRPr="00A159D0">
        <w:rPr>
          <w:rFonts w:ascii="Times-Italic" w:eastAsiaTheme="minorEastAsia" w:hAnsi="Times-Italic" w:cs="Times-Italic"/>
          <w:i/>
          <w:iCs/>
          <w14:ligatures w14:val="standardContextual"/>
        </w:rPr>
        <w:t>Registration of Security Interests</w:t>
      </w:r>
      <w:r w:rsidRPr="00A159D0">
        <w:rPr>
          <w:rFonts w:ascii="Times-Roman" w:eastAsiaTheme="minorEastAsia" w:hAnsi="Times-Roman" w:cs="Times-Roman"/>
          <w14:ligatures w14:val="standardContextual"/>
        </w:rPr>
        <w:t xml:space="preserve"> (2002) [7.53]</w:t>
      </w:r>
      <w:proofErr w:type="gramStart"/>
      <w:r w:rsidRPr="00A159D0">
        <w:rPr>
          <w:rFonts w:ascii="Times-Roman" w:eastAsiaTheme="minorEastAsia" w:hAnsi="Times-Roman" w:cs="Times-Roman"/>
          <w14:ligatures w14:val="standardContextual"/>
        </w:rPr>
        <w:t>-[</w:t>
      </w:r>
      <w:proofErr w:type="gramEnd"/>
      <w:r w:rsidRPr="00A159D0">
        <w:rPr>
          <w:rFonts w:ascii="Times-Roman" w:eastAsiaTheme="minorEastAsia" w:hAnsi="Times-Roman" w:cs="Times-Roman"/>
          <w14:ligatures w14:val="standardContextual"/>
        </w:rPr>
        <w:t>7.54]), but Hudson notes this misaligns with intention-based views (p. 810).</w:t>
      </w:r>
    </w:p>
    <w:p w14:paraId="1D34686B" w14:textId="77777777" w:rsidR="00A159D0" w:rsidRPr="00A159D0" w:rsidRDefault="00A159D0"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p>
    <w:p w14:paraId="3E6A37ED" w14:textId="6BC91B97" w:rsidR="00AA70F3" w:rsidRPr="00A159D0" w:rsidRDefault="00AA70F3" w:rsidP="00A159D0">
      <w:pPr>
        <w:tabs>
          <w:tab w:val="left" w:pos="940"/>
          <w:tab w:val="left" w:pos="144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Italic" w:eastAsiaTheme="minorEastAsia" w:hAnsi="Times-Italic" w:cs="Times-Italic"/>
          <w:i/>
          <w:iCs/>
          <w14:ligatures w14:val="standardContextual"/>
        </w:rPr>
        <w:lastRenderedPageBreak/>
        <w:t>Analysis:</w:t>
      </w:r>
      <w:r w:rsidRPr="00A159D0">
        <w:rPr>
          <w:rFonts w:ascii="Times-Roman" w:eastAsiaTheme="minorEastAsia" w:hAnsi="Times-Roman" w:cs="Times-Roman"/>
          <w14:ligatures w14:val="standardContextual"/>
        </w:rPr>
        <w:t xml:space="preserve"> Hudson critiques arguments distinguishing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from security interests (e.g., no independent obligation, per Stevens, p. 807) as missing the PPSA’s substance-over-form focus (p. 808), exacerbating creditor disadvantages.</w:t>
      </w:r>
    </w:p>
    <w:p w14:paraId="1FB313CD" w14:textId="77777777"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p>
    <w:p w14:paraId="32461CC5" w14:textId="7B56E3C0" w:rsidR="00AA70F3" w:rsidRPr="00A159D0" w:rsidRDefault="00AA70F3" w:rsidP="00A159D0">
      <w:pPr>
        <w:autoSpaceDE w:val="0"/>
        <w:autoSpaceDN w:val="0"/>
        <w:adjustRightInd w:val="0"/>
        <w:spacing w:after="240" w:line="360" w:lineRule="auto"/>
        <w:rPr>
          <w:rFonts w:ascii="Times-Bold" w:eastAsiaTheme="minorEastAsia" w:hAnsi="Times-Bold" w:cs="Times-Bold"/>
          <w:b/>
          <w:bCs/>
          <w14:ligatures w14:val="standardContextual"/>
        </w:rPr>
      </w:pPr>
      <w:r w:rsidRPr="00A159D0">
        <w:rPr>
          <w:rFonts w:ascii="Times-Bold" w:eastAsiaTheme="minorEastAsia" w:hAnsi="Times-Bold" w:cs="Times-Bold"/>
          <w:b/>
          <w:bCs/>
          <w14:ligatures w14:val="standardContextual"/>
        </w:rPr>
        <w:t>Specific Drawbacks for Unsecured Creditors (Suppliers)</w:t>
      </w:r>
    </w:p>
    <w:p w14:paraId="5FA6F0BE" w14:textId="4F6C2CD8"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Economic Disadvantage:</w:t>
      </w:r>
      <w:r w:rsidRPr="00A159D0">
        <w:rPr>
          <w:rFonts w:ascii="Times-Roman" w:eastAsiaTheme="minorEastAsia" w:hAnsi="Times-Roman" w:cs="Times-Roman"/>
          <w14:ligatures w14:val="standardContextual"/>
        </w:rPr>
        <w:t xml:space="preserve"> Suppliers lose out when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funds are unavailable. In </w:t>
      </w:r>
      <w:r w:rsidRPr="00A159D0">
        <w:rPr>
          <w:rFonts w:ascii="Times-Italic" w:eastAsiaTheme="minorEastAsia" w:hAnsi="Times-Italic" w:cs="Times-Italic"/>
          <w:i/>
          <w:iCs/>
          <w14:ligatures w14:val="standardContextual"/>
        </w:rPr>
        <w:t>Re Miles</w:t>
      </w:r>
      <w:r w:rsidRPr="00A159D0">
        <w:rPr>
          <w:rFonts w:ascii="Times-Roman" w:eastAsiaTheme="minorEastAsia" w:hAnsi="Times-Roman" w:cs="Times-Roman"/>
          <w14:ligatures w14:val="standardContextual"/>
        </w:rPr>
        <w:t>, Pincus J’s unpaid vendor analogy underscores their vulnerability (p. 805). Smolyansky’s fairness argument</w:t>
      </w:r>
      <w:proofErr w:type="gramStart"/>
      <w:r w:rsidRPr="00A159D0">
        <w:rPr>
          <w:rFonts w:ascii="Times-Roman" w:eastAsiaTheme="minorEastAsia" w:hAnsi="Times-Roman" w:cs="Times-Roman"/>
          <w14:ligatures w14:val="standardContextual"/>
        </w:rPr>
        <w:t>—“</w:t>
      </w:r>
      <w:proofErr w:type="gramEnd"/>
      <w:r w:rsidRPr="00A159D0">
        <w:rPr>
          <w:rFonts w:ascii="Times-Roman" w:eastAsiaTheme="minorEastAsia" w:hAnsi="Times-Roman" w:cs="Times-Roman"/>
          <w14:ligatures w14:val="standardContextual"/>
        </w:rPr>
        <w:t>it would … be unconscionable for the unsecured creditors … to claim … the unexpended loan money” (p. 803, quoting (2014) 20 T&amp;T 558, 567)—ignores suppliers’ reliance on apparent solvency.</w:t>
      </w:r>
    </w:p>
    <w:p w14:paraId="0548C255" w14:textId="04012A1F"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Illusion of Solvency:</w:t>
      </w:r>
      <w:r w:rsidRPr="00A159D0">
        <w:rPr>
          <w:rFonts w:ascii="Times-Roman" w:eastAsiaTheme="minorEastAsia" w:hAnsi="Times-Roman" w:cs="Times-Roman"/>
          <w14:ligatures w14:val="standardContextual"/>
        </w:rPr>
        <w:t xml:space="preserve"> Gardner’s “false appearance” critique (p. 791) directly impacts suppliers extending credit based on misleading financial health, as in </w:t>
      </w:r>
      <w:proofErr w:type="spellStart"/>
      <w:r w:rsidRPr="00A159D0">
        <w:rPr>
          <w:rFonts w:ascii="Times-Italic" w:eastAsiaTheme="minorEastAsia" w:hAnsi="Times-Italic" w:cs="Times-Italic"/>
          <w:i/>
          <w:iCs/>
          <w14:ligatures w14:val="standardContextual"/>
        </w:rPr>
        <w:t>Quistclose</w:t>
      </w:r>
      <w:proofErr w:type="spellEnd"/>
      <w:r w:rsidRPr="00A159D0">
        <w:rPr>
          <w:rFonts w:ascii="Times-Roman" w:eastAsiaTheme="minorEastAsia" w:hAnsi="Times-Roman" w:cs="Times-Roman"/>
          <w14:ligatures w14:val="standardContextual"/>
        </w:rPr>
        <w:t xml:space="preserve"> (p. 808).</w:t>
      </w:r>
    </w:p>
    <w:p w14:paraId="534FEDE1" w14:textId="3BB99DF6"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Statutory Subversion:</w:t>
      </w:r>
      <w:r w:rsidRPr="00A159D0">
        <w:rPr>
          <w:rFonts w:ascii="Times-Roman" w:eastAsiaTheme="minorEastAsia" w:hAnsi="Times-Roman" w:cs="Times-Roman"/>
          <w14:ligatures w14:val="standardContextual"/>
        </w:rPr>
        <w:t xml:space="preserve"> The </w:t>
      </w:r>
      <w:r w:rsidRPr="00A159D0">
        <w:rPr>
          <w:rFonts w:ascii="Times-Italic" w:eastAsiaTheme="minorEastAsia" w:hAnsi="Times-Italic" w:cs="Times-Italic"/>
          <w:i/>
          <w:iCs/>
          <w14:ligatures w14:val="standardContextual"/>
        </w:rPr>
        <w:t>Insolvency Act 1986</w:t>
      </w:r>
      <w:r w:rsidRPr="00A159D0">
        <w:rPr>
          <w:rFonts w:ascii="Times-Roman" w:eastAsiaTheme="minorEastAsia" w:hAnsi="Times-Roman" w:cs="Times-Roman"/>
          <w14:ligatures w14:val="standardContextual"/>
        </w:rPr>
        <w:t xml:space="preserve"> s 175 prioritizes employees and limits floating charge holders (p. 799), but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bypass this, leaving suppliers behind lenders and statutory </w:t>
      </w:r>
      <w:proofErr w:type="spellStart"/>
      <w:r w:rsidRPr="00A159D0">
        <w:rPr>
          <w:rFonts w:ascii="Times-Roman" w:eastAsiaTheme="minorEastAsia" w:hAnsi="Times-Roman" w:cs="Times-Roman"/>
          <w14:ligatures w14:val="standardContextual"/>
        </w:rPr>
        <w:t>preferrees</w:t>
      </w:r>
      <w:proofErr w:type="spellEnd"/>
      <w:r w:rsidRPr="00A159D0">
        <w:rPr>
          <w:rFonts w:ascii="Times-Roman" w:eastAsiaTheme="minorEastAsia" w:hAnsi="Times-Roman" w:cs="Times-Roman"/>
          <w14:ligatures w14:val="standardContextual"/>
        </w:rPr>
        <w:t xml:space="preserve"> (p. 799).</w:t>
      </w:r>
    </w:p>
    <w:p w14:paraId="0DFA991B" w14:textId="5AEDB0C5" w:rsid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Litigation Burden:</w:t>
      </w:r>
      <w:r w:rsidRPr="00A159D0">
        <w:rPr>
          <w:rFonts w:ascii="Times-Roman" w:eastAsiaTheme="minorEastAsia" w:hAnsi="Times-Roman" w:cs="Times-Roman"/>
          <w14:ligatures w14:val="standardContextual"/>
        </w:rPr>
        <w:t xml:space="preserve"> Increased costs from trust disputes (p. 799) diminish the pool for suppliers, who lack resources to contest claims, unlike sophisticated lenders (p. 809, citing McKendrick, 149).</w:t>
      </w:r>
    </w:p>
    <w:p w14:paraId="75496202" w14:textId="77777777" w:rsidR="00A159D0" w:rsidRPr="00A159D0" w:rsidRDefault="00A159D0"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p>
    <w:p w14:paraId="677FF6FF" w14:textId="70E14AAC" w:rsidR="00AA70F3" w:rsidRPr="00A159D0" w:rsidRDefault="00AA70F3" w:rsidP="00A159D0">
      <w:pPr>
        <w:autoSpaceDE w:val="0"/>
        <w:autoSpaceDN w:val="0"/>
        <w:adjustRightInd w:val="0"/>
        <w:spacing w:after="240" w:line="360" w:lineRule="auto"/>
        <w:rPr>
          <w:rFonts w:ascii="Times-Bold" w:eastAsiaTheme="minorEastAsia" w:hAnsi="Times-Bold" w:cs="Times-Bold"/>
          <w:b/>
          <w:bCs/>
          <w14:ligatures w14:val="standardContextual"/>
        </w:rPr>
      </w:pPr>
      <w:r w:rsidRPr="00A159D0">
        <w:rPr>
          <w:rFonts w:ascii="Times-Bold" w:eastAsiaTheme="minorEastAsia" w:hAnsi="Times-Bold" w:cs="Times-Bold"/>
          <w:b/>
          <w:bCs/>
          <w14:ligatures w14:val="standardContextual"/>
        </w:rPr>
        <w:t>Conclusion</w:t>
      </w:r>
    </w:p>
    <w:p w14:paraId="59AE92A2" w14:textId="1B41DAF1"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Proposed Alignment:</w:t>
      </w:r>
      <w:r w:rsidRPr="00A159D0">
        <w:rPr>
          <w:rFonts w:ascii="Times-Roman" w:eastAsiaTheme="minorEastAsia" w:hAnsi="Times-Roman" w:cs="Times-Roman"/>
          <w14:ligatures w14:val="standardContextual"/>
        </w:rPr>
        <w:t xml:space="preserve"> Hudson concludes that </w:t>
      </w:r>
      <w:proofErr w:type="spellStart"/>
      <w:r w:rsidRPr="00A159D0">
        <w:rPr>
          <w:rFonts w:ascii="Times-Roman" w:eastAsiaTheme="minorEastAsia" w:hAnsi="Times-Roman" w:cs="Times-Roman"/>
          <w14:ligatures w14:val="standardContextual"/>
        </w:rPr>
        <w:t>Quistclose</w:t>
      </w:r>
      <w:proofErr w:type="spellEnd"/>
      <w:r w:rsidRPr="00A159D0">
        <w:rPr>
          <w:rFonts w:ascii="Times-Roman" w:eastAsiaTheme="minorEastAsia" w:hAnsi="Times-Roman" w:cs="Times-Roman"/>
          <w14:ligatures w14:val="standardContextual"/>
        </w:rPr>
        <w:t xml:space="preserve"> trusts require a “unified and coherent understanding” (p. 811) to align characterization with regulation. If intentional, they should face PPSA registration to mitigate drawbacks like opacity and creditor disadvantage (p. 811). If imposed, exclusion may be justified.</w:t>
      </w:r>
    </w:p>
    <w:p w14:paraId="37B6D203" w14:textId="48791EE6" w:rsidR="00AA70F3" w:rsidRPr="00A159D0" w:rsidRDefault="00AA70F3" w:rsidP="00A159D0">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A159D0">
        <w:rPr>
          <w:rFonts w:ascii="Times-Bold" w:eastAsiaTheme="minorEastAsia" w:hAnsi="Times-Bold" w:cs="Times-Bold"/>
          <w:b/>
          <w:bCs/>
          <w14:ligatures w14:val="standardContextual"/>
        </w:rPr>
        <w:t>Current Critique:</w:t>
      </w:r>
      <w:r w:rsidRPr="00A159D0">
        <w:rPr>
          <w:rFonts w:ascii="Times-Roman" w:eastAsiaTheme="minorEastAsia" w:hAnsi="Times-Roman" w:cs="Times-Roman"/>
          <w14:ligatures w14:val="standardContextual"/>
        </w:rPr>
        <w:t xml:space="preserve"> Current judicial approaches—emphasizing intention yet ignoring insolvency economics (p. 778)—exacerbate harms to unsecured creditors, particularly suppliers, by reducing available assets, creating false credit perceptions, and clashing with statutory priorities.</w:t>
      </w:r>
    </w:p>
    <w:p w14:paraId="2FCB247F" w14:textId="77777777" w:rsidR="004070B4" w:rsidRPr="00A159D0" w:rsidRDefault="004070B4" w:rsidP="00A159D0">
      <w:pPr>
        <w:spacing w:after="240" w:line="360" w:lineRule="auto"/>
        <w:rPr>
          <w:rFonts w:ascii="Times New Roman" w:hAnsi="Times New Roman"/>
          <w:lang w:val="en-HK"/>
        </w:rPr>
      </w:pPr>
    </w:p>
    <w:p w14:paraId="6A32F46E" w14:textId="77777777" w:rsidR="00AB796A" w:rsidRPr="00A159D0" w:rsidRDefault="00AB796A" w:rsidP="00A159D0">
      <w:pPr>
        <w:spacing w:after="240" w:line="360" w:lineRule="auto"/>
        <w:ind w:left="360"/>
        <w:rPr>
          <w:rFonts w:ascii="Times New Roman" w:hAnsi="Times New Roman"/>
          <w:lang w:val="en-HK"/>
        </w:rPr>
      </w:pPr>
    </w:p>
    <w:p w14:paraId="558CA605" w14:textId="590BBC1F" w:rsidR="00CD39F1" w:rsidRPr="00A159D0" w:rsidRDefault="00CD39F1" w:rsidP="00A159D0">
      <w:pPr>
        <w:spacing w:after="240" w:line="360" w:lineRule="auto"/>
      </w:pPr>
    </w:p>
    <w:sectPr w:rsidR="00CD39F1" w:rsidRPr="00A15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A131C4F"/>
    <w:multiLevelType w:val="hybridMultilevel"/>
    <w:tmpl w:val="890E6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2A6852"/>
    <w:multiLevelType w:val="multilevel"/>
    <w:tmpl w:val="C4E4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731D5"/>
    <w:multiLevelType w:val="multilevel"/>
    <w:tmpl w:val="D598C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C6599"/>
    <w:multiLevelType w:val="multilevel"/>
    <w:tmpl w:val="C4965B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3624AEE"/>
    <w:multiLevelType w:val="multilevel"/>
    <w:tmpl w:val="64E06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41540"/>
    <w:multiLevelType w:val="multilevel"/>
    <w:tmpl w:val="0816A8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B7E73"/>
    <w:multiLevelType w:val="multilevel"/>
    <w:tmpl w:val="A01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55800"/>
    <w:multiLevelType w:val="multilevel"/>
    <w:tmpl w:val="5D2A7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B0579"/>
    <w:multiLevelType w:val="multilevel"/>
    <w:tmpl w:val="D26ABAE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065087">
    <w:abstractNumId w:val="13"/>
  </w:num>
  <w:num w:numId="2" w16cid:durableId="352342980">
    <w:abstractNumId w:val="12"/>
  </w:num>
  <w:num w:numId="3" w16cid:durableId="562525026">
    <w:abstractNumId w:val="7"/>
  </w:num>
  <w:num w:numId="4" w16cid:durableId="138494806">
    <w:abstractNumId w:val="9"/>
  </w:num>
  <w:num w:numId="5" w16cid:durableId="1409571093">
    <w:abstractNumId w:val="10"/>
  </w:num>
  <w:num w:numId="6" w16cid:durableId="408112785">
    <w:abstractNumId w:val="11"/>
  </w:num>
  <w:num w:numId="7" w16cid:durableId="840698855">
    <w:abstractNumId w:val="14"/>
  </w:num>
  <w:num w:numId="8" w16cid:durableId="1046028394">
    <w:abstractNumId w:val="8"/>
  </w:num>
  <w:num w:numId="9" w16cid:durableId="629242374">
    <w:abstractNumId w:val="0"/>
  </w:num>
  <w:num w:numId="10" w16cid:durableId="258687085">
    <w:abstractNumId w:val="1"/>
  </w:num>
  <w:num w:numId="11" w16cid:durableId="1208687927">
    <w:abstractNumId w:val="2"/>
  </w:num>
  <w:num w:numId="12" w16cid:durableId="1905142030">
    <w:abstractNumId w:val="3"/>
  </w:num>
  <w:num w:numId="13" w16cid:durableId="936016697">
    <w:abstractNumId w:val="4"/>
  </w:num>
  <w:num w:numId="14" w16cid:durableId="431166906">
    <w:abstractNumId w:val="5"/>
  </w:num>
  <w:num w:numId="15" w16cid:durableId="484056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FA"/>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070B4"/>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63B4F"/>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159D0"/>
    <w:rsid w:val="00A21254"/>
    <w:rsid w:val="00A220B7"/>
    <w:rsid w:val="00A2728B"/>
    <w:rsid w:val="00A37AB0"/>
    <w:rsid w:val="00A4085F"/>
    <w:rsid w:val="00A4114F"/>
    <w:rsid w:val="00A45953"/>
    <w:rsid w:val="00A93FBA"/>
    <w:rsid w:val="00A95C7E"/>
    <w:rsid w:val="00AA70F3"/>
    <w:rsid w:val="00AB609D"/>
    <w:rsid w:val="00AB796A"/>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BF2930"/>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D56FA"/>
    <w:rsid w:val="00EE0191"/>
    <w:rsid w:val="00EE4F6A"/>
    <w:rsid w:val="00EF3EF4"/>
    <w:rsid w:val="00F012E4"/>
    <w:rsid w:val="00F0631B"/>
    <w:rsid w:val="00F248D2"/>
    <w:rsid w:val="00F27F00"/>
    <w:rsid w:val="00F33570"/>
    <w:rsid w:val="00F529AD"/>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8B94"/>
  <w15:chartTrackingRefBased/>
  <w15:docId w15:val="{C3A5DD74-078C-4D40-95D2-5655CB535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D56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6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56F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D56F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D56F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D5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5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5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5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F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D56F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D56F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D56F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D56F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D56F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D56F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D56F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D56F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D56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F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D5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F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D5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56F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D56FA"/>
    <w:pPr>
      <w:ind w:left="720"/>
      <w:contextualSpacing/>
    </w:pPr>
  </w:style>
  <w:style w:type="character" w:styleId="IntenseEmphasis">
    <w:name w:val="Intense Emphasis"/>
    <w:basedOn w:val="DefaultParagraphFont"/>
    <w:uiPriority w:val="21"/>
    <w:qFormat/>
    <w:rsid w:val="00ED56FA"/>
    <w:rPr>
      <w:i/>
      <w:iCs/>
      <w:color w:val="2F5496" w:themeColor="accent1" w:themeShade="BF"/>
    </w:rPr>
  </w:style>
  <w:style w:type="paragraph" w:styleId="IntenseQuote">
    <w:name w:val="Intense Quote"/>
    <w:basedOn w:val="Normal"/>
    <w:next w:val="Normal"/>
    <w:link w:val="IntenseQuoteChar"/>
    <w:uiPriority w:val="30"/>
    <w:qFormat/>
    <w:rsid w:val="00ED56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6F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D56FA"/>
    <w:rPr>
      <w:b/>
      <w:bCs/>
      <w:smallCaps/>
      <w:color w:val="2F5496" w:themeColor="accent1" w:themeShade="BF"/>
      <w:spacing w:val="5"/>
    </w:rPr>
  </w:style>
  <w:style w:type="paragraph" w:customStyle="1" w:styleId="break-words">
    <w:name w:val="break-words"/>
    <w:basedOn w:val="Normal"/>
    <w:rsid w:val="00BF2930"/>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BF2930"/>
    <w:rPr>
      <w:i/>
      <w:iCs/>
    </w:rPr>
  </w:style>
  <w:style w:type="character" w:styleId="Strong">
    <w:name w:val="Strong"/>
    <w:basedOn w:val="DefaultParagraphFont"/>
    <w:uiPriority w:val="22"/>
    <w:qFormat/>
    <w:rsid w:val="00BF29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770268">
      <w:bodyDiv w:val="1"/>
      <w:marLeft w:val="0"/>
      <w:marRight w:val="0"/>
      <w:marTop w:val="0"/>
      <w:marBottom w:val="0"/>
      <w:divBdr>
        <w:top w:val="none" w:sz="0" w:space="0" w:color="auto"/>
        <w:left w:val="none" w:sz="0" w:space="0" w:color="auto"/>
        <w:bottom w:val="none" w:sz="0" w:space="0" w:color="auto"/>
        <w:right w:val="none" w:sz="0" w:space="0" w:color="auto"/>
      </w:divBdr>
      <w:divsChild>
        <w:div w:id="1444037100">
          <w:marLeft w:val="0"/>
          <w:marRight w:val="0"/>
          <w:marTop w:val="0"/>
          <w:marBottom w:val="0"/>
          <w:divBdr>
            <w:top w:val="none" w:sz="0" w:space="0" w:color="auto"/>
            <w:left w:val="none" w:sz="0" w:space="0" w:color="auto"/>
            <w:bottom w:val="none" w:sz="0" w:space="0" w:color="auto"/>
            <w:right w:val="none" w:sz="0" w:space="0" w:color="auto"/>
          </w:divBdr>
        </w:div>
      </w:divsChild>
    </w:div>
    <w:div w:id="957368171">
      <w:bodyDiv w:val="1"/>
      <w:marLeft w:val="0"/>
      <w:marRight w:val="0"/>
      <w:marTop w:val="0"/>
      <w:marBottom w:val="0"/>
      <w:divBdr>
        <w:top w:val="none" w:sz="0" w:space="0" w:color="auto"/>
        <w:left w:val="none" w:sz="0" w:space="0" w:color="auto"/>
        <w:bottom w:val="none" w:sz="0" w:space="0" w:color="auto"/>
        <w:right w:val="none" w:sz="0" w:space="0" w:color="auto"/>
      </w:divBdr>
      <w:divsChild>
        <w:div w:id="1359970024">
          <w:marLeft w:val="0"/>
          <w:marRight w:val="0"/>
          <w:marTop w:val="0"/>
          <w:marBottom w:val="0"/>
          <w:divBdr>
            <w:top w:val="none" w:sz="0" w:space="0" w:color="auto"/>
            <w:left w:val="none" w:sz="0" w:space="0" w:color="auto"/>
            <w:bottom w:val="none" w:sz="0" w:space="0" w:color="auto"/>
            <w:right w:val="none" w:sz="0" w:space="0" w:color="auto"/>
          </w:divBdr>
        </w:div>
      </w:divsChild>
    </w:div>
    <w:div w:id="1024598127">
      <w:bodyDiv w:val="1"/>
      <w:marLeft w:val="0"/>
      <w:marRight w:val="0"/>
      <w:marTop w:val="0"/>
      <w:marBottom w:val="0"/>
      <w:divBdr>
        <w:top w:val="none" w:sz="0" w:space="0" w:color="auto"/>
        <w:left w:val="none" w:sz="0" w:space="0" w:color="auto"/>
        <w:bottom w:val="none" w:sz="0" w:space="0" w:color="auto"/>
        <w:right w:val="none" w:sz="0" w:space="0" w:color="auto"/>
      </w:divBdr>
      <w:divsChild>
        <w:div w:id="1110202996">
          <w:marLeft w:val="0"/>
          <w:marRight w:val="0"/>
          <w:marTop w:val="0"/>
          <w:marBottom w:val="0"/>
          <w:divBdr>
            <w:top w:val="none" w:sz="0" w:space="0" w:color="auto"/>
            <w:left w:val="none" w:sz="0" w:space="0" w:color="auto"/>
            <w:bottom w:val="none" w:sz="0" w:space="0" w:color="auto"/>
            <w:right w:val="none" w:sz="0" w:space="0" w:color="auto"/>
          </w:divBdr>
        </w:div>
      </w:divsChild>
    </w:div>
    <w:div w:id="1553465943">
      <w:bodyDiv w:val="1"/>
      <w:marLeft w:val="0"/>
      <w:marRight w:val="0"/>
      <w:marTop w:val="0"/>
      <w:marBottom w:val="0"/>
      <w:divBdr>
        <w:top w:val="none" w:sz="0" w:space="0" w:color="auto"/>
        <w:left w:val="none" w:sz="0" w:space="0" w:color="auto"/>
        <w:bottom w:val="none" w:sz="0" w:space="0" w:color="auto"/>
        <w:right w:val="none" w:sz="0" w:space="0" w:color="auto"/>
      </w:divBdr>
      <w:divsChild>
        <w:div w:id="145098912">
          <w:marLeft w:val="0"/>
          <w:marRight w:val="0"/>
          <w:marTop w:val="0"/>
          <w:marBottom w:val="0"/>
          <w:divBdr>
            <w:top w:val="none" w:sz="0" w:space="0" w:color="auto"/>
            <w:left w:val="none" w:sz="0" w:space="0" w:color="auto"/>
            <w:bottom w:val="none" w:sz="0" w:space="0" w:color="auto"/>
            <w:right w:val="none" w:sz="0" w:space="0" w:color="auto"/>
          </w:divBdr>
        </w:div>
      </w:divsChild>
    </w:div>
    <w:div w:id="1693335458">
      <w:bodyDiv w:val="1"/>
      <w:marLeft w:val="0"/>
      <w:marRight w:val="0"/>
      <w:marTop w:val="0"/>
      <w:marBottom w:val="0"/>
      <w:divBdr>
        <w:top w:val="none" w:sz="0" w:space="0" w:color="auto"/>
        <w:left w:val="none" w:sz="0" w:space="0" w:color="auto"/>
        <w:bottom w:val="none" w:sz="0" w:space="0" w:color="auto"/>
        <w:right w:val="none" w:sz="0" w:space="0" w:color="auto"/>
      </w:divBdr>
      <w:divsChild>
        <w:div w:id="770054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16</Pages>
  <Words>4579</Words>
  <Characters>26102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2025-02-24T16:49:00Z</dcterms:created>
  <dcterms:modified xsi:type="dcterms:W3CDTF">2025-02-24T21:11:00Z</dcterms:modified>
</cp:coreProperties>
</file>