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CC51A5" w14:textId="50ABBCA7" w:rsidR="006A3F84" w:rsidRPr="00E40F31" w:rsidRDefault="006A3F84" w:rsidP="00E40F31">
      <w:pPr>
        <w:spacing w:after="240" w:line="360" w:lineRule="auto"/>
        <w:outlineLvl w:val="2"/>
        <w:rPr>
          <w:rFonts w:ascii="Times New Roman" w:hAnsi="Times New Roman"/>
          <w:b/>
          <w:bCs/>
          <w:lang w:val="en-HK"/>
        </w:rPr>
      </w:pPr>
      <w:r w:rsidRPr="00E40F31">
        <w:rPr>
          <w:rFonts w:ascii="Times New Roman" w:hAnsi="Times New Roman"/>
          <w:b/>
          <w:bCs/>
          <w:lang w:val="en-HK"/>
        </w:rPr>
        <w:t xml:space="preserve">1. What is </w:t>
      </w:r>
      <w:proofErr w:type="spellStart"/>
      <w:r w:rsidRPr="00E40F31">
        <w:rPr>
          <w:rFonts w:ascii="Times New Roman" w:hAnsi="Times New Roman"/>
          <w:b/>
          <w:bCs/>
          <w:lang w:val="en-HK"/>
        </w:rPr>
        <w:t>CrowdJustice</w:t>
      </w:r>
      <w:proofErr w:type="spellEnd"/>
      <w:r w:rsidRPr="00E40F31">
        <w:rPr>
          <w:rFonts w:ascii="Times New Roman" w:hAnsi="Times New Roman"/>
          <w:b/>
          <w:bCs/>
          <w:lang w:val="en-HK"/>
        </w:rPr>
        <w:t>, How Does It Work</w:t>
      </w:r>
    </w:p>
    <w:p w14:paraId="0C650C53" w14:textId="77777777"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Definition and Purpose</w:t>
      </w:r>
    </w:p>
    <w:p w14:paraId="764C64EF" w14:textId="77777777" w:rsidR="006A3F84" w:rsidRPr="00E40F31" w:rsidRDefault="006A3F84" w:rsidP="00E40F31">
      <w:pPr>
        <w:spacing w:after="240" w:line="360" w:lineRule="auto"/>
        <w:rPr>
          <w:rFonts w:ascii="Times New Roman" w:hAnsi="Times New Roman"/>
          <w:lang w:val="en-HK"/>
        </w:rPr>
      </w:pP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is identified as “the </w:t>
      </w:r>
      <w:r w:rsidRPr="00E40F31">
        <w:rPr>
          <w:rFonts w:ascii="Times New Roman" w:hAnsi="Times New Roman"/>
          <w:b/>
          <w:bCs/>
          <w:lang w:val="en-HK"/>
        </w:rPr>
        <w:t>only bespoke crowdfunding site established specifically for litigation” in the UK</w:t>
      </w:r>
      <w:r w:rsidRPr="00E40F31">
        <w:rPr>
          <w:rFonts w:ascii="Times New Roman" w:hAnsi="Times New Roman"/>
          <w:lang w:val="en-HK"/>
        </w:rPr>
        <w:t>, having emerged as “by far the most popular site for litigation crowdfunding” since its inception in 2014 (p. 94). It facilitates the raising of funds to cover litigation costs, leveraging public sympathy for legal causes.</w:t>
      </w:r>
    </w:p>
    <w:p w14:paraId="6BC9289F" w14:textId="77777777" w:rsidR="006A3F84" w:rsidRPr="00E40F31" w:rsidRDefault="006A3F84" w:rsidP="00E40F31">
      <w:pPr>
        <w:spacing w:after="240" w:line="360" w:lineRule="auto"/>
        <w:ind w:left="720"/>
        <w:rPr>
          <w:rFonts w:ascii="Times New Roman" w:hAnsi="Times New Roman"/>
          <w:lang w:val="en-HK"/>
        </w:rPr>
      </w:pPr>
    </w:p>
    <w:p w14:paraId="67888511" w14:textId="350AB676"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Operational Mechanism</w:t>
      </w:r>
    </w:p>
    <w:p w14:paraId="098C7639" w14:textId="1141A371" w:rsidR="006A3F84" w:rsidRPr="00E40F31" w:rsidRDefault="006A3F84" w:rsidP="00E40F31">
      <w:pPr>
        <w:numPr>
          <w:ilvl w:val="0"/>
          <w:numId w:val="2"/>
        </w:numPr>
        <w:spacing w:after="240" w:line="360" w:lineRule="auto"/>
        <w:rPr>
          <w:rFonts w:ascii="Times New Roman" w:hAnsi="Times New Roman"/>
          <w:lang w:val="en-HK"/>
        </w:rPr>
      </w:pPr>
      <w:r w:rsidRPr="00E40F31">
        <w:rPr>
          <w:rFonts w:ascii="Times New Roman" w:hAnsi="Times New Roman"/>
          <w:b/>
          <w:bCs/>
          <w:lang w:val="en-HK"/>
        </w:rPr>
        <w:t>Fundraising Process:</w:t>
      </w:r>
      <w:r w:rsidRPr="00E40F31">
        <w:rPr>
          <w:rFonts w:ascii="Times New Roman" w:hAnsi="Times New Roman"/>
          <w:lang w:val="en-HK"/>
        </w:rPr>
        <w:t xml:space="preserve"> A litigant initiates fundraising by setting up a page on the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website to solicit donations, aiming to garner support based on the appeal of their cause (p. 94). The platform deducts fees for its services, as noted: “with the web platform deducting fees” (p. 94).</w:t>
      </w:r>
    </w:p>
    <w:p w14:paraId="541E577D" w14:textId="0D30DB3E" w:rsidR="006A3F84" w:rsidRPr="00E40F31" w:rsidRDefault="006A3F84" w:rsidP="00E40F31">
      <w:pPr>
        <w:numPr>
          <w:ilvl w:val="0"/>
          <w:numId w:val="2"/>
        </w:numPr>
        <w:spacing w:after="240" w:line="360" w:lineRule="auto"/>
        <w:rPr>
          <w:rFonts w:ascii="Times New Roman" w:hAnsi="Times New Roman"/>
          <w:lang w:val="en-HK"/>
        </w:rPr>
      </w:pPr>
      <w:r w:rsidRPr="00E40F31">
        <w:rPr>
          <w:rFonts w:ascii="Times New Roman" w:hAnsi="Times New Roman"/>
          <w:b/>
          <w:bCs/>
          <w:lang w:val="en-HK"/>
        </w:rPr>
        <w:t>Terms of Use:</w:t>
      </w:r>
      <w:r w:rsidRPr="00E40F31">
        <w:rPr>
          <w:rFonts w:ascii="Times New Roman" w:hAnsi="Times New Roman"/>
          <w:lang w:val="en-HK"/>
        </w:rPr>
        <w:t xml:space="preserve"> The site’s ‘Terms of Use’ govern the process, stipulating that the fundraiser agrees to “use all Funds raised in a Successful Campaign to pay directly and solely for fees and/or costs associated with the Case as described on the Case Page” (p. 94). This ensures funds are earmarked exclusively for litigation expenses.</w:t>
      </w:r>
    </w:p>
    <w:p w14:paraId="0213C968" w14:textId="542C5090" w:rsidR="006A3F84" w:rsidRPr="00E40F31" w:rsidRDefault="006A3F84" w:rsidP="00E40F31">
      <w:pPr>
        <w:numPr>
          <w:ilvl w:val="0"/>
          <w:numId w:val="2"/>
        </w:numPr>
        <w:spacing w:after="240" w:line="360" w:lineRule="auto"/>
        <w:rPr>
          <w:rFonts w:ascii="Times New Roman" w:hAnsi="Times New Roman"/>
          <w:lang w:val="en-HK"/>
        </w:rPr>
      </w:pPr>
      <w:r w:rsidRPr="00E40F31">
        <w:rPr>
          <w:rFonts w:ascii="Times New Roman" w:hAnsi="Times New Roman"/>
          <w:b/>
          <w:bCs/>
          <w:lang w:val="en-HK"/>
        </w:rPr>
        <w:t>Fund Transfer:</w:t>
      </w:r>
      <w:r w:rsidRPr="00E40F31">
        <w:rPr>
          <w:rFonts w:ascii="Times New Roman" w:hAnsi="Times New Roman"/>
          <w:lang w:val="en-HK"/>
        </w:rPr>
        <w:t xml:space="preserve"> Donations are processed by a collection agent and typically transferred directly to the litigant’s solicitor or legal representative, as outlined: “Funds raised in a Successful Campaign will be transferred to the Case Owner’s solicitor or legal representative” (p. 94). Exceptions exist for organizations, charities, NGOs, or general legal projects not requiring representation, where funds go directly to the Case Owner, termed the ‘Recipient’ (p. 94).</w:t>
      </w:r>
    </w:p>
    <w:p w14:paraId="5BB0C52F" w14:textId="54419311" w:rsidR="006A3F84" w:rsidRPr="00E40F31" w:rsidRDefault="006A3F84" w:rsidP="00E40F31">
      <w:pPr>
        <w:numPr>
          <w:ilvl w:val="0"/>
          <w:numId w:val="2"/>
        </w:numPr>
        <w:spacing w:after="240" w:line="360" w:lineRule="auto"/>
        <w:rPr>
          <w:rFonts w:ascii="Times New Roman" w:hAnsi="Times New Roman"/>
          <w:lang w:val="en-HK"/>
        </w:rPr>
      </w:pPr>
      <w:r w:rsidRPr="00E40F31">
        <w:rPr>
          <w:rFonts w:ascii="Times New Roman" w:hAnsi="Times New Roman"/>
          <w:b/>
          <w:bCs/>
          <w:lang w:val="en-HK"/>
        </w:rPr>
        <w:t>Solicitor’s Role:</w:t>
      </w:r>
      <w:r w:rsidRPr="00E40F31">
        <w:rPr>
          <w:rFonts w:ascii="Times New Roman" w:hAnsi="Times New Roman"/>
          <w:lang w:val="en-HK"/>
        </w:rPr>
        <w:t xml:space="preserve"> Funds received by the solicitor are held in a client account, usually on trust. However, the solicitor has notice of the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terms, restricting use to litigation costs with surplus directed to similar causes, distinguishing this from a typical trust where the client is the outright beneficial owner (p. 95).</w:t>
      </w:r>
    </w:p>
    <w:p w14:paraId="60BC7553" w14:textId="2AD2B394" w:rsidR="006A3F84" w:rsidRPr="00E40F31" w:rsidRDefault="006A3F84" w:rsidP="00E40F31">
      <w:pPr>
        <w:numPr>
          <w:ilvl w:val="0"/>
          <w:numId w:val="2"/>
        </w:numPr>
        <w:spacing w:after="240" w:line="360" w:lineRule="auto"/>
        <w:rPr>
          <w:rFonts w:ascii="Times New Roman" w:hAnsi="Times New Roman"/>
          <w:lang w:val="en-HK"/>
        </w:rPr>
      </w:pPr>
      <w:r w:rsidRPr="00E40F31">
        <w:rPr>
          <w:rFonts w:ascii="Times New Roman" w:hAnsi="Times New Roman"/>
          <w:b/>
          <w:bCs/>
          <w:lang w:val="en-HK"/>
        </w:rPr>
        <w:t>Trust Classification:</w:t>
      </w:r>
      <w:r w:rsidRPr="00E40F31">
        <w:rPr>
          <w:rFonts w:ascii="Times New Roman" w:hAnsi="Times New Roman"/>
          <w:lang w:val="en-HK"/>
        </w:rPr>
        <w:t xml:space="preserve"> Wilde argues this is not a non-charitable purpose trust, which would be invalid, nor a </w:t>
      </w:r>
      <w:proofErr w:type="spellStart"/>
      <w:r w:rsidRPr="00E40F31">
        <w:rPr>
          <w:rFonts w:ascii="Times New Roman" w:hAnsi="Times New Roman"/>
          <w:lang w:val="en-HK"/>
        </w:rPr>
        <w:t>Quistclose</w:t>
      </w:r>
      <w:proofErr w:type="spellEnd"/>
      <w:r w:rsidRPr="00E40F31">
        <w:rPr>
          <w:rFonts w:ascii="Times New Roman" w:hAnsi="Times New Roman"/>
          <w:lang w:val="en-HK"/>
        </w:rPr>
        <w:t xml:space="preserve"> trust, as donors cannot reclaim funds (p. 95). Instead, it is a </w:t>
      </w:r>
      <w:r w:rsidRPr="00E40F31">
        <w:rPr>
          <w:rFonts w:ascii="Times New Roman" w:hAnsi="Times New Roman"/>
          <w:lang w:val="en-HK"/>
        </w:rPr>
        <w:lastRenderedPageBreak/>
        <w:t>beneficiary trust where the litigant is the beneficiary, benefited exclusively by payment of litigation costs (p. 95).</w:t>
      </w:r>
    </w:p>
    <w:p w14:paraId="15F01FAE" w14:textId="703FF3ED"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Legal Implications</w:t>
      </w:r>
    </w:p>
    <w:p w14:paraId="5D98F940" w14:textId="607DD005" w:rsidR="006A3F84" w:rsidRPr="00E40F31" w:rsidRDefault="006A3F84" w:rsidP="00E40F31">
      <w:pPr>
        <w:spacing w:after="240" w:line="360" w:lineRule="auto"/>
        <w:rPr>
          <w:rFonts w:ascii="Times New Roman" w:hAnsi="Times New Roman"/>
          <w:lang w:val="en-HK"/>
        </w:rPr>
      </w:pPr>
      <w:r w:rsidRPr="00E40F31">
        <w:rPr>
          <w:rFonts w:ascii="Times New Roman" w:hAnsi="Times New Roman"/>
          <w:lang w:val="en-HK"/>
        </w:rPr>
        <w:t>The arrangement deviates from traditional beneficiary trusts conferring equitable ownership, as the litigant’s benefit is limited to expenditure on costs (p. 96). Wilde supports this with his prior work: “a person can be a ‘beneficiary’ even if the terms of the trust do not confer a beneficial proprietary interest on them” (p. 96, quoting Wilde, ‘Trusts and Purposes’ (2023) 36 TLI 141, 165-66).</w:t>
      </w:r>
    </w:p>
    <w:p w14:paraId="509EFD3E" w14:textId="77777777" w:rsidR="006A3F84" w:rsidRPr="00E40F31" w:rsidRDefault="00EB59E0" w:rsidP="00E40F31">
      <w:pPr>
        <w:spacing w:after="240" w:line="360" w:lineRule="auto"/>
        <w:rPr>
          <w:rFonts w:ascii="Times New Roman" w:hAnsi="Times New Roman"/>
          <w:lang w:val="en-HK"/>
        </w:rPr>
      </w:pPr>
      <w:r w:rsidRPr="00EB59E0">
        <w:rPr>
          <w:rFonts w:ascii="Times New Roman" w:hAnsi="Times New Roman"/>
          <w:noProof/>
          <w:lang w:val="en-HK"/>
          <w14:ligatures w14:val="standardContextual"/>
        </w:rPr>
        <w:pict w14:anchorId="77061054">
          <v:rect id="_x0000_i1027" alt="" style="width:451.3pt;height:.05pt;mso-width-percent:0;mso-height-percent:0;mso-width-percent:0;mso-height-percent:0" o:hralign="center" o:hrstd="t" o:hr="t" fillcolor="#a0a0a0" stroked="f"/>
        </w:pict>
      </w:r>
    </w:p>
    <w:p w14:paraId="7E660A10" w14:textId="77777777" w:rsidR="006A3F84" w:rsidRPr="00E40F31" w:rsidRDefault="006A3F84" w:rsidP="00E40F31">
      <w:pPr>
        <w:spacing w:after="240" w:line="360" w:lineRule="auto"/>
        <w:outlineLvl w:val="2"/>
        <w:rPr>
          <w:rFonts w:ascii="Times New Roman" w:hAnsi="Times New Roman"/>
          <w:b/>
          <w:bCs/>
          <w:lang w:val="en-HK"/>
        </w:rPr>
      </w:pPr>
      <w:r w:rsidRPr="00E40F31">
        <w:rPr>
          <w:rFonts w:ascii="Times New Roman" w:hAnsi="Times New Roman"/>
          <w:b/>
          <w:bCs/>
          <w:lang w:val="en-HK"/>
        </w:rPr>
        <w:t>2. How Will the Surplus of the Crowdfunding Funds Get Handled</w:t>
      </w:r>
    </w:p>
    <w:p w14:paraId="2F6AEAE2" w14:textId="77777777" w:rsidR="00C75C05" w:rsidRPr="00E40F31" w:rsidRDefault="00C75C05" w:rsidP="00E40F31">
      <w:pPr>
        <w:pStyle w:val="Heading3"/>
        <w:spacing w:line="360" w:lineRule="auto"/>
        <w:rPr>
          <w:rFonts w:ascii="Times New Roman" w:eastAsia="Times New Roman" w:hAnsi="Times New Roman" w:cs="Times New Roman"/>
          <w:b/>
          <w:bCs/>
          <w:color w:val="auto"/>
          <w:sz w:val="24"/>
          <w:szCs w:val="24"/>
          <w:lang w:val="en-HK"/>
        </w:rPr>
      </w:pPr>
      <w:r w:rsidRPr="00E40F31">
        <w:rPr>
          <w:rFonts w:ascii="Times New Roman" w:hAnsi="Times New Roman"/>
          <w:b/>
          <w:bCs/>
          <w:sz w:val="24"/>
          <w:szCs w:val="24"/>
          <w:lang w:val="en-HK"/>
        </w:rPr>
        <w:t xml:space="preserve">Simple version: </w:t>
      </w:r>
      <w:r w:rsidRPr="00E40F31">
        <w:rPr>
          <w:rFonts w:ascii="Times New Roman" w:eastAsia="Times New Roman" w:hAnsi="Times New Roman" w:cs="Times New Roman"/>
          <w:b/>
          <w:bCs/>
          <w:color w:val="auto"/>
          <w:sz w:val="24"/>
          <w:szCs w:val="24"/>
          <w:lang w:val="en-HK"/>
        </w:rPr>
        <w:t>Where Will the Surplus Funds Go?</w:t>
      </w:r>
    </w:p>
    <w:p w14:paraId="25A34DCB" w14:textId="77777777" w:rsidR="00C75C05" w:rsidRPr="00C75C05" w:rsidRDefault="00C75C05" w:rsidP="00E40F31">
      <w:pPr>
        <w:spacing w:before="100" w:beforeAutospacing="1" w:after="100" w:afterAutospacing="1" w:line="360" w:lineRule="auto"/>
        <w:rPr>
          <w:rFonts w:ascii="Times New Roman" w:hAnsi="Times New Roman"/>
          <w:lang w:val="en-HK"/>
        </w:rPr>
      </w:pPr>
      <w:proofErr w:type="spellStart"/>
      <w:r w:rsidRPr="00C75C05">
        <w:rPr>
          <w:rFonts w:ascii="Times New Roman" w:hAnsi="Times New Roman"/>
          <w:b/>
          <w:bCs/>
          <w:lang w:val="en-HK"/>
        </w:rPr>
        <w:t>CrowdJustice</w:t>
      </w:r>
      <w:proofErr w:type="spellEnd"/>
    </w:p>
    <w:p w14:paraId="74BFA275" w14:textId="77777777" w:rsidR="00C75C05" w:rsidRPr="00C75C05" w:rsidRDefault="00C75C05" w:rsidP="00E40F31">
      <w:pPr>
        <w:spacing w:before="100" w:beforeAutospacing="1" w:after="100" w:afterAutospacing="1" w:line="360" w:lineRule="auto"/>
        <w:rPr>
          <w:rFonts w:ascii="Times New Roman" w:hAnsi="Times New Roman"/>
          <w:lang w:val="en-HK"/>
        </w:rPr>
      </w:pPr>
      <w:r w:rsidRPr="00C75C05">
        <w:rPr>
          <w:rFonts w:ascii="Times New Roman" w:hAnsi="Times New Roman"/>
          <w:b/>
          <w:bCs/>
          <w:lang w:val="en-HK"/>
        </w:rPr>
        <w:t>Simple Answer:</w:t>
      </w:r>
      <w:r w:rsidRPr="00C75C05">
        <w:rPr>
          <w:rFonts w:ascii="Times New Roman" w:hAnsi="Times New Roman"/>
          <w:lang w:val="en-HK"/>
        </w:rPr>
        <w:t xml:space="preserve"> Any extra money left after paying litigation costs goes to “similar causes,” not back to the donors or the person who raised the funds.</w:t>
      </w:r>
    </w:p>
    <w:p w14:paraId="7DC22B0E" w14:textId="77777777" w:rsidR="00C75C05" w:rsidRPr="00C75C05" w:rsidRDefault="00C75C05" w:rsidP="00E40F31">
      <w:pPr>
        <w:spacing w:before="100" w:beforeAutospacing="1" w:after="100" w:afterAutospacing="1" w:line="360" w:lineRule="auto"/>
        <w:rPr>
          <w:rFonts w:ascii="Times New Roman" w:hAnsi="Times New Roman"/>
          <w:lang w:val="en-HK"/>
        </w:rPr>
      </w:pPr>
      <w:r w:rsidRPr="00C75C05">
        <w:rPr>
          <w:rFonts w:ascii="Times New Roman" w:hAnsi="Times New Roman"/>
          <w:b/>
          <w:bCs/>
          <w:lang w:val="en-HK"/>
        </w:rPr>
        <w:t>How It Works:</w:t>
      </w:r>
      <w:r w:rsidRPr="00C75C05">
        <w:rPr>
          <w:rFonts w:ascii="Times New Roman" w:hAnsi="Times New Roman"/>
          <w:lang w:val="en-HK"/>
        </w:rPr>
        <w:t xml:space="preserve"> </w:t>
      </w:r>
    </w:p>
    <w:p w14:paraId="55F0697F" w14:textId="3C218554" w:rsidR="00C75C05" w:rsidRPr="00C75C05" w:rsidRDefault="00C75C05" w:rsidP="00E40F31">
      <w:pPr>
        <w:numPr>
          <w:ilvl w:val="1"/>
          <w:numId w:val="14"/>
        </w:numPr>
        <w:spacing w:before="100" w:beforeAutospacing="1" w:after="100" w:afterAutospacing="1" w:line="360" w:lineRule="auto"/>
        <w:rPr>
          <w:rFonts w:ascii="Times New Roman" w:hAnsi="Times New Roman"/>
          <w:lang w:val="en-HK"/>
        </w:rPr>
      </w:pPr>
      <w:r w:rsidRPr="00C75C05">
        <w:rPr>
          <w:rFonts w:ascii="Times New Roman" w:hAnsi="Times New Roman"/>
          <w:lang w:val="en-HK"/>
        </w:rPr>
        <w:t xml:space="preserve">The rules of </w:t>
      </w:r>
      <w:proofErr w:type="spellStart"/>
      <w:r w:rsidRPr="00C75C05">
        <w:rPr>
          <w:rFonts w:ascii="Times New Roman" w:hAnsi="Times New Roman"/>
          <w:lang w:val="en-HK"/>
        </w:rPr>
        <w:t>CrowdJustice</w:t>
      </w:r>
      <w:proofErr w:type="spellEnd"/>
      <w:r w:rsidRPr="00C75C05">
        <w:rPr>
          <w:rFonts w:ascii="Times New Roman" w:hAnsi="Times New Roman"/>
          <w:lang w:val="en-HK"/>
        </w:rPr>
        <w:t xml:space="preserve"> say the fundraiser must tell the site about any unused funds and send them back to </w:t>
      </w:r>
      <w:proofErr w:type="spellStart"/>
      <w:r w:rsidRPr="00C75C05">
        <w:rPr>
          <w:rFonts w:ascii="Times New Roman" w:hAnsi="Times New Roman"/>
          <w:lang w:val="en-HK"/>
        </w:rPr>
        <w:t>CrowdJustice</w:t>
      </w:r>
      <w:proofErr w:type="spellEnd"/>
      <w:r w:rsidRPr="00C75C05">
        <w:rPr>
          <w:rFonts w:ascii="Times New Roman" w:hAnsi="Times New Roman"/>
          <w:lang w:val="en-HK"/>
        </w:rPr>
        <w:t xml:space="preserve"> (p. 94).</w:t>
      </w:r>
    </w:p>
    <w:p w14:paraId="001E0EDE" w14:textId="3BDEEA6A" w:rsidR="00C75C05" w:rsidRPr="00C75C05" w:rsidRDefault="00C75C05" w:rsidP="00E40F31">
      <w:pPr>
        <w:numPr>
          <w:ilvl w:val="1"/>
          <w:numId w:val="14"/>
        </w:numPr>
        <w:spacing w:before="100" w:beforeAutospacing="1" w:after="100" w:afterAutospacing="1" w:line="360" w:lineRule="auto"/>
        <w:rPr>
          <w:rFonts w:ascii="Times New Roman" w:hAnsi="Times New Roman"/>
          <w:lang w:val="en-HK"/>
        </w:rPr>
      </w:pPr>
      <w:r w:rsidRPr="00C75C05">
        <w:rPr>
          <w:rFonts w:ascii="Times New Roman" w:hAnsi="Times New Roman"/>
          <w:lang w:val="en-HK"/>
        </w:rPr>
        <w:t xml:space="preserve">These funds don’t actually belong to </w:t>
      </w:r>
      <w:proofErr w:type="spellStart"/>
      <w:r w:rsidRPr="00C75C05">
        <w:rPr>
          <w:rFonts w:ascii="Times New Roman" w:hAnsi="Times New Roman"/>
          <w:lang w:val="en-HK"/>
        </w:rPr>
        <w:t>CrowdJustice</w:t>
      </w:r>
      <w:proofErr w:type="spellEnd"/>
      <w:r w:rsidRPr="00C75C05">
        <w:rPr>
          <w:rFonts w:ascii="Times New Roman" w:hAnsi="Times New Roman"/>
          <w:lang w:val="en-HK"/>
        </w:rPr>
        <w:t>—they’re just handled by it—and the site makes sure they’re used for causes like the original case, such as other legal projects (p. 95).</w:t>
      </w:r>
    </w:p>
    <w:p w14:paraId="4AB87B3E" w14:textId="5B411D01" w:rsidR="00C75C05" w:rsidRPr="00C75C05" w:rsidRDefault="00C75C05" w:rsidP="00E40F31">
      <w:pPr>
        <w:numPr>
          <w:ilvl w:val="1"/>
          <w:numId w:val="14"/>
        </w:numPr>
        <w:spacing w:before="100" w:beforeAutospacing="1" w:after="100" w:afterAutospacing="1" w:line="360" w:lineRule="auto"/>
        <w:rPr>
          <w:rFonts w:ascii="Times New Roman" w:hAnsi="Times New Roman"/>
          <w:lang w:val="en-HK"/>
        </w:rPr>
      </w:pPr>
      <w:r w:rsidRPr="00C75C05">
        <w:rPr>
          <w:rFonts w:ascii="Times New Roman" w:hAnsi="Times New Roman"/>
          <w:lang w:val="en-HK"/>
        </w:rPr>
        <w:t xml:space="preserve">The lawyer holding the money can’t give it to the fundraiser or the donors; it has to follow the </w:t>
      </w:r>
      <w:proofErr w:type="spellStart"/>
      <w:r w:rsidRPr="00C75C05">
        <w:rPr>
          <w:rFonts w:ascii="Times New Roman" w:hAnsi="Times New Roman"/>
          <w:lang w:val="en-HK"/>
        </w:rPr>
        <w:t>CrowdJustice</w:t>
      </w:r>
      <w:proofErr w:type="spellEnd"/>
      <w:r w:rsidRPr="00C75C05">
        <w:rPr>
          <w:rFonts w:ascii="Times New Roman" w:hAnsi="Times New Roman"/>
          <w:lang w:val="en-HK"/>
        </w:rPr>
        <w:t xml:space="preserve"> plan (p. 95).</w:t>
      </w:r>
    </w:p>
    <w:p w14:paraId="225CE8A5" w14:textId="77777777" w:rsidR="00C75C05" w:rsidRPr="00C75C05" w:rsidRDefault="00C75C05" w:rsidP="00E40F31">
      <w:pPr>
        <w:spacing w:before="100" w:beforeAutospacing="1" w:after="100" w:afterAutospacing="1" w:line="360" w:lineRule="auto"/>
        <w:rPr>
          <w:rFonts w:ascii="Times New Roman" w:hAnsi="Times New Roman"/>
          <w:lang w:val="en-HK"/>
        </w:rPr>
      </w:pPr>
      <w:r w:rsidRPr="00C75C05">
        <w:rPr>
          <w:rFonts w:ascii="Times New Roman" w:hAnsi="Times New Roman"/>
          <w:b/>
          <w:bCs/>
          <w:lang w:val="en-HK"/>
        </w:rPr>
        <w:t>Other Crowdfunding Platforms (e.g., GoFundMe)</w:t>
      </w:r>
    </w:p>
    <w:p w14:paraId="3242A2D8" w14:textId="77777777" w:rsidR="00C75C05" w:rsidRPr="00C75C05" w:rsidRDefault="00C75C05" w:rsidP="00E40F31">
      <w:pPr>
        <w:spacing w:before="100" w:beforeAutospacing="1" w:after="100" w:afterAutospacing="1" w:line="360" w:lineRule="auto"/>
        <w:rPr>
          <w:rFonts w:ascii="Times New Roman" w:hAnsi="Times New Roman"/>
          <w:lang w:val="en-HK"/>
        </w:rPr>
      </w:pPr>
      <w:r w:rsidRPr="00C75C05">
        <w:rPr>
          <w:rFonts w:ascii="Times New Roman" w:hAnsi="Times New Roman"/>
          <w:b/>
          <w:bCs/>
          <w:lang w:val="en-HK"/>
        </w:rPr>
        <w:t>Simple Answer:</w:t>
      </w:r>
      <w:r w:rsidRPr="00C75C05">
        <w:rPr>
          <w:rFonts w:ascii="Times New Roman" w:hAnsi="Times New Roman"/>
          <w:lang w:val="en-HK"/>
        </w:rPr>
        <w:t xml:space="preserve"> It depends on how the funds are set up, but usually, if the person raising money gets it directly, they keep any extra unless they promise otherwise.</w:t>
      </w:r>
    </w:p>
    <w:p w14:paraId="33B6356B" w14:textId="77777777" w:rsidR="00C75C05" w:rsidRPr="00C75C05" w:rsidRDefault="00C75C05" w:rsidP="00E40F31">
      <w:pPr>
        <w:spacing w:before="100" w:beforeAutospacing="1" w:after="100" w:afterAutospacing="1" w:line="360" w:lineRule="auto"/>
        <w:rPr>
          <w:rFonts w:ascii="Times New Roman" w:hAnsi="Times New Roman"/>
          <w:lang w:val="en-HK"/>
        </w:rPr>
      </w:pPr>
      <w:r w:rsidRPr="00C75C05">
        <w:rPr>
          <w:rFonts w:ascii="Times New Roman" w:hAnsi="Times New Roman"/>
          <w:b/>
          <w:bCs/>
          <w:lang w:val="en-HK"/>
        </w:rPr>
        <w:t>How It Works:</w:t>
      </w:r>
      <w:r w:rsidRPr="00C75C05">
        <w:rPr>
          <w:rFonts w:ascii="Times New Roman" w:hAnsi="Times New Roman"/>
          <w:lang w:val="en-HK"/>
        </w:rPr>
        <w:t xml:space="preserve"> </w:t>
      </w:r>
    </w:p>
    <w:p w14:paraId="68F56831" w14:textId="72873E51" w:rsidR="00C75C05" w:rsidRPr="00E40F31" w:rsidRDefault="00C75C05" w:rsidP="00E40F31">
      <w:pPr>
        <w:numPr>
          <w:ilvl w:val="1"/>
          <w:numId w:val="15"/>
        </w:numPr>
        <w:spacing w:before="100" w:beforeAutospacing="1" w:after="100" w:afterAutospacing="1" w:line="360" w:lineRule="auto"/>
        <w:rPr>
          <w:rFonts w:ascii="Times New Roman" w:hAnsi="Times New Roman"/>
          <w:lang w:val="en-HK"/>
        </w:rPr>
      </w:pPr>
      <w:r w:rsidRPr="00C75C05">
        <w:rPr>
          <w:rFonts w:ascii="Times New Roman" w:hAnsi="Times New Roman"/>
          <w:b/>
          <w:bCs/>
          <w:lang w:val="en-HK"/>
        </w:rPr>
        <w:lastRenderedPageBreak/>
        <w:t>If the Fundraiser Gets the Money Directly:</w:t>
      </w:r>
      <w:r w:rsidRPr="00C75C05">
        <w:rPr>
          <w:rFonts w:ascii="Times New Roman" w:hAnsi="Times New Roman"/>
          <w:lang w:val="en-HK"/>
        </w:rPr>
        <w:t xml:space="preserve"> When someone uses GoFundMe and the cash goes straight to them, </w:t>
      </w:r>
      <w:r w:rsidRPr="00C75C05">
        <w:rPr>
          <w:rFonts w:ascii="Times New Roman" w:hAnsi="Times New Roman"/>
          <w:b/>
          <w:bCs/>
          <w:color w:val="FF0000"/>
          <w:lang w:val="en-HK"/>
        </w:rPr>
        <w:t>there’s no trust involved because one person can’t be both the giver and receiver of a trust (p. 98).</w:t>
      </w:r>
      <w:r w:rsidRPr="00C75C05">
        <w:rPr>
          <w:rFonts w:ascii="Times New Roman" w:hAnsi="Times New Roman"/>
          <w:color w:val="FF0000"/>
          <w:lang w:val="en-HK"/>
        </w:rPr>
        <w:t xml:space="preserve"> </w:t>
      </w:r>
      <w:r w:rsidRPr="00C75C05">
        <w:rPr>
          <w:rFonts w:ascii="Times New Roman" w:hAnsi="Times New Roman"/>
          <w:lang w:val="en-HK"/>
        </w:rPr>
        <w:t>The fundraiser keeps any surplus unless donors take legal action to get it back, but that’s not automatic (p. 98).</w:t>
      </w:r>
    </w:p>
    <w:p w14:paraId="279F1B4A" w14:textId="77777777" w:rsidR="00E40F31" w:rsidRPr="00E40F31" w:rsidRDefault="00E40F31" w:rsidP="00E40F31">
      <w:pPr>
        <w:pStyle w:val="Heading3"/>
        <w:spacing w:line="360" w:lineRule="auto"/>
        <w:rPr>
          <w:rFonts w:ascii="Times New Roman" w:hAnsi="Times New Roman"/>
          <w:sz w:val="24"/>
          <w:szCs w:val="24"/>
          <w:lang w:val="en-HK"/>
        </w:rPr>
      </w:pPr>
      <w:r w:rsidRPr="00E40F31">
        <w:rPr>
          <w:rFonts w:ascii="Times New Roman" w:hAnsi="Times New Roman"/>
          <w:b/>
          <w:bCs/>
          <w:sz w:val="24"/>
          <w:szCs w:val="24"/>
          <w:lang w:val="en-HK"/>
        </w:rPr>
        <w:t>[Extra:</w:t>
      </w:r>
      <w:r w:rsidRPr="00E40F31">
        <w:rPr>
          <w:rFonts w:ascii="Times New Roman" w:hAnsi="Times New Roman"/>
          <w:sz w:val="24"/>
          <w:szCs w:val="24"/>
          <w:lang w:val="en-HK"/>
        </w:rPr>
        <w:t xml:space="preserve"> </w:t>
      </w:r>
      <w:r w:rsidRPr="00E40F31">
        <w:rPr>
          <w:sz w:val="24"/>
          <w:szCs w:val="24"/>
        </w:rPr>
        <w:t>Legal Actions Donors Can Take on GoFundMe When No Trust Exists</w:t>
      </w:r>
    </w:p>
    <w:p w14:paraId="36CEFF78" w14:textId="6A415948" w:rsidR="00E40F31" w:rsidRPr="00E40F31" w:rsidRDefault="00E40F31" w:rsidP="00E40F31">
      <w:pPr>
        <w:spacing w:line="360" w:lineRule="auto"/>
      </w:pPr>
      <w:r w:rsidRPr="00E40F31">
        <w:br/>
      </w:r>
      <w:r w:rsidRPr="00E40F31">
        <w:rPr>
          <w:rStyle w:val="Strong"/>
          <w:rFonts w:eastAsiaTheme="majorEastAsia"/>
        </w:rPr>
        <w:t>Context of No Trust Formation</w:t>
      </w:r>
    </w:p>
    <w:p w14:paraId="0707D98E" w14:textId="5828F198" w:rsidR="00E40F31" w:rsidRPr="00E40F31" w:rsidRDefault="00E40F31" w:rsidP="00E40F31">
      <w:pPr>
        <w:pStyle w:val="break-words"/>
        <w:spacing w:line="360" w:lineRule="auto"/>
      </w:pPr>
      <w:r w:rsidRPr="00E40F31">
        <w:t>Wilde notes that when a litigant uses a platform like GoFundMe to crowdfund litigation costs and receives the funds “directly into their own hands,” no trust arises because “a person cannot be both sole trustee and sole beneficiary of a trust” (p. 98). This scenario occurs in the default case where the fundraiser solicits and retains the donations without designating a separate trustee or beneficiary. Consequently, the legal relationship between the donor and fundraiser lacks the fiduciary obligations inherent in a trust, leaving surplus handling dependent on alternative legal mechanisms.</w:t>
      </w:r>
    </w:p>
    <w:p w14:paraId="5331C3FF" w14:textId="77777777" w:rsidR="00E40F31" w:rsidRPr="00E40F31" w:rsidRDefault="00E40F31" w:rsidP="00E40F31">
      <w:pPr>
        <w:pStyle w:val="break-words"/>
        <w:spacing w:line="360" w:lineRule="auto"/>
      </w:pPr>
      <w:r w:rsidRPr="00E40F31">
        <w:rPr>
          <w:rStyle w:val="Strong"/>
          <w:rFonts w:eastAsiaTheme="majorEastAsia"/>
        </w:rPr>
        <w:t>Statement on Potential Legal Actions</w:t>
      </w:r>
    </w:p>
    <w:p w14:paraId="0AE45B45" w14:textId="35C93B8C" w:rsidR="00E40F31" w:rsidRPr="00E40F31" w:rsidRDefault="00E40F31" w:rsidP="00E40F31">
      <w:pPr>
        <w:pStyle w:val="break-words"/>
        <w:spacing w:line="360" w:lineRule="auto"/>
      </w:pPr>
      <w:r w:rsidRPr="00E40F31">
        <w:t>The document briefly mentions possible recourse: “whatever civil redress or criminal sanctions there may be for a failure by such a fundraiser to apply the money as represented, exclusively for litigation costs, this situation cannot involve a trust” (p. 98). This suggests donors have options outside trust law to address misuse or retention of surplus funds, though specific remedies are not detailed. The analysis below interprets this within the document’s framework, focusing on civil and criminal avenues implied by Wilde’s reference.</w:t>
      </w:r>
    </w:p>
    <w:p w14:paraId="758E2959" w14:textId="77777777" w:rsidR="00E40F31" w:rsidRPr="00E40F31" w:rsidRDefault="00E40F31" w:rsidP="00E40F31">
      <w:pPr>
        <w:pStyle w:val="break-words"/>
        <w:spacing w:line="360" w:lineRule="auto"/>
      </w:pPr>
      <w:r w:rsidRPr="00E40F31">
        <w:rPr>
          <w:rStyle w:val="Strong"/>
          <w:rFonts w:eastAsiaTheme="majorEastAsia"/>
        </w:rPr>
        <w:t>Civil Redress Options</w:t>
      </w:r>
    </w:p>
    <w:p w14:paraId="35008104" w14:textId="29F2FC37" w:rsidR="00E40F31" w:rsidRPr="00E40F31" w:rsidRDefault="00E40F31" w:rsidP="00E40F31">
      <w:pPr>
        <w:pStyle w:val="break-words"/>
        <w:spacing w:line="360" w:lineRule="auto"/>
      </w:pPr>
      <w:r w:rsidRPr="00E40F31">
        <w:rPr>
          <w:rStyle w:val="Strong"/>
          <w:rFonts w:eastAsiaTheme="majorEastAsia"/>
        </w:rPr>
        <w:t>1. Breach of Contract:</w:t>
      </w:r>
      <w:r w:rsidRPr="00E40F31">
        <w:t xml:space="preserve"> </w:t>
      </w:r>
    </w:p>
    <w:p w14:paraId="6F624DF8" w14:textId="77777777" w:rsidR="00E40F31" w:rsidRPr="00E40F31" w:rsidRDefault="00E40F31" w:rsidP="00E40F31">
      <w:pPr>
        <w:pStyle w:val="break-words"/>
        <w:spacing w:line="360" w:lineRule="auto"/>
      </w:pPr>
      <w:r w:rsidRPr="00E40F31">
        <w:rPr>
          <w:rStyle w:val="Emphasis"/>
          <w:rFonts w:eastAsiaTheme="majorEastAsia"/>
        </w:rPr>
        <w:t>Basis:</w:t>
      </w:r>
      <w:r w:rsidRPr="00E40F31">
        <w:t xml:space="preserve"> When donors contribute to a GoFundMe campaign, their donation is typically made in response to the fundraiser’s representation (e.g., on the campaign page) that funds will be used “exclusively for litigation costs” (p. 98). This representation could form the basis of a contractual agreement, where the donor’s payment is consideration for the fundraiser’s promise to apply the funds as stated.</w:t>
      </w:r>
    </w:p>
    <w:p w14:paraId="63BB2439" w14:textId="77777777" w:rsidR="00E40F31" w:rsidRPr="00E40F31" w:rsidRDefault="00E40F31" w:rsidP="00E40F31">
      <w:pPr>
        <w:pStyle w:val="break-words"/>
        <w:spacing w:line="360" w:lineRule="auto"/>
      </w:pPr>
      <w:r w:rsidRPr="00E40F31">
        <w:rPr>
          <w:rStyle w:val="Emphasis"/>
          <w:rFonts w:eastAsiaTheme="majorEastAsia"/>
        </w:rPr>
        <w:lastRenderedPageBreak/>
        <w:t>Action:</w:t>
      </w:r>
      <w:r w:rsidRPr="00E40F31">
        <w:t xml:space="preserve"> If the fundraiser retains surplus funds or uses them for other purposes, donors could sue for breach of contract. They might seek damages equivalent to their donation or an injunction to compel proper use, though Wilde does not specify remedies, leaving this as a plausible extrapolation from “civil redress” (p. 98).</w:t>
      </w:r>
    </w:p>
    <w:p w14:paraId="75925E61" w14:textId="77777777" w:rsidR="00E40F31" w:rsidRPr="00E40F31" w:rsidRDefault="00E40F31" w:rsidP="00E40F31">
      <w:pPr>
        <w:pStyle w:val="break-words"/>
        <w:spacing w:line="360" w:lineRule="auto"/>
      </w:pPr>
      <w:r w:rsidRPr="00E40F31">
        <w:rPr>
          <w:rStyle w:val="Emphasis"/>
          <w:rFonts w:eastAsiaTheme="majorEastAsia"/>
        </w:rPr>
        <w:t>Explanation:</w:t>
      </w:r>
      <w:r w:rsidRPr="00E40F31">
        <w:t xml:space="preserve"> Without a trust, the funds become the fundraiser’s property upon receipt, but a contractual duty to use them as promised could still bind the fundraiser legally, enforceable through civil courts.</w:t>
      </w:r>
    </w:p>
    <w:p w14:paraId="2DC83ADA" w14:textId="1F60DE52" w:rsidR="00E40F31" w:rsidRPr="00E40F31" w:rsidRDefault="00E40F31" w:rsidP="00E40F31">
      <w:pPr>
        <w:pStyle w:val="break-words"/>
        <w:spacing w:line="360" w:lineRule="auto"/>
      </w:pPr>
      <w:r w:rsidRPr="00E40F31">
        <w:t xml:space="preserve">2. </w:t>
      </w:r>
      <w:r w:rsidRPr="00E40F31">
        <w:rPr>
          <w:rStyle w:val="Strong"/>
          <w:rFonts w:eastAsiaTheme="majorEastAsia"/>
        </w:rPr>
        <w:t>Misrepresentation:</w:t>
      </w:r>
      <w:r w:rsidRPr="00E40F31">
        <w:t xml:space="preserve"> </w:t>
      </w:r>
    </w:p>
    <w:p w14:paraId="75867803" w14:textId="77777777" w:rsidR="00E40F31" w:rsidRPr="00E40F31" w:rsidRDefault="00E40F31" w:rsidP="00E40F31">
      <w:pPr>
        <w:pStyle w:val="break-words"/>
        <w:spacing w:line="360" w:lineRule="auto"/>
      </w:pPr>
      <w:r w:rsidRPr="00E40F31">
        <w:rPr>
          <w:rStyle w:val="Emphasis"/>
          <w:rFonts w:eastAsiaTheme="majorEastAsia"/>
        </w:rPr>
        <w:t>Basis:</w:t>
      </w:r>
      <w:r w:rsidRPr="00E40F31">
        <w:t xml:space="preserve"> If the fundraiser misrepresents the intended use—e.g., claiming all funds will cover litigation costs but intending to keep surplus—donors could claim fraudulent or negligent misrepresentation. This hinges on the fundraiser’s statements being false and inducing the donation.</w:t>
      </w:r>
    </w:p>
    <w:p w14:paraId="00DA8936" w14:textId="77777777" w:rsidR="00E40F31" w:rsidRPr="00E40F31" w:rsidRDefault="00E40F31" w:rsidP="00E40F31">
      <w:pPr>
        <w:pStyle w:val="break-words"/>
        <w:spacing w:line="360" w:lineRule="auto"/>
      </w:pPr>
      <w:r w:rsidRPr="00E40F31">
        <w:rPr>
          <w:rStyle w:val="Emphasis"/>
          <w:rFonts w:eastAsiaTheme="majorEastAsia"/>
        </w:rPr>
        <w:t>Action:</w:t>
      </w:r>
      <w:r w:rsidRPr="00E40F31">
        <w:t xml:space="preserve"> Donors might seek rescission (return of their money) or damages for losses incurred, relying on common law principles implied by Wilde’s mention of “civil redress” (p. 98). No specific cases are cited, but this aligns with general legal remedies for deceit or misstatement.</w:t>
      </w:r>
    </w:p>
    <w:p w14:paraId="3F7DF148" w14:textId="77777777" w:rsidR="00E40F31" w:rsidRPr="00E40F31" w:rsidRDefault="00E40F31" w:rsidP="00E40F31">
      <w:pPr>
        <w:pStyle w:val="break-words"/>
        <w:spacing w:line="360" w:lineRule="auto"/>
      </w:pPr>
      <w:r w:rsidRPr="00E40F31">
        <w:rPr>
          <w:rStyle w:val="Emphasis"/>
          <w:rFonts w:eastAsiaTheme="majorEastAsia"/>
        </w:rPr>
        <w:t>Explanation:</w:t>
      </w:r>
      <w:r w:rsidRPr="00E40F31">
        <w:t xml:space="preserve"> The absence of a trust shifts reliance to the fundraiser’s representations, making misrepresentation a viable claim if intent or negligence is proven, though evidentiary challenges (e.g., proving intent) may arise.</w:t>
      </w:r>
    </w:p>
    <w:p w14:paraId="00D1FB41" w14:textId="18305CED" w:rsidR="00E40F31" w:rsidRPr="00E40F31" w:rsidRDefault="00E40F31" w:rsidP="00E40F31">
      <w:pPr>
        <w:pStyle w:val="break-words"/>
        <w:spacing w:line="360" w:lineRule="auto"/>
      </w:pPr>
      <w:r w:rsidRPr="00E40F31">
        <w:t xml:space="preserve">3. </w:t>
      </w:r>
      <w:r w:rsidRPr="00E40F31">
        <w:rPr>
          <w:rStyle w:val="Strong"/>
          <w:rFonts w:eastAsiaTheme="majorEastAsia"/>
        </w:rPr>
        <w:t>Unjust Enrichment:</w:t>
      </w:r>
      <w:r w:rsidR="00B16E97">
        <w:rPr>
          <w:rStyle w:val="FootnoteReference"/>
          <w:rFonts w:eastAsiaTheme="majorEastAsia"/>
          <w:b/>
          <w:bCs/>
        </w:rPr>
        <w:footnoteReference w:id="1"/>
      </w:r>
    </w:p>
    <w:p w14:paraId="12A0A7CF" w14:textId="77777777" w:rsidR="00E40F31" w:rsidRPr="00E40F31" w:rsidRDefault="00E40F31" w:rsidP="00E40F31">
      <w:pPr>
        <w:pStyle w:val="break-words"/>
        <w:spacing w:line="360" w:lineRule="auto"/>
      </w:pPr>
      <w:r w:rsidRPr="00E40F31">
        <w:rPr>
          <w:rStyle w:val="Emphasis"/>
          <w:rFonts w:eastAsiaTheme="majorEastAsia"/>
        </w:rPr>
        <w:t>Basis:</w:t>
      </w:r>
      <w:r w:rsidRPr="00E40F31">
        <w:t xml:space="preserve"> If the fundraiser keeps surplus funds without applying them to litigation costs, donors could argue the fundraiser has been unjustly enriched at their expense, as the funds were given for a specific purpose that was not fully met.</w:t>
      </w:r>
    </w:p>
    <w:p w14:paraId="4EA0E02C" w14:textId="77777777" w:rsidR="00E40F31" w:rsidRPr="00E40F31" w:rsidRDefault="00E40F31" w:rsidP="00E40F31">
      <w:pPr>
        <w:pStyle w:val="break-words"/>
        <w:spacing w:line="360" w:lineRule="auto"/>
      </w:pPr>
      <w:r w:rsidRPr="00E40F31">
        <w:rPr>
          <w:rStyle w:val="Emphasis"/>
          <w:rFonts w:eastAsiaTheme="majorEastAsia"/>
        </w:rPr>
        <w:lastRenderedPageBreak/>
        <w:t>Action:</w:t>
      </w:r>
      <w:r w:rsidRPr="00E40F31">
        <w:t xml:space="preserve"> A restitution claim could seek recovery of the donation or surplus portion, aiming to reverse the unjust benefit. This fits within “civil redress” (p. 98) as a non-trust remedy, though Wilde does not explicitly mention it.</w:t>
      </w:r>
    </w:p>
    <w:p w14:paraId="3FF8F5B8" w14:textId="130C9DBC" w:rsidR="00E40F31" w:rsidRPr="00E40F31" w:rsidRDefault="00E40F31" w:rsidP="00E40F31">
      <w:pPr>
        <w:pStyle w:val="break-words"/>
        <w:spacing w:line="360" w:lineRule="auto"/>
      </w:pPr>
      <w:r w:rsidRPr="00E40F31">
        <w:rPr>
          <w:rStyle w:val="Emphasis"/>
          <w:rFonts w:eastAsiaTheme="majorEastAsia"/>
        </w:rPr>
        <w:t>Explanation:</w:t>
      </w:r>
      <w:r w:rsidRPr="00E40F31">
        <w:t xml:space="preserve"> Without a trust’s proprietary protection, unjust enrichment offers a remedy based on fairness, requiring donors to show the fundraiser’s retention lacks legal justification.</w:t>
      </w:r>
    </w:p>
    <w:p w14:paraId="4CF76511" w14:textId="77777777" w:rsidR="00E40F31" w:rsidRPr="00E40F31" w:rsidRDefault="00E40F31" w:rsidP="00E40F31">
      <w:pPr>
        <w:pStyle w:val="break-words"/>
        <w:spacing w:line="360" w:lineRule="auto"/>
      </w:pPr>
      <w:r w:rsidRPr="00E40F31">
        <w:rPr>
          <w:rStyle w:val="Strong"/>
          <w:rFonts w:eastAsiaTheme="majorEastAsia"/>
        </w:rPr>
        <w:t>Criminal Sanctions</w:t>
      </w:r>
    </w:p>
    <w:p w14:paraId="27034CDA" w14:textId="1F518271" w:rsidR="00E40F31" w:rsidRPr="00E40F31" w:rsidRDefault="00E40F31" w:rsidP="00E40F31">
      <w:pPr>
        <w:pStyle w:val="break-words"/>
        <w:spacing w:line="360" w:lineRule="auto"/>
      </w:pPr>
      <w:r w:rsidRPr="00E40F31">
        <w:rPr>
          <w:rStyle w:val="Strong"/>
          <w:rFonts w:eastAsiaTheme="majorEastAsia"/>
        </w:rPr>
        <w:t>1. Fraud or Theft:</w:t>
      </w:r>
      <w:r w:rsidRPr="00E40F31">
        <w:t xml:space="preserve"> </w:t>
      </w:r>
    </w:p>
    <w:p w14:paraId="44A810B3" w14:textId="77777777" w:rsidR="00E40F31" w:rsidRPr="00E40F31" w:rsidRDefault="00E40F31" w:rsidP="00E40F31">
      <w:pPr>
        <w:pStyle w:val="break-words"/>
        <w:spacing w:line="360" w:lineRule="auto"/>
      </w:pPr>
      <w:r w:rsidRPr="00E40F31">
        <w:rPr>
          <w:rStyle w:val="Emphasis"/>
          <w:rFonts w:eastAsiaTheme="majorEastAsia"/>
        </w:rPr>
        <w:t>Basis:</w:t>
      </w:r>
      <w:r w:rsidRPr="00E40F31">
        <w:t xml:space="preserve"> If the fundraiser solicits funds with no intention of using them for litigation costs—or diverts surplus knowingly against donor expectations—this could constitute fraud (e.g., under the Fraud Act 2006 in the UK, though not cited) or theft (e.g., Theft Act 1968). Wilde’s reference to “criminal sanctions” (p. 98) implies such possibilities where intent to deceive is present.</w:t>
      </w:r>
    </w:p>
    <w:p w14:paraId="48FAF5C7" w14:textId="77777777" w:rsidR="00E40F31" w:rsidRPr="00E40F31" w:rsidRDefault="00E40F31" w:rsidP="00E40F31">
      <w:pPr>
        <w:pStyle w:val="break-words"/>
        <w:spacing w:line="360" w:lineRule="auto"/>
      </w:pPr>
      <w:r w:rsidRPr="00E40F31">
        <w:rPr>
          <w:rStyle w:val="Emphasis"/>
          <w:rFonts w:eastAsiaTheme="majorEastAsia"/>
        </w:rPr>
        <w:t>Action:</w:t>
      </w:r>
      <w:r w:rsidRPr="00E40F31">
        <w:t xml:space="preserve"> Donors could report the fundraiser to authorities, potentially leading to prosecution. A conviction might result in penalties (fines, imprisonment) and, indirectly, restitution orders returning funds, though this depends on criminal justice processes rather than donor-initiated action.</w:t>
      </w:r>
    </w:p>
    <w:p w14:paraId="046340A9" w14:textId="523490E0" w:rsidR="00E40F31" w:rsidRPr="00E40F31" w:rsidRDefault="00E40F31" w:rsidP="00E40F31">
      <w:pPr>
        <w:pStyle w:val="break-words"/>
        <w:spacing w:line="360" w:lineRule="auto"/>
      </w:pPr>
      <w:r w:rsidRPr="00E40F31">
        <w:rPr>
          <w:rStyle w:val="Emphasis"/>
          <w:rFonts w:eastAsiaTheme="majorEastAsia"/>
        </w:rPr>
        <w:t>Explanation:</w:t>
      </w:r>
      <w:r w:rsidRPr="00E40F31">
        <w:t xml:space="preserve"> Criminal liability arises from deliberate misuse, offering donors a punitive recourse but requiring higher proof (beyond reasonable doubt) and state intervention, unlike civil claims.</w:t>
      </w:r>
    </w:p>
    <w:p w14:paraId="6EB44046" w14:textId="77777777" w:rsidR="00E40F31" w:rsidRPr="00E40F31" w:rsidRDefault="00E40F31" w:rsidP="00E40F31">
      <w:pPr>
        <w:pStyle w:val="break-words"/>
        <w:spacing w:line="360" w:lineRule="auto"/>
      </w:pPr>
      <w:r w:rsidRPr="00E40F31">
        <w:rPr>
          <w:rStyle w:val="Strong"/>
          <w:rFonts w:eastAsiaTheme="majorEastAsia"/>
        </w:rPr>
        <w:t>Practical Limitations</w:t>
      </w:r>
    </w:p>
    <w:p w14:paraId="1412B611" w14:textId="77777777" w:rsidR="00E40F31" w:rsidRPr="00E40F31" w:rsidRDefault="00E40F31" w:rsidP="00E40F31">
      <w:pPr>
        <w:spacing w:line="360" w:lineRule="auto"/>
      </w:pPr>
    </w:p>
    <w:p w14:paraId="2CDF6E96" w14:textId="77777777" w:rsidR="00E40F31" w:rsidRPr="00E40F31" w:rsidRDefault="00E40F31" w:rsidP="00E40F31">
      <w:pPr>
        <w:pStyle w:val="break-words"/>
        <w:spacing w:line="360" w:lineRule="auto"/>
      </w:pPr>
      <w:r w:rsidRPr="00E40F31">
        <w:rPr>
          <w:rStyle w:val="Strong"/>
          <w:rFonts w:eastAsiaTheme="majorEastAsia"/>
        </w:rPr>
        <w:t>Evidentiary Burden:</w:t>
      </w:r>
      <w:r w:rsidRPr="00E40F31">
        <w:t xml:space="preserve"> Wilde’s text does not address specifics, but pursuing these actions requires donors to prove the fundraiser’s intent or actions (e.g., surplus retention), which may be difficult without clear records or platform oversight (unlike </w:t>
      </w:r>
      <w:proofErr w:type="spellStart"/>
      <w:r w:rsidRPr="00E40F31">
        <w:t>CrowdJustice’s</w:t>
      </w:r>
      <w:proofErr w:type="spellEnd"/>
      <w:r w:rsidRPr="00E40F31">
        <w:t xml:space="preserve"> structured terms, p. 94-95).</w:t>
      </w:r>
    </w:p>
    <w:p w14:paraId="761BDB48" w14:textId="77777777" w:rsidR="00E40F31" w:rsidRPr="00E40F31" w:rsidRDefault="00E40F31" w:rsidP="00E40F31">
      <w:pPr>
        <w:pStyle w:val="break-words"/>
        <w:spacing w:line="360" w:lineRule="auto"/>
      </w:pPr>
      <w:r w:rsidRPr="00E40F31">
        <w:rPr>
          <w:rStyle w:val="Strong"/>
          <w:rFonts w:eastAsiaTheme="majorEastAsia"/>
        </w:rPr>
        <w:t>Absence of Trust Protections:</w:t>
      </w:r>
      <w:r w:rsidRPr="00E40F31">
        <w:t xml:space="preserve"> Since “this situation cannot involve a trust” (p. 98), donors lack the equitable rights (e.g., tracing, fiduciary duties) that a trust provides, as seen in </w:t>
      </w:r>
      <w:proofErr w:type="spellStart"/>
      <w:r w:rsidRPr="00E40F31">
        <w:lastRenderedPageBreak/>
        <w:t>CrowdJustice</w:t>
      </w:r>
      <w:proofErr w:type="spellEnd"/>
      <w:r w:rsidRPr="00E40F31">
        <w:t xml:space="preserve"> where surplus is redirected to “similar causes” (p. 95). This leaves civil and criminal remedies as the primary options, less certain than trust enforcement.</w:t>
      </w:r>
    </w:p>
    <w:p w14:paraId="69B55D77" w14:textId="644FD0ED" w:rsidR="00E40F31" w:rsidRPr="00E40F31" w:rsidRDefault="00E40F31" w:rsidP="00E40F31">
      <w:pPr>
        <w:pStyle w:val="break-words"/>
        <w:spacing w:line="360" w:lineRule="auto"/>
      </w:pPr>
      <w:r w:rsidRPr="00E40F31">
        <w:rPr>
          <w:rStyle w:val="Strong"/>
          <w:rFonts w:eastAsiaTheme="majorEastAsia"/>
        </w:rPr>
        <w:t>GoFundMe’s Role:</w:t>
      </w:r>
      <w:r w:rsidRPr="00E40F31">
        <w:t xml:space="preserve"> The document does not suggest GoFundMe imposes obligations akin to </w:t>
      </w:r>
      <w:proofErr w:type="spellStart"/>
      <w:r w:rsidRPr="00E40F31">
        <w:t>CrowdJustice’s</w:t>
      </w:r>
      <w:proofErr w:type="spellEnd"/>
      <w:r w:rsidRPr="00E40F31">
        <w:t xml:space="preserve"> terms (p. 94), meaning donors rely on general law rather than platform-enforced rules, complicating recovery efforts.</w:t>
      </w:r>
    </w:p>
    <w:p w14:paraId="4C800DBA" w14:textId="1CE3CD22" w:rsidR="00E40F31" w:rsidRPr="00E40F31" w:rsidRDefault="00E40F31" w:rsidP="00E40F31">
      <w:pPr>
        <w:pStyle w:val="break-words"/>
        <w:spacing w:line="360" w:lineRule="auto"/>
      </w:pPr>
      <w:r w:rsidRPr="00E40F31">
        <w:rPr>
          <w:rStyle w:val="Strong"/>
          <w:rFonts w:eastAsiaTheme="majorEastAsia"/>
        </w:rPr>
        <w:t xml:space="preserve">Comparison to </w:t>
      </w:r>
      <w:proofErr w:type="spellStart"/>
      <w:r w:rsidRPr="00E40F31">
        <w:rPr>
          <w:rStyle w:val="Strong"/>
          <w:rFonts w:eastAsiaTheme="majorEastAsia"/>
        </w:rPr>
        <w:t>CrowdJustice</w:t>
      </w:r>
      <w:proofErr w:type="spellEnd"/>
    </w:p>
    <w:p w14:paraId="3AD736C5" w14:textId="1D5D3C6C" w:rsidR="00E40F31" w:rsidRPr="00E40F31" w:rsidRDefault="00E40F31" w:rsidP="00E40F31">
      <w:pPr>
        <w:pStyle w:val="break-words"/>
        <w:spacing w:line="360" w:lineRule="auto"/>
      </w:pPr>
      <w:r w:rsidRPr="00E40F31">
        <w:t xml:space="preserve">In contrast, </w:t>
      </w:r>
      <w:proofErr w:type="spellStart"/>
      <w:r w:rsidRPr="00E40F31">
        <w:t>CrowdJustice</w:t>
      </w:r>
      <w:proofErr w:type="spellEnd"/>
      <w:r w:rsidRPr="00E40F31">
        <w:t xml:space="preserve"> ensures surplus funds go to “similar causes” via contractual terms and solicitor oversight (p. 95), reducing donor need for legal action. </w:t>
      </w:r>
      <w:r w:rsidRPr="00E40F31">
        <w:rPr>
          <w:b/>
          <w:bCs/>
          <w:color w:val="FF0000"/>
        </w:rPr>
        <w:t>GoFundMe’s lack of such structure shifts the burden to donors to seek redress when surplus is misused</w:t>
      </w:r>
      <w:r w:rsidRPr="00E40F31">
        <w:t>, highlighting a key legal disparity (p. 98).]</w:t>
      </w:r>
    </w:p>
    <w:p w14:paraId="29AB0D46" w14:textId="77777777" w:rsidR="00C75C05" w:rsidRPr="00C75C05" w:rsidRDefault="00C75C05" w:rsidP="00E40F31">
      <w:pPr>
        <w:numPr>
          <w:ilvl w:val="1"/>
          <w:numId w:val="15"/>
        </w:numPr>
        <w:spacing w:before="100" w:beforeAutospacing="1" w:after="100" w:afterAutospacing="1" w:line="360" w:lineRule="auto"/>
        <w:rPr>
          <w:rFonts w:ascii="Times New Roman" w:hAnsi="Times New Roman"/>
          <w:lang w:val="en-HK"/>
        </w:rPr>
      </w:pPr>
      <w:r w:rsidRPr="00C75C05">
        <w:rPr>
          <w:rFonts w:ascii="Times New Roman" w:hAnsi="Times New Roman"/>
          <w:b/>
          <w:bCs/>
          <w:lang w:val="en-HK"/>
        </w:rPr>
        <w:t>If Someone Else Gets the Money:</w:t>
      </w:r>
      <w:r w:rsidRPr="00C75C05">
        <w:rPr>
          <w:rFonts w:ascii="Times New Roman" w:hAnsi="Times New Roman"/>
          <w:lang w:val="en-HK"/>
        </w:rPr>
        <w:t xml:space="preserve"> </w:t>
      </w:r>
    </w:p>
    <w:p w14:paraId="18CD01FF" w14:textId="47C9B986" w:rsidR="00C75C05" w:rsidRPr="00C75C05" w:rsidRDefault="00C75C05" w:rsidP="00E40F31">
      <w:pPr>
        <w:numPr>
          <w:ilvl w:val="2"/>
          <w:numId w:val="15"/>
        </w:numPr>
        <w:spacing w:before="100" w:beforeAutospacing="1" w:after="100" w:afterAutospacing="1" w:line="360" w:lineRule="auto"/>
        <w:rPr>
          <w:rFonts w:ascii="Times New Roman" w:hAnsi="Times New Roman"/>
          <w:lang w:val="en-HK"/>
        </w:rPr>
      </w:pPr>
      <w:r w:rsidRPr="00C75C05">
        <w:rPr>
          <w:rFonts w:ascii="Times New Roman" w:hAnsi="Times New Roman"/>
          <w:lang w:val="en-HK"/>
        </w:rPr>
        <w:t xml:space="preserve">If the funds are </w:t>
      </w:r>
      <w:r w:rsidRPr="00C75C05">
        <w:rPr>
          <w:rFonts w:ascii="Times New Roman" w:hAnsi="Times New Roman"/>
          <w:b/>
          <w:bCs/>
          <w:color w:val="FF0000"/>
          <w:lang w:val="en-HK"/>
        </w:rPr>
        <w:t>raised for another person’s legal costs or sent to a different receiver</w:t>
      </w:r>
      <w:r w:rsidRPr="00C75C05">
        <w:rPr>
          <w:rFonts w:ascii="Times New Roman" w:hAnsi="Times New Roman"/>
          <w:color w:val="FF0000"/>
          <w:lang w:val="en-HK"/>
        </w:rPr>
        <w:t xml:space="preserve"> </w:t>
      </w:r>
      <w:r w:rsidRPr="00C75C05">
        <w:rPr>
          <w:rFonts w:ascii="Times New Roman" w:hAnsi="Times New Roman"/>
          <w:lang w:val="en-HK"/>
        </w:rPr>
        <w:t>(like a friend or lawyer), a trust might happen, and extra money could go back to donors or to a specific place (like a charity) if the fundraiser says so (p. 98).</w:t>
      </w:r>
    </w:p>
    <w:p w14:paraId="6A19FB51" w14:textId="19DCB45A" w:rsidR="00C75C05" w:rsidRPr="00C75C05" w:rsidRDefault="00C75C05" w:rsidP="00E40F31">
      <w:pPr>
        <w:numPr>
          <w:ilvl w:val="2"/>
          <w:numId w:val="15"/>
        </w:numPr>
        <w:spacing w:before="100" w:beforeAutospacing="1" w:after="100" w:afterAutospacing="1" w:line="360" w:lineRule="auto"/>
        <w:rPr>
          <w:rFonts w:ascii="Times New Roman" w:hAnsi="Times New Roman"/>
          <w:lang w:val="en-HK"/>
        </w:rPr>
      </w:pPr>
      <w:r w:rsidRPr="00C75C05">
        <w:rPr>
          <w:rFonts w:ascii="Times New Roman" w:hAnsi="Times New Roman"/>
          <w:lang w:val="en-HK"/>
        </w:rPr>
        <w:t>For example, if they promise surplus goes to a named charity, that charity gets it (p. 98).</w:t>
      </w:r>
    </w:p>
    <w:p w14:paraId="01CB51BC" w14:textId="77777777" w:rsidR="00C75C05" w:rsidRPr="00C75C05" w:rsidRDefault="00C75C05" w:rsidP="00E40F31">
      <w:pPr>
        <w:numPr>
          <w:ilvl w:val="1"/>
          <w:numId w:val="15"/>
        </w:numPr>
        <w:spacing w:before="100" w:beforeAutospacing="1" w:after="100" w:afterAutospacing="1" w:line="360" w:lineRule="auto"/>
        <w:rPr>
          <w:rFonts w:ascii="Times New Roman" w:hAnsi="Times New Roman"/>
          <w:lang w:val="en-HK"/>
        </w:rPr>
      </w:pPr>
      <w:r w:rsidRPr="00C75C05">
        <w:rPr>
          <w:rFonts w:ascii="Times New Roman" w:hAnsi="Times New Roman"/>
          <w:b/>
          <w:bCs/>
          <w:lang w:val="en-HK"/>
        </w:rPr>
        <w:t>No Set Rules:</w:t>
      </w:r>
      <w:r w:rsidRPr="00C75C05">
        <w:rPr>
          <w:rFonts w:ascii="Times New Roman" w:hAnsi="Times New Roman"/>
          <w:lang w:val="en-HK"/>
        </w:rPr>
        <w:t xml:space="preserve"> Unlike </w:t>
      </w:r>
      <w:proofErr w:type="spellStart"/>
      <w:r w:rsidRPr="00C75C05">
        <w:rPr>
          <w:rFonts w:ascii="Times New Roman" w:hAnsi="Times New Roman"/>
          <w:lang w:val="en-HK"/>
        </w:rPr>
        <w:t>CrowdJustice</w:t>
      </w:r>
      <w:proofErr w:type="spellEnd"/>
      <w:r w:rsidRPr="00C75C05">
        <w:rPr>
          <w:rFonts w:ascii="Times New Roman" w:hAnsi="Times New Roman"/>
          <w:lang w:val="en-HK"/>
        </w:rPr>
        <w:t xml:space="preserve">, </w:t>
      </w:r>
      <w:r w:rsidRPr="00C75C05">
        <w:rPr>
          <w:rFonts w:ascii="Times New Roman" w:hAnsi="Times New Roman"/>
          <w:b/>
          <w:bCs/>
          <w:lang w:val="en-HK"/>
        </w:rPr>
        <w:t>GoFundMe doesn’t have strict rules for extra funds</w:t>
      </w:r>
      <w:r w:rsidRPr="00C75C05">
        <w:rPr>
          <w:rFonts w:ascii="Times New Roman" w:hAnsi="Times New Roman"/>
          <w:lang w:val="en-HK"/>
        </w:rPr>
        <w:t>, so it’s up to what the fundraiser decides or promises (p. 98).</w:t>
      </w:r>
    </w:p>
    <w:p w14:paraId="3B5C697C" w14:textId="4FF1F4BF" w:rsidR="00C75C05" w:rsidRPr="00C75C05" w:rsidRDefault="00C75C05" w:rsidP="00E40F31">
      <w:pPr>
        <w:spacing w:before="100" w:beforeAutospacing="1" w:after="100" w:afterAutospacing="1" w:line="360" w:lineRule="auto"/>
        <w:outlineLvl w:val="2"/>
        <w:rPr>
          <w:rFonts w:ascii="Times New Roman" w:hAnsi="Times New Roman"/>
          <w:b/>
          <w:bCs/>
          <w:lang w:val="en-HK"/>
        </w:rPr>
      </w:pPr>
      <w:r w:rsidRPr="00C75C05">
        <w:rPr>
          <w:rFonts w:ascii="Times New Roman" w:hAnsi="Times New Roman"/>
          <w:b/>
          <w:bCs/>
          <w:lang w:val="en-HK"/>
        </w:rPr>
        <w:t>Quick Summary</w:t>
      </w:r>
    </w:p>
    <w:p w14:paraId="49101F05" w14:textId="5687A680" w:rsidR="00C75C05" w:rsidRPr="00C75C05" w:rsidRDefault="00C75C05" w:rsidP="00E40F31">
      <w:pPr>
        <w:numPr>
          <w:ilvl w:val="0"/>
          <w:numId w:val="16"/>
        </w:numPr>
        <w:spacing w:before="100" w:beforeAutospacing="1" w:after="100" w:afterAutospacing="1" w:line="360" w:lineRule="auto"/>
        <w:rPr>
          <w:rFonts w:ascii="Times New Roman" w:hAnsi="Times New Roman"/>
          <w:lang w:val="en-HK"/>
        </w:rPr>
      </w:pPr>
      <w:proofErr w:type="spellStart"/>
      <w:r w:rsidRPr="00C75C05">
        <w:rPr>
          <w:rFonts w:ascii="Times New Roman" w:hAnsi="Times New Roman"/>
          <w:b/>
          <w:bCs/>
          <w:lang w:val="en-HK"/>
        </w:rPr>
        <w:t>CrowdJustice</w:t>
      </w:r>
      <w:proofErr w:type="spellEnd"/>
      <w:r w:rsidRPr="00C75C05">
        <w:rPr>
          <w:rFonts w:ascii="Times New Roman" w:hAnsi="Times New Roman"/>
          <w:b/>
          <w:bCs/>
          <w:lang w:val="en-HK"/>
        </w:rPr>
        <w:t>:</w:t>
      </w:r>
      <w:r w:rsidRPr="00C75C05">
        <w:rPr>
          <w:rFonts w:ascii="Times New Roman" w:hAnsi="Times New Roman"/>
          <w:lang w:val="en-HK"/>
        </w:rPr>
        <w:t xml:space="preserve"> Surplus goes to “similar causes” through the site’s control, not the fundraiser or donors (p. 95).</w:t>
      </w:r>
    </w:p>
    <w:p w14:paraId="5EF3C750" w14:textId="123EF6FF" w:rsidR="00C75C05" w:rsidRPr="00E40F31" w:rsidRDefault="00C75C05" w:rsidP="00E40F31">
      <w:pPr>
        <w:numPr>
          <w:ilvl w:val="0"/>
          <w:numId w:val="16"/>
        </w:numPr>
        <w:spacing w:before="100" w:beforeAutospacing="1" w:after="100" w:afterAutospacing="1" w:line="360" w:lineRule="auto"/>
        <w:rPr>
          <w:rFonts w:ascii="Times New Roman" w:hAnsi="Times New Roman"/>
          <w:lang w:val="en-HK"/>
        </w:rPr>
      </w:pPr>
      <w:r w:rsidRPr="00E40F31">
        <w:rPr>
          <w:rFonts w:ascii="Times New Roman" w:hAnsi="Times New Roman"/>
          <w:b/>
          <w:bCs/>
          <w:lang w:val="en-HK"/>
        </w:rPr>
        <w:t>G</w:t>
      </w:r>
      <w:r w:rsidRPr="00C75C05">
        <w:rPr>
          <w:rFonts w:ascii="Times New Roman" w:hAnsi="Times New Roman"/>
          <w:b/>
          <w:bCs/>
          <w:lang w:val="en-HK"/>
        </w:rPr>
        <w:t>oFundMe:</w:t>
      </w:r>
      <w:r w:rsidRPr="00C75C05">
        <w:rPr>
          <w:rFonts w:ascii="Times New Roman" w:hAnsi="Times New Roman"/>
          <w:lang w:val="en-HK"/>
        </w:rPr>
        <w:t xml:space="preserve"> Surplus usually stays with the fundraiser if they get it directly, but could go elsewhere (like a charity or back to donors) if a trust is set up or promised (p. 98).</w:t>
      </w:r>
    </w:p>
    <w:p w14:paraId="2342CCFB" w14:textId="4F64877F" w:rsidR="00C75C05" w:rsidRPr="00E40F31" w:rsidRDefault="00EB59E0" w:rsidP="00E40F31">
      <w:pPr>
        <w:spacing w:after="240" w:line="360" w:lineRule="auto"/>
        <w:rPr>
          <w:rFonts w:ascii="Times New Roman" w:hAnsi="Times New Roman"/>
          <w:b/>
          <w:bCs/>
          <w:lang w:val="en-HK"/>
        </w:rPr>
      </w:pPr>
      <w:r w:rsidRPr="00EB59E0">
        <w:rPr>
          <w:rFonts w:ascii="Times New Roman" w:hAnsi="Times New Roman"/>
          <w:noProof/>
          <w:lang w:val="en-HK"/>
          <w14:ligatures w14:val="standardContextual"/>
        </w:rPr>
        <w:pict w14:anchorId="5EAEF19F">
          <v:rect id="_x0000_i1026" alt="" style="width:451.3pt;height:.05pt;mso-width-percent:0;mso-height-percent:0;mso-width-percent:0;mso-height-percent:0" o:hralign="center" o:hrstd="t" o:hr="t" fillcolor="#a0a0a0" stroked="f"/>
        </w:pict>
      </w:r>
    </w:p>
    <w:p w14:paraId="7D1BEBE2" w14:textId="4D065B8F" w:rsidR="006A3F84" w:rsidRPr="00E40F31" w:rsidRDefault="00C75C05" w:rsidP="00E40F31">
      <w:pPr>
        <w:spacing w:after="240" w:line="360" w:lineRule="auto"/>
        <w:rPr>
          <w:rFonts w:ascii="Times New Roman" w:hAnsi="Times New Roman"/>
          <w:lang w:val="en-HK"/>
        </w:rPr>
      </w:pPr>
      <w:r w:rsidRPr="00E40F31">
        <w:rPr>
          <w:rFonts w:ascii="Times New Roman" w:hAnsi="Times New Roman"/>
          <w:b/>
          <w:bCs/>
          <w:lang w:val="en-HK"/>
        </w:rPr>
        <w:t xml:space="preserve">[Details: </w:t>
      </w:r>
      <w:proofErr w:type="spellStart"/>
      <w:r w:rsidR="006A3F84" w:rsidRPr="00E40F31">
        <w:rPr>
          <w:rFonts w:ascii="Times New Roman" w:hAnsi="Times New Roman"/>
          <w:b/>
          <w:bCs/>
          <w:lang w:val="en-HK"/>
        </w:rPr>
        <w:t>CrowdJustice</w:t>
      </w:r>
      <w:proofErr w:type="spellEnd"/>
      <w:r w:rsidR="006A3F84" w:rsidRPr="00E40F31">
        <w:rPr>
          <w:rFonts w:ascii="Times New Roman" w:hAnsi="Times New Roman"/>
          <w:b/>
          <w:bCs/>
          <w:lang w:val="en-HK"/>
        </w:rPr>
        <w:t xml:space="preserve"> Surplus Funds</w:t>
      </w:r>
    </w:p>
    <w:p w14:paraId="1E0A593D" w14:textId="2A0FA010" w:rsidR="006A3F84" w:rsidRPr="00E40F31" w:rsidRDefault="006A3F84" w:rsidP="00E40F31">
      <w:pPr>
        <w:numPr>
          <w:ilvl w:val="0"/>
          <w:numId w:val="11"/>
        </w:numPr>
        <w:spacing w:after="240" w:line="360" w:lineRule="auto"/>
        <w:rPr>
          <w:rFonts w:ascii="Times New Roman" w:hAnsi="Times New Roman"/>
          <w:b/>
          <w:bCs/>
          <w:lang w:val="en-HK"/>
        </w:rPr>
      </w:pPr>
      <w:r w:rsidRPr="00E40F31">
        <w:rPr>
          <w:rFonts w:ascii="Times New Roman" w:hAnsi="Times New Roman"/>
          <w:b/>
          <w:bCs/>
          <w:lang w:val="en-HK"/>
        </w:rPr>
        <w:t>Contractual Obligation to Redirect Surplus:</w:t>
      </w:r>
      <w:r w:rsidRPr="00E40F31">
        <w:rPr>
          <w:rFonts w:ascii="Times New Roman" w:hAnsi="Times New Roman"/>
          <w:lang w:val="en-HK"/>
        </w:rPr>
        <w:t xml:space="preserve"> The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‘Terms of Use’ explicitly require the fundraiser to “inform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of and return any Unused Funds … to the site in accordance with these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Terms” (p. 94). Wilde clarifies that the term “return” is technically imprecise, as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has not at any </w:t>
      </w:r>
      <w:r w:rsidRPr="00E40F31">
        <w:rPr>
          <w:rFonts w:ascii="Times New Roman" w:hAnsi="Times New Roman"/>
          <w:lang w:val="en-HK"/>
        </w:rPr>
        <w:lastRenderedPageBreak/>
        <w:t xml:space="preserve">prior point held title to the money” since donations are processed by a collection agent and transferred directly to the solicitor (p. 94, n. 3). </w:t>
      </w:r>
      <w:r w:rsidRPr="00E40F31">
        <w:rPr>
          <w:rFonts w:ascii="Times New Roman" w:hAnsi="Times New Roman"/>
          <w:b/>
          <w:bCs/>
          <w:lang w:val="en-HK"/>
        </w:rPr>
        <w:t xml:space="preserve">Instead, this reflects an obligation to report and redirect surplus funds through </w:t>
      </w:r>
      <w:proofErr w:type="spellStart"/>
      <w:r w:rsidRPr="00E40F31">
        <w:rPr>
          <w:rFonts w:ascii="Times New Roman" w:hAnsi="Times New Roman"/>
          <w:b/>
          <w:bCs/>
          <w:lang w:val="en-HK"/>
        </w:rPr>
        <w:t>CrowdJustice’s</w:t>
      </w:r>
      <w:proofErr w:type="spellEnd"/>
      <w:r w:rsidRPr="00E40F31">
        <w:rPr>
          <w:rFonts w:ascii="Times New Roman" w:hAnsi="Times New Roman"/>
          <w:b/>
          <w:bCs/>
          <w:lang w:val="en-HK"/>
        </w:rPr>
        <w:t xml:space="preserve"> oversight.</w:t>
      </w:r>
    </w:p>
    <w:p w14:paraId="52D003FF" w14:textId="1687EFE9" w:rsidR="006A3F84" w:rsidRPr="00E40F31" w:rsidRDefault="006A3F84" w:rsidP="00E40F31">
      <w:pPr>
        <w:numPr>
          <w:ilvl w:val="0"/>
          <w:numId w:val="11"/>
        </w:numPr>
        <w:spacing w:after="240" w:line="360" w:lineRule="auto"/>
        <w:rPr>
          <w:rFonts w:ascii="Times New Roman" w:hAnsi="Times New Roman"/>
          <w:lang w:val="en-HK"/>
        </w:rPr>
      </w:pPr>
      <w:r w:rsidRPr="00E40F31">
        <w:rPr>
          <w:rFonts w:ascii="Times New Roman" w:hAnsi="Times New Roman"/>
          <w:b/>
          <w:bCs/>
          <w:lang w:val="en-HK"/>
        </w:rPr>
        <w:t>Destination of Surplus Funds:</w:t>
      </w:r>
      <w:r w:rsidRPr="00E40F31">
        <w:rPr>
          <w:rFonts w:ascii="Times New Roman" w:hAnsi="Times New Roman"/>
          <w:lang w:val="en-HK"/>
        </w:rPr>
        <w:t xml:space="preserve"> The document states there is a “long section on ‘Unused Funds’, which, in outline, ensures such funds are used for similar causes” (p. 95). Crucially, “unused funds in the hands of a solicitor cannot be beneficially paid to the litigant or returned to the donors” (p. 95). This indicates that surplus funds are neither retained by the litigant nor refunded to contributors but are instead allocated to purposes aligned with the original litigation cause.</w:t>
      </w:r>
    </w:p>
    <w:p w14:paraId="656FE6AC" w14:textId="40DE8FEB" w:rsidR="006A3F84" w:rsidRPr="00E40F31" w:rsidRDefault="006A3F84" w:rsidP="00E40F31">
      <w:pPr>
        <w:numPr>
          <w:ilvl w:val="0"/>
          <w:numId w:val="11"/>
        </w:numPr>
        <w:spacing w:after="240" w:line="360" w:lineRule="auto"/>
        <w:rPr>
          <w:rFonts w:ascii="Times New Roman" w:hAnsi="Times New Roman"/>
          <w:lang w:val="en-HK"/>
        </w:rPr>
      </w:pPr>
      <w:r w:rsidRPr="00E40F31">
        <w:rPr>
          <w:rFonts w:ascii="Times New Roman" w:hAnsi="Times New Roman"/>
          <w:b/>
          <w:bCs/>
          <w:lang w:val="en-HK"/>
        </w:rPr>
        <w:t>Temporary Technical Trust Mechanism:</w:t>
      </w:r>
      <w:r w:rsidRPr="00E40F31">
        <w:rPr>
          <w:rFonts w:ascii="Times New Roman" w:hAnsi="Times New Roman"/>
          <w:lang w:val="en-HK"/>
        </w:rPr>
        <w:t xml:space="preserve"> A footnote elaborates that once unused funds are paid to </w:t>
      </w:r>
      <w:proofErr w:type="spellStart"/>
      <w:r w:rsidRPr="00E40F31">
        <w:rPr>
          <w:rFonts w:ascii="Times New Roman" w:hAnsi="Times New Roman"/>
          <w:lang w:val="en-HK"/>
        </w:rPr>
        <w:t>CrowdJustice</w:t>
      </w:r>
      <w:proofErr w:type="spellEnd"/>
      <w:r w:rsidRPr="00E40F31">
        <w:rPr>
          <w:rFonts w:ascii="Times New Roman" w:hAnsi="Times New Roman"/>
          <w:lang w:val="en-HK"/>
        </w:rPr>
        <w:t>, there is a “temporary technical trust in favour of donors” to cover potential insolvency risks, lasting “pending transfer of the funds to the designated recipient” (p. 95, n. 4). After this interim step, the funds are redirected as per the terms, ensuring they reach “similar causes.”</w:t>
      </w:r>
    </w:p>
    <w:p w14:paraId="11C13E5A" w14:textId="7EA8CA3C" w:rsidR="006A3F84" w:rsidRPr="00E40F31" w:rsidRDefault="006A3F84" w:rsidP="00E40F31">
      <w:pPr>
        <w:numPr>
          <w:ilvl w:val="0"/>
          <w:numId w:val="11"/>
        </w:numPr>
        <w:spacing w:after="240" w:line="360" w:lineRule="auto"/>
        <w:rPr>
          <w:rFonts w:ascii="Times New Roman" w:hAnsi="Times New Roman"/>
          <w:lang w:val="en-HK"/>
        </w:rPr>
      </w:pPr>
      <w:r w:rsidRPr="00E40F31">
        <w:rPr>
          <w:rFonts w:ascii="Times New Roman" w:hAnsi="Times New Roman"/>
          <w:b/>
          <w:bCs/>
          <w:lang w:val="en-HK"/>
        </w:rPr>
        <w:t>Trust Structure Impact:</w:t>
      </w:r>
      <w:r w:rsidRPr="00E40F31">
        <w:rPr>
          <w:rFonts w:ascii="Times New Roman" w:hAnsi="Times New Roman"/>
          <w:lang w:val="en-HK"/>
        </w:rPr>
        <w:t xml:space="preserve"> Wilde classifies the arrangement as a beneficiary trust where the litigant’s benefit is limited to litigation costs, and “any surplus was to be used for similar causes” per the donation terms (p. 97). This stipulation ousts a prima facie resulting trust for donors, which might otherwise arise (as in </w:t>
      </w:r>
      <w:r w:rsidRPr="00E40F31">
        <w:rPr>
          <w:rFonts w:ascii="Times New Roman" w:hAnsi="Times New Roman"/>
          <w:i/>
          <w:iCs/>
          <w:lang w:val="en-HK"/>
        </w:rPr>
        <w:t>Re Sanderson’s Trust</w:t>
      </w:r>
      <w:r w:rsidRPr="00E40F31">
        <w:rPr>
          <w:rFonts w:ascii="Times New Roman" w:hAnsi="Times New Roman"/>
          <w:lang w:val="en-HK"/>
        </w:rPr>
        <w:t xml:space="preserve"> (1857) 3 K&amp;J 497, where unused income reverted to the testator’s estate, p. 96). Thus, surplus funds are contractually destined for analogous legal or social initiatives, though specific recipients (e.g., other litigants or legal projects) are not detailed beyond “similar causes” (p. 95).</w:t>
      </w:r>
    </w:p>
    <w:p w14:paraId="3336B32B" w14:textId="4E786737" w:rsidR="006A3F84" w:rsidRPr="00E40F31" w:rsidRDefault="006A3F84" w:rsidP="00E40F31">
      <w:pPr>
        <w:numPr>
          <w:ilvl w:val="0"/>
          <w:numId w:val="11"/>
        </w:numPr>
        <w:spacing w:after="240" w:line="360" w:lineRule="auto"/>
        <w:rPr>
          <w:rFonts w:ascii="Times New Roman" w:hAnsi="Times New Roman"/>
          <w:lang w:val="en-HK"/>
        </w:rPr>
      </w:pPr>
      <w:r w:rsidRPr="00E40F31">
        <w:rPr>
          <w:rFonts w:ascii="Times New Roman" w:hAnsi="Times New Roman"/>
          <w:b/>
          <w:bCs/>
          <w:lang w:val="en-HK"/>
        </w:rPr>
        <w:t>Explanation:</w:t>
      </w:r>
      <w:r w:rsidRPr="00E40F31">
        <w:rPr>
          <w:rFonts w:ascii="Times New Roman" w:hAnsi="Times New Roman"/>
          <w:lang w:val="en-HK"/>
        </w:rPr>
        <w:t xml:space="preserve"> The redirection to “similar causes” reflects donor intent as enshrined in the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terms, ensuring funds continue supporting litigation-related objectives rather than reverting to donors or benefiting the litigant personally. This aligns with Wilde’s broader argument that beneficiary trusts can validly assign purposes without conferring ownership (p. 96, quoting Wilde, ‘Trusts and Purposes’ (2023) 36 TLI 141, 165-66: “not every beneficiary trust involves giving property to the beneficiary”).</w:t>
      </w:r>
    </w:p>
    <w:p w14:paraId="54844127" w14:textId="77777777" w:rsidR="006A3F84" w:rsidRPr="00E40F31" w:rsidRDefault="006A3F84" w:rsidP="00E40F31">
      <w:pPr>
        <w:spacing w:after="240" w:line="360" w:lineRule="auto"/>
        <w:rPr>
          <w:rFonts w:ascii="Times New Roman" w:hAnsi="Times New Roman"/>
          <w:color w:val="FF0000"/>
          <w:u w:val="single"/>
          <w:lang w:val="en-HK"/>
        </w:rPr>
      </w:pPr>
      <w:r w:rsidRPr="00E40F31">
        <w:rPr>
          <w:rFonts w:ascii="Times New Roman" w:hAnsi="Times New Roman"/>
          <w:b/>
          <w:bCs/>
          <w:color w:val="FF0000"/>
          <w:u w:val="single"/>
          <w:lang w:val="en-HK"/>
        </w:rPr>
        <w:t>Surplus Funds from Other Crowdfunding Platforms (e.g., GoFundMe)</w:t>
      </w:r>
    </w:p>
    <w:p w14:paraId="351ADCC8" w14:textId="77777777"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Default Scenario – Funds Received Directly by Litigant:</w:t>
      </w:r>
      <w:r w:rsidRPr="00E40F31">
        <w:rPr>
          <w:rFonts w:ascii="Times New Roman" w:hAnsi="Times New Roman"/>
          <w:lang w:val="en-HK"/>
        </w:rPr>
        <w:t xml:space="preserve"> </w:t>
      </w:r>
    </w:p>
    <w:p w14:paraId="7C26C4CB" w14:textId="22F53D3C" w:rsidR="006A3F84" w:rsidRPr="00E40F31" w:rsidRDefault="006A3F84" w:rsidP="00E40F31">
      <w:pPr>
        <w:numPr>
          <w:ilvl w:val="1"/>
          <w:numId w:val="12"/>
        </w:numPr>
        <w:spacing w:after="240" w:line="360" w:lineRule="auto"/>
        <w:rPr>
          <w:rFonts w:ascii="Times New Roman" w:hAnsi="Times New Roman"/>
          <w:lang w:val="en-HK"/>
        </w:rPr>
      </w:pPr>
      <w:r w:rsidRPr="00E40F31">
        <w:rPr>
          <w:rFonts w:ascii="Times New Roman" w:hAnsi="Times New Roman"/>
          <w:b/>
          <w:bCs/>
          <w:lang w:val="en-HK"/>
        </w:rPr>
        <w:lastRenderedPageBreak/>
        <w:t>Operational Context:</w:t>
      </w:r>
      <w:r w:rsidRPr="00E40F31">
        <w:rPr>
          <w:rFonts w:ascii="Times New Roman" w:hAnsi="Times New Roman"/>
          <w:lang w:val="en-HK"/>
        </w:rPr>
        <w:t xml:space="preserve"> Wilde notes that litigants may use platforms like GoFundMe, where funds are “received directly into their own hands” (p. 98). Unlike </w:t>
      </w:r>
      <w:proofErr w:type="spellStart"/>
      <w:r w:rsidRPr="00E40F31">
        <w:rPr>
          <w:rFonts w:ascii="Times New Roman" w:hAnsi="Times New Roman"/>
          <w:lang w:val="en-HK"/>
        </w:rPr>
        <w:t>CrowdJustice</w:t>
      </w:r>
      <w:proofErr w:type="spellEnd"/>
      <w:r w:rsidRPr="00E40F31">
        <w:rPr>
          <w:rFonts w:ascii="Times New Roman" w:hAnsi="Times New Roman"/>
          <w:lang w:val="en-HK"/>
        </w:rPr>
        <w:t>, GoFundMe is not litigation-specific, and its terms are less prescriptive (p. 98).</w:t>
      </w:r>
    </w:p>
    <w:p w14:paraId="3F53922A" w14:textId="6529011F" w:rsidR="006A3F84" w:rsidRPr="00E40F31" w:rsidRDefault="006A3F84" w:rsidP="00E40F31">
      <w:pPr>
        <w:numPr>
          <w:ilvl w:val="1"/>
          <w:numId w:val="12"/>
        </w:numPr>
        <w:spacing w:after="240" w:line="360" w:lineRule="auto"/>
        <w:rPr>
          <w:rFonts w:ascii="Times New Roman" w:hAnsi="Times New Roman"/>
          <w:lang w:val="en-HK"/>
        </w:rPr>
      </w:pPr>
      <w:r w:rsidRPr="00E40F31">
        <w:rPr>
          <w:rFonts w:ascii="Times New Roman" w:hAnsi="Times New Roman"/>
          <w:b/>
          <w:bCs/>
          <w:lang w:val="en-HK"/>
        </w:rPr>
        <w:t>No Trust Formation:</w:t>
      </w:r>
      <w:r w:rsidRPr="00E40F31">
        <w:rPr>
          <w:rFonts w:ascii="Times New Roman" w:hAnsi="Times New Roman"/>
          <w:lang w:val="en-HK"/>
        </w:rPr>
        <w:t xml:space="preserve"> A key legal principle applies: “</w:t>
      </w:r>
      <w:r w:rsidRPr="00E40F31">
        <w:rPr>
          <w:rFonts w:ascii="Times New Roman" w:hAnsi="Times New Roman"/>
          <w:b/>
          <w:bCs/>
          <w:color w:val="FF0000"/>
          <w:lang w:val="en-HK"/>
        </w:rPr>
        <w:t>A person cannot be both sole trustee and sole beneficiary of a trust” (p. 98)</w:t>
      </w:r>
      <w:r w:rsidRPr="00E40F31">
        <w:rPr>
          <w:rFonts w:ascii="Times New Roman" w:hAnsi="Times New Roman"/>
          <w:color w:val="FF0000"/>
          <w:lang w:val="en-HK"/>
        </w:rPr>
        <w:t xml:space="preserve">. Thus, when funds go directly to the litigant without a separate trustee, “this situation cannot involve a trust” (p. 98). </w:t>
      </w:r>
      <w:r w:rsidRPr="00E40F31">
        <w:rPr>
          <w:rFonts w:ascii="Times New Roman" w:hAnsi="Times New Roman"/>
          <w:lang w:val="en-HK"/>
        </w:rPr>
        <w:t>Surplus handling depends on the litigant’s discretion or external legal recourse, not trust law.</w:t>
      </w:r>
    </w:p>
    <w:p w14:paraId="22521F1A" w14:textId="7711F8DD" w:rsidR="006A3F84" w:rsidRPr="00E40F31" w:rsidRDefault="006A3F84" w:rsidP="00E40F31">
      <w:pPr>
        <w:numPr>
          <w:ilvl w:val="1"/>
          <w:numId w:val="12"/>
        </w:numPr>
        <w:spacing w:after="240" w:line="360" w:lineRule="auto"/>
        <w:rPr>
          <w:rFonts w:ascii="Times New Roman" w:hAnsi="Times New Roman"/>
          <w:lang w:val="en-HK"/>
        </w:rPr>
      </w:pPr>
      <w:r w:rsidRPr="00E40F31">
        <w:rPr>
          <w:rFonts w:ascii="Times New Roman" w:hAnsi="Times New Roman"/>
          <w:b/>
          <w:bCs/>
          <w:lang w:val="en-HK"/>
        </w:rPr>
        <w:t>Surplus Handling:</w:t>
      </w:r>
      <w:r w:rsidRPr="00E40F31">
        <w:rPr>
          <w:rFonts w:ascii="Times New Roman" w:hAnsi="Times New Roman"/>
          <w:lang w:val="en-HK"/>
        </w:rPr>
        <w:t xml:space="preserve"> Wilde states, “whatever civil redress or criminal sanctions there may be for a failure by such a fundraiser to apply the money as represented, exclusively for litigation costs,” no trust enforces this (p. 98). Absent specific undertakings, surplus funds remain with the litigant, potentially usable for any purpose unless donors pursue remedies (e.g., misrepresentation claims), though such mechanisms are not detailed in the document.</w:t>
      </w:r>
    </w:p>
    <w:p w14:paraId="437FE091" w14:textId="77777777" w:rsidR="006A3F84" w:rsidRPr="00E40F31" w:rsidRDefault="006A3F84" w:rsidP="00E40F31">
      <w:pPr>
        <w:numPr>
          <w:ilvl w:val="1"/>
          <w:numId w:val="12"/>
        </w:numPr>
        <w:spacing w:after="240" w:line="360" w:lineRule="auto"/>
        <w:rPr>
          <w:rFonts w:ascii="Times New Roman" w:hAnsi="Times New Roman"/>
          <w:lang w:val="en-HK"/>
        </w:rPr>
      </w:pPr>
      <w:r w:rsidRPr="00E40F31">
        <w:rPr>
          <w:rFonts w:ascii="Times New Roman" w:hAnsi="Times New Roman"/>
          <w:b/>
          <w:bCs/>
          <w:lang w:val="en-HK"/>
        </w:rPr>
        <w:t>Explanation:</w:t>
      </w:r>
      <w:r w:rsidRPr="00E40F31">
        <w:rPr>
          <w:rFonts w:ascii="Times New Roman" w:hAnsi="Times New Roman"/>
          <w:lang w:val="en-HK"/>
        </w:rPr>
        <w:t xml:space="preserve"> Without a trust, surplus funds lack a mandated destination beyond the litigant’s representations to donors. This contrasts sharply with </w:t>
      </w:r>
      <w:proofErr w:type="spellStart"/>
      <w:r w:rsidRPr="00E40F31">
        <w:rPr>
          <w:rFonts w:ascii="Times New Roman" w:hAnsi="Times New Roman"/>
          <w:lang w:val="en-HK"/>
        </w:rPr>
        <w:t>CrowdJustice’s</w:t>
      </w:r>
      <w:proofErr w:type="spellEnd"/>
      <w:r w:rsidRPr="00E40F31">
        <w:rPr>
          <w:rFonts w:ascii="Times New Roman" w:hAnsi="Times New Roman"/>
          <w:lang w:val="en-HK"/>
        </w:rPr>
        <w:t xml:space="preserve"> structured redirection, highlighting a regulatory gap in general crowdfunding platforms.</w:t>
      </w:r>
    </w:p>
    <w:p w14:paraId="2B7C53C8" w14:textId="77777777"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Alternative Scenarios – Trust Formation Possible:</w:t>
      </w:r>
      <w:r w:rsidRPr="00E40F31">
        <w:rPr>
          <w:rFonts w:ascii="Times New Roman" w:hAnsi="Times New Roman"/>
          <w:lang w:val="en-HK"/>
        </w:rPr>
        <w:t xml:space="preserve"> </w:t>
      </w:r>
    </w:p>
    <w:p w14:paraId="2F6812B1" w14:textId="151409BC" w:rsidR="006A3F84" w:rsidRPr="00E40F31" w:rsidRDefault="006A3F84" w:rsidP="00E40F31">
      <w:pPr>
        <w:numPr>
          <w:ilvl w:val="1"/>
          <w:numId w:val="12"/>
        </w:numPr>
        <w:spacing w:after="240" w:line="360" w:lineRule="auto"/>
        <w:rPr>
          <w:rFonts w:ascii="Times New Roman" w:hAnsi="Times New Roman"/>
          <w:lang w:val="en-HK"/>
        </w:rPr>
      </w:pPr>
      <w:r w:rsidRPr="00E40F31">
        <w:rPr>
          <w:rFonts w:ascii="Times New Roman" w:hAnsi="Times New Roman"/>
          <w:b/>
          <w:bCs/>
          <w:lang w:val="en-HK"/>
        </w:rPr>
        <w:t>Funds for Another Party’s Costs:</w:t>
      </w:r>
      <w:r w:rsidRPr="00E40F31">
        <w:rPr>
          <w:rFonts w:ascii="Times New Roman" w:hAnsi="Times New Roman"/>
          <w:lang w:val="en-HK"/>
        </w:rPr>
        <w:t xml:space="preserve"> If a fundraiser solicits funds via GoFundMe “for the benefit of another party, to cover that other party’s litigation costs” (p. 98), a trust may arise. Here, the recipient (not the fundraiser) becomes the beneficiary, and the fundraiser or a third party could act as trustee. Surplus handling would depend on the trust terms or donor intent, potentially reverting to the fundraiser or a resulting trust for donors if unspecified (p. 98).</w:t>
      </w:r>
    </w:p>
    <w:p w14:paraId="4816ECFF" w14:textId="6A8A2C1C" w:rsidR="006A3F84" w:rsidRPr="00E40F31" w:rsidRDefault="006A3F84" w:rsidP="00E40F31">
      <w:pPr>
        <w:numPr>
          <w:ilvl w:val="1"/>
          <w:numId w:val="12"/>
        </w:numPr>
        <w:spacing w:after="240" w:line="360" w:lineRule="auto"/>
        <w:rPr>
          <w:rFonts w:ascii="Times New Roman" w:hAnsi="Times New Roman"/>
          <w:lang w:val="en-HK"/>
        </w:rPr>
      </w:pPr>
      <w:r w:rsidRPr="00E40F31">
        <w:rPr>
          <w:rFonts w:ascii="Times New Roman" w:hAnsi="Times New Roman"/>
          <w:b/>
          <w:bCs/>
          <w:lang w:val="en-HK"/>
        </w:rPr>
        <w:t>Third Party Receipt:</w:t>
      </w:r>
      <w:r w:rsidRPr="00E40F31">
        <w:rPr>
          <w:rFonts w:ascii="Times New Roman" w:hAnsi="Times New Roman"/>
          <w:lang w:val="en-HK"/>
        </w:rPr>
        <w:t xml:space="preserve"> When a litigant fundraises “to cover their own litigation costs, but nominate another party to receive the funds” (p. 98), a trust akin to </w:t>
      </w:r>
      <w:proofErr w:type="spellStart"/>
      <w:r w:rsidRPr="00E40F31">
        <w:rPr>
          <w:rFonts w:ascii="Times New Roman" w:hAnsi="Times New Roman"/>
          <w:lang w:val="en-HK"/>
        </w:rPr>
        <w:t>CrowdJustice’s</w:t>
      </w:r>
      <w:proofErr w:type="spellEnd"/>
      <w:r w:rsidRPr="00E40F31">
        <w:rPr>
          <w:rFonts w:ascii="Times New Roman" w:hAnsi="Times New Roman"/>
          <w:lang w:val="en-HK"/>
        </w:rPr>
        <w:t xml:space="preserve"> model could form, with the third party as trustee and the litigant as beneficiary. Surplus disposition would hinge on the fundraising terms; without specification, a resulting trust for donors might apply (p. 98).</w:t>
      </w:r>
    </w:p>
    <w:p w14:paraId="2D805C63" w14:textId="45DDE8C1" w:rsidR="006A3F84" w:rsidRPr="00E40F31" w:rsidRDefault="006A3F84" w:rsidP="00E40F31">
      <w:pPr>
        <w:numPr>
          <w:ilvl w:val="1"/>
          <w:numId w:val="12"/>
        </w:numPr>
        <w:spacing w:after="240" w:line="360" w:lineRule="auto"/>
        <w:rPr>
          <w:rFonts w:ascii="Times New Roman" w:hAnsi="Times New Roman"/>
          <w:lang w:val="en-HK"/>
        </w:rPr>
      </w:pPr>
      <w:r w:rsidRPr="00E40F31">
        <w:rPr>
          <w:rFonts w:ascii="Times New Roman" w:hAnsi="Times New Roman"/>
          <w:b/>
          <w:bCs/>
          <w:lang w:val="en-HK"/>
        </w:rPr>
        <w:lastRenderedPageBreak/>
        <w:t>Undertaking for Surplus:</w:t>
      </w:r>
      <w:r w:rsidRPr="00E40F31">
        <w:rPr>
          <w:rFonts w:ascii="Times New Roman" w:hAnsi="Times New Roman"/>
          <w:lang w:val="en-HK"/>
        </w:rPr>
        <w:t xml:space="preserve"> If a litigant undertakes “that any surplus will, for example, be given to a named charity,” they are “</w:t>
      </w:r>
      <w:r w:rsidRPr="00E40F31">
        <w:rPr>
          <w:rFonts w:ascii="Times New Roman" w:hAnsi="Times New Roman"/>
          <w:b/>
          <w:bCs/>
          <w:lang w:val="en-HK"/>
        </w:rPr>
        <w:t>no longer the sole possible beneficiary of donations</w:t>
      </w:r>
      <w:r w:rsidRPr="00E40F31">
        <w:rPr>
          <w:rFonts w:ascii="Times New Roman" w:hAnsi="Times New Roman"/>
          <w:lang w:val="en-HK"/>
        </w:rPr>
        <w:t xml:space="preserve">” (p. 98). This creates a trust where the litigant benefits from cost payments, and the charity receives the surplus, mirroring </w:t>
      </w:r>
      <w:proofErr w:type="spellStart"/>
      <w:r w:rsidRPr="00E40F31">
        <w:rPr>
          <w:rFonts w:ascii="Times New Roman" w:hAnsi="Times New Roman"/>
          <w:lang w:val="en-HK"/>
        </w:rPr>
        <w:t>CrowdJustice’s</w:t>
      </w:r>
      <w:proofErr w:type="spellEnd"/>
      <w:r w:rsidRPr="00E40F31">
        <w:rPr>
          <w:rFonts w:ascii="Times New Roman" w:hAnsi="Times New Roman"/>
          <w:lang w:val="en-HK"/>
        </w:rPr>
        <w:t xml:space="preserve"> structure but with a specific recipient (p. 98).</w:t>
      </w:r>
    </w:p>
    <w:p w14:paraId="37D4E75D" w14:textId="13AB683E" w:rsidR="006A3F84" w:rsidRPr="00E40F31" w:rsidRDefault="006A3F84" w:rsidP="00E40F31">
      <w:pPr>
        <w:numPr>
          <w:ilvl w:val="1"/>
          <w:numId w:val="12"/>
        </w:numPr>
        <w:spacing w:after="240" w:line="360" w:lineRule="auto"/>
        <w:rPr>
          <w:rFonts w:ascii="Times New Roman" w:hAnsi="Times New Roman"/>
          <w:lang w:val="en-HK"/>
        </w:rPr>
      </w:pPr>
      <w:r w:rsidRPr="00E40F31">
        <w:rPr>
          <w:rFonts w:ascii="Times New Roman" w:hAnsi="Times New Roman"/>
          <w:b/>
          <w:bCs/>
          <w:lang w:val="en-HK"/>
        </w:rPr>
        <w:t>Explanation:</w:t>
      </w:r>
      <w:r w:rsidRPr="00E40F31">
        <w:rPr>
          <w:rFonts w:ascii="Times New Roman" w:hAnsi="Times New Roman"/>
          <w:lang w:val="en-HK"/>
        </w:rPr>
        <w:t xml:space="preserve"> These scenarios illustrate that trusts can emerge on “normal principles” (p. 98), but surplus destinations vary. Without explicit terms, surplus might revert to donors via a resulting trust (per </w:t>
      </w:r>
      <w:r w:rsidRPr="00E40F31">
        <w:rPr>
          <w:rFonts w:ascii="Times New Roman" w:hAnsi="Times New Roman"/>
          <w:i/>
          <w:iCs/>
          <w:lang w:val="en-HK"/>
        </w:rPr>
        <w:t>Re Sanderson’s Trust</w:t>
      </w:r>
      <w:r w:rsidRPr="00E40F31">
        <w:rPr>
          <w:rFonts w:ascii="Times New Roman" w:hAnsi="Times New Roman"/>
          <w:lang w:val="en-HK"/>
        </w:rPr>
        <w:t xml:space="preserve">, p. 96), though Wilde suggests GoFundMe lacks </w:t>
      </w:r>
      <w:proofErr w:type="spellStart"/>
      <w:r w:rsidRPr="00E40F31">
        <w:rPr>
          <w:rFonts w:ascii="Times New Roman" w:hAnsi="Times New Roman"/>
          <w:lang w:val="en-HK"/>
        </w:rPr>
        <w:t>CrowdJustice’s</w:t>
      </w:r>
      <w:proofErr w:type="spellEnd"/>
      <w:r w:rsidRPr="00E40F31">
        <w:rPr>
          <w:rFonts w:ascii="Times New Roman" w:hAnsi="Times New Roman"/>
          <w:lang w:val="en-HK"/>
        </w:rPr>
        <w:t xml:space="preserve"> systematic redirection, leaving outcomes case-specific.</w:t>
      </w:r>
    </w:p>
    <w:p w14:paraId="4756BEBE" w14:textId="14AEFDD0" w:rsidR="006A3F84" w:rsidRPr="00E40F31" w:rsidRDefault="006A3F84" w:rsidP="00E40F31">
      <w:pPr>
        <w:numPr>
          <w:ilvl w:val="0"/>
          <w:numId w:val="12"/>
        </w:numPr>
        <w:spacing w:after="240" w:line="360" w:lineRule="auto"/>
        <w:rPr>
          <w:rFonts w:ascii="Times New Roman" w:hAnsi="Times New Roman"/>
          <w:lang w:val="en-HK"/>
        </w:rPr>
      </w:pPr>
      <w:proofErr w:type="spellStart"/>
      <w:r w:rsidRPr="00E40F31">
        <w:rPr>
          <w:rFonts w:ascii="Times New Roman" w:hAnsi="Times New Roman"/>
          <w:b/>
          <w:bCs/>
          <w:lang w:val="en-HK"/>
        </w:rPr>
        <w:t>CrowdJustice</w:t>
      </w:r>
      <w:proofErr w:type="spellEnd"/>
      <w:r w:rsidRPr="00E40F31">
        <w:rPr>
          <w:rFonts w:ascii="Times New Roman" w:hAnsi="Times New Roman"/>
          <w:b/>
          <w:bCs/>
          <w:lang w:val="en-HK"/>
        </w:rPr>
        <w:t xml:space="preserve"> Exception:</w:t>
      </w:r>
      <w:r w:rsidRPr="00E40F31">
        <w:rPr>
          <w:rFonts w:ascii="Times New Roman" w:hAnsi="Times New Roman"/>
          <w:lang w:val="en-HK"/>
        </w:rPr>
        <w:t xml:space="preserve"> Wilde notes that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allows direct receipt by “an organisation, charity or NGO” (p. 94), akin to GoFundMe’s flexibility. In such cases, if no trust forms (e.g., the entity is both trustee and beneficiary), surplus remains with the recipient unless terms dictate otherwise (p. 98, n. 22).</w:t>
      </w:r>
    </w:p>
    <w:p w14:paraId="6AA6E8FD" w14:textId="60193C42"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Comparative Analysis</w:t>
      </w:r>
    </w:p>
    <w:p w14:paraId="18C01E4C" w14:textId="08476FC9" w:rsidR="006A3F84" w:rsidRPr="00E40F31" w:rsidRDefault="006A3F84" w:rsidP="00E40F31">
      <w:pPr>
        <w:numPr>
          <w:ilvl w:val="0"/>
          <w:numId w:val="13"/>
        </w:numPr>
        <w:spacing w:after="240" w:line="360" w:lineRule="auto"/>
        <w:rPr>
          <w:rFonts w:ascii="Times New Roman" w:hAnsi="Times New Roman"/>
          <w:lang w:val="en-HK"/>
        </w:rPr>
      </w:pPr>
      <w:proofErr w:type="spellStart"/>
      <w:r w:rsidRPr="00E40F31">
        <w:rPr>
          <w:rFonts w:ascii="Times New Roman" w:hAnsi="Times New Roman"/>
          <w:b/>
          <w:bCs/>
          <w:lang w:val="en-HK"/>
        </w:rPr>
        <w:t>CrowdJustice</w:t>
      </w:r>
      <w:proofErr w:type="spellEnd"/>
      <w:r w:rsidRPr="00E40F31">
        <w:rPr>
          <w:rFonts w:ascii="Times New Roman" w:hAnsi="Times New Roman"/>
          <w:b/>
          <w:bCs/>
          <w:lang w:val="en-HK"/>
        </w:rPr>
        <w:t>:</w:t>
      </w:r>
      <w:r w:rsidRPr="00E40F31">
        <w:rPr>
          <w:rFonts w:ascii="Times New Roman" w:hAnsi="Times New Roman"/>
          <w:lang w:val="en-HK"/>
        </w:rPr>
        <w:t xml:space="preserve"> Surplus is systematically redirected to “similar causes” under contractual terms, enforced by the solicitor-trustee and </w:t>
      </w:r>
      <w:proofErr w:type="spellStart"/>
      <w:r w:rsidRPr="00E40F31">
        <w:rPr>
          <w:rFonts w:ascii="Times New Roman" w:hAnsi="Times New Roman"/>
          <w:lang w:val="en-HK"/>
        </w:rPr>
        <w:t>CrowdJustice’s</w:t>
      </w:r>
      <w:proofErr w:type="spellEnd"/>
      <w:r w:rsidRPr="00E40F31">
        <w:rPr>
          <w:rFonts w:ascii="Times New Roman" w:hAnsi="Times New Roman"/>
          <w:lang w:val="en-HK"/>
        </w:rPr>
        <w:t xml:space="preserve"> oversight, ensuring alignment with litigation goals (p. 95).</w:t>
      </w:r>
    </w:p>
    <w:p w14:paraId="2F546E5A" w14:textId="07F34D5A" w:rsidR="006A3F84" w:rsidRPr="00E40F31" w:rsidRDefault="006A3F84" w:rsidP="00E40F31">
      <w:pPr>
        <w:numPr>
          <w:ilvl w:val="0"/>
          <w:numId w:val="13"/>
        </w:numPr>
        <w:spacing w:after="240" w:line="360" w:lineRule="auto"/>
        <w:rPr>
          <w:rFonts w:ascii="Times New Roman" w:hAnsi="Times New Roman"/>
          <w:lang w:val="en-HK"/>
        </w:rPr>
      </w:pPr>
      <w:r w:rsidRPr="00E40F31">
        <w:rPr>
          <w:rFonts w:ascii="Times New Roman" w:hAnsi="Times New Roman"/>
          <w:b/>
          <w:bCs/>
          <w:lang w:val="en-HK"/>
        </w:rPr>
        <w:t>Other Platforms (e.g., GoFundMe):</w:t>
      </w:r>
      <w:r w:rsidRPr="00E40F31">
        <w:rPr>
          <w:rFonts w:ascii="Times New Roman" w:hAnsi="Times New Roman"/>
          <w:lang w:val="en-HK"/>
        </w:rPr>
        <w:t xml:space="preserve"> Surplus handling is less structured. Direct receipt by the litigant precludes a trust, </w:t>
      </w:r>
      <w:r w:rsidRPr="00E40F31">
        <w:rPr>
          <w:rFonts w:ascii="Times New Roman" w:hAnsi="Times New Roman"/>
          <w:color w:val="FF0000"/>
          <w:lang w:val="en-HK"/>
        </w:rPr>
        <w:t xml:space="preserve">leaving surplus with them unless legal action intervenes (p. 98). </w:t>
      </w:r>
      <w:r w:rsidRPr="00E40F31">
        <w:rPr>
          <w:rFonts w:ascii="Times New Roman" w:hAnsi="Times New Roman"/>
          <w:lang w:val="en-HK"/>
        </w:rPr>
        <w:t>Trusts may form with third-party involvement or specific undertakings, directing surplus to beneficiaries (e.g., charities) or donors, but this depends on ad hoc arrangements (p. 98).</w:t>
      </w:r>
      <w:r w:rsidR="00C75C05" w:rsidRPr="00E40F31">
        <w:rPr>
          <w:rFonts w:ascii="Times New Roman" w:hAnsi="Times New Roman"/>
          <w:lang w:val="en-HK"/>
        </w:rPr>
        <w:t>]</w:t>
      </w:r>
    </w:p>
    <w:p w14:paraId="75F705A7" w14:textId="77777777" w:rsidR="006A3F84" w:rsidRPr="00E40F31" w:rsidRDefault="00EB59E0" w:rsidP="00E40F31">
      <w:pPr>
        <w:spacing w:after="240" w:line="360" w:lineRule="auto"/>
        <w:rPr>
          <w:rFonts w:ascii="Times New Roman" w:hAnsi="Times New Roman"/>
          <w:lang w:val="en-HK"/>
        </w:rPr>
      </w:pPr>
      <w:r w:rsidRPr="00EB59E0">
        <w:rPr>
          <w:rFonts w:ascii="Times New Roman" w:hAnsi="Times New Roman"/>
          <w:noProof/>
          <w:lang w:val="en-HK"/>
          <w14:ligatures w14:val="standardContextual"/>
        </w:rPr>
        <w:pict w14:anchorId="3EAD5CD4">
          <v:rect id="_x0000_i1025" alt="" style="width:451.3pt;height:.05pt;mso-width-percent:0;mso-height-percent:0;mso-width-percent:0;mso-height-percent:0" o:hralign="center" o:hrstd="t" o:hr="t" fillcolor="#a0a0a0" stroked="f"/>
        </w:pict>
      </w:r>
    </w:p>
    <w:p w14:paraId="20A0DE8B" w14:textId="77777777" w:rsidR="006A3F84" w:rsidRPr="00E40F31" w:rsidRDefault="006A3F84" w:rsidP="00E40F31">
      <w:pPr>
        <w:spacing w:after="240" w:line="360" w:lineRule="auto"/>
        <w:outlineLvl w:val="2"/>
        <w:rPr>
          <w:rFonts w:ascii="Times New Roman" w:hAnsi="Times New Roman"/>
          <w:b/>
          <w:bCs/>
          <w:lang w:val="en-HK"/>
        </w:rPr>
      </w:pPr>
      <w:r w:rsidRPr="00E40F31">
        <w:rPr>
          <w:rFonts w:ascii="Times New Roman" w:hAnsi="Times New Roman"/>
          <w:b/>
          <w:bCs/>
          <w:lang w:val="en-HK"/>
        </w:rPr>
        <w:t>3. Case Analyses</w:t>
      </w:r>
    </w:p>
    <w:p w14:paraId="284C8D01" w14:textId="356FDEC1"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Re Sanderson’s Trust (1857) 3 K&amp;J 497, 69 ER 1206</w:t>
      </w:r>
    </w:p>
    <w:p w14:paraId="34EDB500" w14:textId="4CF04AD0" w:rsidR="006A3F84" w:rsidRPr="00E40F31" w:rsidRDefault="006A3F84" w:rsidP="00E40F31">
      <w:pPr>
        <w:numPr>
          <w:ilvl w:val="0"/>
          <w:numId w:val="7"/>
        </w:numPr>
        <w:spacing w:after="240" w:line="360" w:lineRule="auto"/>
        <w:rPr>
          <w:rFonts w:ascii="Times New Roman" w:hAnsi="Times New Roman"/>
          <w:lang w:val="en-HK"/>
        </w:rPr>
      </w:pPr>
      <w:r w:rsidRPr="00E40F31">
        <w:rPr>
          <w:rFonts w:ascii="Times New Roman" w:hAnsi="Times New Roman"/>
          <w:b/>
          <w:bCs/>
          <w:lang w:val="en-HK"/>
        </w:rPr>
        <w:t>Facts:</w:t>
      </w:r>
      <w:r w:rsidRPr="00E40F31">
        <w:rPr>
          <w:rFonts w:ascii="Times New Roman" w:hAnsi="Times New Roman"/>
          <w:lang w:val="en-HK"/>
        </w:rPr>
        <w:t xml:space="preserve"> A testator left property on trust for his mentally disabled brother’s lifetime, directing trustees to apply “the whole or any part of the income for his maintenance, attendance, and comfort” (p. 96). Upon the brother’s death, unused income remained.</w:t>
      </w:r>
    </w:p>
    <w:p w14:paraId="6BFF220E" w14:textId="26E189CA" w:rsidR="006A3F84" w:rsidRPr="00E40F31" w:rsidRDefault="006A3F84" w:rsidP="00E40F31">
      <w:pPr>
        <w:numPr>
          <w:ilvl w:val="0"/>
          <w:numId w:val="7"/>
        </w:numPr>
        <w:spacing w:after="240" w:line="360" w:lineRule="auto"/>
        <w:rPr>
          <w:rFonts w:ascii="Times New Roman" w:hAnsi="Times New Roman"/>
          <w:lang w:val="en-HK"/>
        </w:rPr>
      </w:pPr>
      <w:r w:rsidRPr="00E40F31">
        <w:rPr>
          <w:rFonts w:ascii="Times New Roman" w:hAnsi="Times New Roman"/>
          <w:b/>
          <w:bCs/>
          <w:lang w:val="en-HK"/>
        </w:rPr>
        <w:lastRenderedPageBreak/>
        <w:t>Held:</w:t>
      </w:r>
      <w:r w:rsidRPr="00E40F31">
        <w:rPr>
          <w:rFonts w:ascii="Times New Roman" w:hAnsi="Times New Roman"/>
          <w:lang w:val="en-HK"/>
        </w:rPr>
        <w:t xml:space="preserve"> Page Wood V-C ruled there was a resulting trust of unused income to the testator’s estate, not the brother’s estate (p. 96). The brother was entitled only to expenditure for maintenance, not the entire fund.</w:t>
      </w:r>
    </w:p>
    <w:p w14:paraId="31797DDB" w14:textId="105D9FC5" w:rsidR="006A3F84" w:rsidRPr="00E40F31" w:rsidRDefault="006A3F84" w:rsidP="00E40F31">
      <w:pPr>
        <w:numPr>
          <w:ilvl w:val="0"/>
          <w:numId w:val="7"/>
        </w:numPr>
        <w:spacing w:after="240" w:line="360" w:lineRule="auto"/>
        <w:rPr>
          <w:rFonts w:ascii="Times New Roman" w:hAnsi="Times New Roman"/>
          <w:lang w:val="en-HK"/>
        </w:rPr>
      </w:pPr>
      <w:r w:rsidRPr="00E40F31">
        <w:rPr>
          <w:rFonts w:ascii="Times New Roman" w:hAnsi="Times New Roman"/>
          <w:b/>
          <w:bCs/>
          <w:lang w:val="en-HK"/>
        </w:rPr>
        <w:t>Reasoning:</w:t>
      </w:r>
      <w:r w:rsidRPr="00E40F31">
        <w:rPr>
          <w:rFonts w:ascii="Times New Roman" w:hAnsi="Times New Roman"/>
          <w:lang w:val="en-HK"/>
        </w:rPr>
        <w:t xml:space="preserve"> The judge stated: “I do not think [the trust] confers on him an absolute right to have the whole income applied, except in the event of a case being made, that the whole was wanted for the specific purposes directed by the will. It is not the whole income that is given. It is ‘the whole or any part’” (p. 97, quoting (1857) 3 K&amp;J 497, 507-8). He distinguished this from cases where an entire fund is given with a purpose as a motive (p. 97).</w:t>
      </w:r>
    </w:p>
    <w:p w14:paraId="1CDE13E0" w14:textId="77777777" w:rsidR="006A3F84" w:rsidRPr="00E40F31" w:rsidRDefault="006A3F84" w:rsidP="00E40F31">
      <w:pPr>
        <w:numPr>
          <w:ilvl w:val="0"/>
          <w:numId w:val="7"/>
        </w:numPr>
        <w:spacing w:after="240" w:line="360" w:lineRule="auto"/>
        <w:rPr>
          <w:rFonts w:ascii="Times New Roman" w:hAnsi="Times New Roman"/>
          <w:lang w:val="en-HK"/>
        </w:rPr>
      </w:pPr>
      <w:r w:rsidRPr="00E40F31">
        <w:rPr>
          <w:rFonts w:ascii="Times New Roman" w:hAnsi="Times New Roman"/>
          <w:b/>
          <w:bCs/>
          <w:lang w:val="en-HK"/>
        </w:rPr>
        <w:t xml:space="preserve">Application to </w:t>
      </w:r>
      <w:proofErr w:type="spellStart"/>
      <w:r w:rsidRPr="00E40F31">
        <w:rPr>
          <w:rFonts w:ascii="Times New Roman" w:hAnsi="Times New Roman"/>
          <w:b/>
          <w:bCs/>
          <w:lang w:val="en-HK"/>
        </w:rPr>
        <w:t>CrowdJustice</w:t>
      </w:r>
      <w:proofErr w:type="spellEnd"/>
      <w:r w:rsidRPr="00E40F31">
        <w:rPr>
          <w:rFonts w:ascii="Times New Roman" w:hAnsi="Times New Roman"/>
          <w:b/>
          <w:bCs/>
          <w:lang w:val="en-HK"/>
        </w:rPr>
        <w:t>:</w:t>
      </w:r>
      <w:r w:rsidRPr="00E40F31">
        <w:rPr>
          <w:rFonts w:ascii="Times New Roman" w:hAnsi="Times New Roman"/>
          <w:lang w:val="en-HK"/>
        </w:rPr>
        <w:t xml:space="preserve"> Wilde uses this as the “leading authority” for a beneficiary trust </w:t>
      </w:r>
      <w:r w:rsidRPr="00E40F31">
        <w:rPr>
          <w:rFonts w:ascii="Times New Roman" w:hAnsi="Times New Roman"/>
          <w:b/>
          <w:bCs/>
          <w:lang w:val="en-HK"/>
        </w:rPr>
        <w:t>where the beneficiary’s right is limited to expenditure on a purpose (litigation costs), with surplus not belonging to them</w:t>
      </w:r>
      <w:r w:rsidRPr="00E40F31">
        <w:rPr>
          <w:rFonts w:ascii="Times New Roman" w:hAnsi="Times New Roman"/>
          <w:lang w:val="en-HK"/>
        </w:rPr>
        <w:t xml:space="preserve"> (p. 96). In </w:t>
      </w:r>
      <w:proofErr w:type="spellStart"/>
      <w:r w:rsidRPr="00E40F31">
        <w:rPr>
          <w:rFonts w:ascii="Times New Roman" w:hAnsi="Times New Roman"/>
          <w:lang w:val="en-HK"/>
        </w:rPr>
        <w:t>CrowdJustice</w:t>
      </w:r>
      <w:proofErr w:type="spellEnd"/>
      <w:r w:rsidRPr="00E40F31">
        <w:rPr>
          <w:rFonts w:ascii="Times New Roman" w:hAnsi="Times New Roman"/>
          <w:lang w:val="en-HK"/>
        </w:rPr>
        <w:t>, the litigant’s benefit is similarly restricted, with surplus redirected per the terms (p. 97).</w:t>
      </w:r>
    </w:p>
    <w:p w14:paraId="0EAD3FA3" w14:textId="77777777" w:rsidR="006A3F84" w:rsidRPr="00E40F31" w:rsidRDefault="006A3F84" w:rsidP="00E40F31">
      <w:pPr>
        <w:spacing w:after="240" w:line="360" w:lineRule="auto"/>
        <w:ind w:left="720"/>
        <w:rPr>
          <w:rFonts w:ascii="Times New Roman" w:hAnsi="Times New Roman"/>
          <w:lang w:val="en-HK"/>
        </w:rPr>
      </w:pPr>
    </w:p>
    <w:p w14:paraId="676F202C" w14:textId="72C70A6D"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 xml:space="preserve">Saunders v </w:t>
      </w:r>
      <w:proofErr w:type="spellStart"/>
      <w:r w:rsidRPr="00E40F31">
        <w:rPr>
          <w:rFonts w:ascii="Times New Roman" w:hAnsi="Times New Roman"/>
          <w:b/>
          <w:bCs/>
          <w:lang w:val="en-HK"/>
        </w:rPr>
        <w:t>Vautier</w:t>
      </w:r>
      <w:proofErr w:type="spellEnd"/>
      <w:r w:rsidRPr="00E40F31">
        <w:rPr>
          <w:rFonts w:ascii="Times New Roman" w:hAnsi="Times New Roman"/>
          <w:b/>
          <w:bCs/>
          <w:lang w:val="en-HK"/>
        </w:rPr>
        <w:t xml:space="preserve"> (1841) 4 </w:t>
      </w:r>
      <w:proofErr w:type="spellStart"/>
      <w:r w:rsidRPr="00E40F31">
        <w:rPr>
          <w:rFonts w:ascii="Times New Roman" w:hAnsi="Times New Roman"/>
          <w:b/>
          <w:bCs/>
          <w:lang w:val="en-HK"/>
        </w:rPr>
        <w:t>Beav</w:t>
      </w:r>
      <w:proofErr w:type="spellEnd"/>
      <w:r w:rsidRPr="00E40F31">
        <w:rPr>
          <w:rFonts w:ascii="Times New Roman" w:hAnsi="Times New Roman"/>
          <w:b/>
          <w:bCs/>
          <w:lang w:val="en-HK"/>
        </w:rPr>
        <w:t xml:space="preserve"> 115, 49 ER 282</w:t>
      </w:r>
    </w:p>
    <w:p w14:paraId="7677EB16" w14:textId="236545A4" w:rsidR="006A3F84" w:rsidRPr="00E40F31" w:rsidRDefault="006A3F84" w:rsidP="00E40F31">
      <w:pPr>
        <w:numPr>
          <w:ilvl w:val="0"/>
          <w:numId w:val="8"/>
        </w:numPr>
        <w:spacing w:after="240" w:line="360" w:lineRule="auto"/>
        <w:rPr>
          <w:rFonts w:ascii="Times New Roman" w:hAnsi="Times New Roman"/>
          <w:lang w:val="en-HK"/>
        </w:rPr>
      </w:pPr>
      <w:r w:rsidRPr="00E40F31">
        <w:rPr>
          <w:rFonts w:ascii="Times New Roman" w:hAnsi="Times New Roman"/>
          <w:b/>
          <w:bCs/>
          <w:lang w:val="en-HK"/>
        </w:rPr>
        <w:t>Facts:</w:t>
      </w:r>
      <w:r w:rsidRPr="00E40F31">
        <w:rPr>
          <w:rFonts w:ascii="Times New Roman" w:hAnsi="Times New Roman"/>
          <w:lang w:val="en-HK"/>
        </w:rPr>
        <w:t xml:space="preserve"> While not detailed in the document, this case establishes that beneficiaries of full capacity, wholly entitled to trust assets, can collapse the trust and take the property, disregarding its terms (p. 97).</w:t>
      </w:r>
    </w:p>
    <w:p w14:paraId="3C059950" w14:textId="158D3266" w:rsidR="006A3F84" w:rsidRPr="00E40F31" w:rsidRDefault="006A3F84" w:rsidP="00E40F31">
      <w:pPr>
        <w:numPr>
          <w:ilvl w:val="0"/>
          <w:numId w:val="8"/>
        </w:numPr>
        <w:spacing w:after="240" w:line="360" w:lineRule="auto"/>
        <w:rPr>
          <w:rFonts w:ascii="Times New Roman" w:hAnsi="Times New Roman"/>
          <w:lang w:val="en-HK"/>
        </w:rPr>
      </w:pPr>
      <w:r w:rsidRPr="00E40F31">
        <w:rPr>
          <w:rFonts w:ascii="Times New Roman" w:hAnsi="Times New Roman"/>
          <w:b/>
          <w:bCs/>
          <w:lang w:val="en-HK"/>
        </w:rPr>
        <w:t>Held and Reasoning (Implied):</w:t>
      </w:r>
      <w:r w:rsidRPr="00E40F31">
        <w:rPr>
          <w:rFonts w:ascii="Times New Roman" w:hAnsi="Times New Roman"/>
          <w:lang w:val="en-HK"/>
        </w:rPr>
        <w:t xml:space="preserve"> The rule empowers beneficiaries to override settlor intent if they hold the entire beneficial interest (p. 97).</w:t>
      </w:r>
    </w:p>
    <w:p w14:paraId="3DD76010" w14:textId="77777777" w:rsidR="006A3F84" w:rsidRPr="00E40F31" w:rsidRDefault="006A3F84" w:rsidP="00E40F31">
      <w:pPr>
        <w:numPr>
          <w:ilvl w:val="0"/>
          <w:numId w:val="8"/>
        </w:numPr>
        <w:spacing w:after="240" w:line="360" w:lineRule="auto"/>
        <w:rPr>
          <w:rFonts w:ascii="Times New Roman" w:hAnsi="Times New Roman"/>
          <w:lang w:val="en-HK"/>
        </w:rPr>
      </w:pPr>
      <w:r w:rsidRPr="00E40F31">
        <w:rPr>
          <w:rFonts w:ascii="Times New Roman" w:hAnsi="Times New Roman"/>
          <w:b/>
          <w:bCs/>
          <w:lang w:val="en-HK"/>
        </w:rPr>
        <w:t xml:space="preserve">Application to </w:t>
      </w:r>
      <w:proofErr w:type="spellStart"/>
      <w:r w:rsidRPr="00E40F31">
        <w:rPr>
          <w:rFonts w:ascii="Times New Roman" w:hAnsi="Times New Roman"/>
          <w:b/>
          <w:bCs/>
          <w:lang w:val="en-HK"/>
        </w:rPr>
        <w:t>CrowdJustice</w:t>
      </w:r>
      <w:proofErr w:type="spellEnd"/>
      <w:r w:rsidRPr="00E40F31">
        <w:rPr>
          <w:rFonts w:ascii="Times New Roman" w:hAnsi="Times New Roman"/>
          <w:b/>
          <w:bCs/>
          <w:lang w:val="en-HK"/>
        </w:rPr>
        <w:t>:</w:t>
      </w:r>
      <w:r w:rsidRPr="00E40F31">
        <w:rPr>
          <w:rFonts w:ascii="Times New Roman" w:hAnsi="Times New Roman"/>
          <w:lang w:val="en-HK"/>
        </w:rPr>
        <w:t xml:space="preserve"> Wilde argues the litigant-beneficiary, entitled only to litigation cost payments with surplus for similar causes, is “not solely entitled to the benefit of the entire trust fund” and thus cannot use </w:t>
      </w:r>
      <w:r w:rsidRPr="00E40F31">
        <w:rPr>
          <w:rFonts w:ascii="Times New Roman" w:hAnsi="Times New Roman"/>
          <w:i/>
          <w:iCs/>
          <w:lang w:val="en-HK"/>
        </w:rPr>
        <w:t xml:space="preserve">Saunders v </w:t>
      </w:r>
      <w:proofErr w:type="spellStart"/>
      <w:r w:rsidRPr="00E40F31">
        <w:rPr>
          <w:rFonts w:ascii="Times New Roman" w:hAnsi="Times New Roman"/>
          <w:i/>
          <w:iCs/>
          <w:lang w:val="en-HK"/>
        </w:rPr>
        <w:t>Vautier</w:t>
      </w:r>
      <w:proofErr w:type="spellEnd"/>
      <w:r w:rsidRPr="00E40F31">
        <w:rPr>
          <w:rFonts w:ascii="Times New Roman" w:hAnsi="Times New Roman"/>
          <w:lang w:val="en-HK"/>
        </w:rPr>
        <w:t xml:space="preserve"> alone (p. 97). Cooperation with those entitled to surplus (often unascertained) is impractical (p. 97).</w:t>
      </w:r>
    </w:p>
    <w:p w14:paraId="0A8D2307" w14:textId="77777777" w:rsidR="006A3F84" w:rsidRPr="00E40F31" w:rsidRDefault="006A3F84" w:rsidP="00E40F31">
      <w:pPr>
        <w:spacing w:after="240" w:line="360" w:lineRule="auto"/>
        <w:ind w:left="720"/>
        <w:rPr>
          <w:rFonts w:ascii="Times New Roman" w:hAnsi="Times New Roman"/>
          <w:lang w:val="en-HK"/>
        </w:rPr>
      </w:pPr>
    </w:p>
    <w:p w14:paraId="11FA4F14" w14:textId="2454D660"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 xml:space="preserve">Stokes v Cheek (1860) 28 </w:t>
      </w:r>
      <w:proofErr w:type="spellStart"/>
      <w:r w:rsidRPr="00E40F31">
        <w:rPr>
          <w:rFonts w:ascii="Times New Roman" w:hAnsi="Times New Roman"/>
          <w:b/>
          <w:bCs/>
          <w:lang w:val="en-HK"/>
        </w:rPr>
        <w:t>Beav</w:t>
      </w:r>
      <w:proofErr w:type="spellEnd"/>
      <w:r w:rsidRPr="00E40F31">
        <w:rPr>
          <w:rFonts w:ascii="Times New Roman" w:hAnsi="Times New Roman"/>
          <w:b/>
          <w:bCs/>
          <w:lang w:val="en-HK"/>
        </w:rPr>
        <w:t xml:space="preserve"> 620, 54 ER 504</w:t>
      </w:r>
    </w:p>
    <w:p w14:paraId="1FED32A5" w14:textId="3D0F571B" w:rsidR="006A3F84" w:rsidRPr="00E40F31" w:rsidRDefault="006A3F84" w:rsidP="00E40F31">
      <w:pPr>
        <w:numPr>
          <w:ilvl w:val="0"/>
          <w:numId w:val="9"/>
        </w:numPr>
        <w:spacing w:after="240" w:line="360" w:lineRule="auto"/>
        <w:rPr>
          <w:rFonts w:ascii="Times New Roman" w:hAnsi="Times New Roman"/>
          <w:lang w:val="en-HK"/>
        </w:rPr>
      </w:pPr>
      <w:r w:rsidRPr="00E40F31">
        <w:rPr>
          <w:rFonts w:ascii="Times New Roman" w:hAnsi="Times New Roman"/>
          <w:b/>
          <w:bCs/>
          <w:lang w:val="en-HK"/>
        </w:rPr>
        <w:t>Facts:</w:t>
      </w:r>
      <w:r w:rsidRPr="00E40F31">
        <w:rPr>
          <w:rFonts w:ascii="Times New Roman" w:hAnsi="Times New Roman"/>
          <w:lang w:val="en-HK"/>
        </w:rPr>
        <w:t xml:space="preserve"> A settlor’s will directed trustees to use money to buy annuities for beneficiaries, explicitly barring them from taking the money directly (p. 97).</w:t>
      </w:r>
    </w:p>
    <w:p w14:paraId="05BB9682" w14:textId="1B2B4FE6" w:rsidR="006A3F84" w:rsidRPr="00E40F31" w:rsidRDefault="006A3F84" w:rsidP="00E40F31">
      <w:pPr>
        <w:numPr>
          <w:ilvl w:val="0"/>
          <w:numId w:val="9"/>
        </w:numPr>
        <w:spacing w:after="240" w:line="360" w:lineRule="auto"/>
        <w:rPr>
          <w:rFonts w:ascii="Times New Roman" w:hAnsi="Times New Roman"/>
          <w:lang w:val="en-HK"/>
        </w:rPr>
      </w:pPr>
      <w:r w:rsidRPr="00E40F31">
        <w:rPr>
          <w:rFonts w:ascii="Times New Roman" w:hAnsi="Times New Roman"/>
          <w:b/>
          <w:bCs/>
          <w:lang w:val="en-HK"/>
        </w:rPr>
        <w:lastRenderedPageBreak/>
        <w:t>Held:</w:t>
      </w:r>
      <w:r w:rsidRPr="00E40F31">
        <w:rPr>
          <w:rFonts w:ascii="Times New Roman" w:hAnsi="Times New Roman"/>
          <w:lang w:val="en-HK"/>
        </w:rPr>
        <w:t xml:space="preserve"> Sir John Romilly MR allowed beneficiaries to collapse the trust and take the money, ruling: “The annuitants are entitled to such a sum as would be required to purchase their annuities” (p. 97, quoting (1860) 28 </w:t>
      </w:r>
      <w:proofErr w:type="spellStart"/>
      <w:r w:rsidRPr="00E40F31">
        <w:rPr>
          <w:rFonts w:ascii="Times New Roman" w:hAnsi="Times New Roman"/>
          <w:lang w:val="en-HK"/>
        </w:rPr>
        <w:t>Beav</w:t>
      </w:r>
      <w:proofErr w:type="spellEnd"/>
      <w:r w:rsidRPr="00E40F31">
        <w:rPr>
          <w:rFonts w:ascii="Times New Roman" w:hAnsi="Times New Roman"/>
          <w:lang w:val="en-HK"/>
        </w:rPr>
        <w:t xml:space="preserve"> 620, 621).</w:t>
      </w:r>
    </w:p>
    <w:p w14:paraId="25E3F95B" w14:textId="3E13FCA2" w:rsidR="006A3F84" w:rsidRPr="00E40F31" w:rsidRDefault="006A3F84" w:rsidP="00E40F31">
      <w:pPr>
        <w:numPr>
          <w:ilvl w:val="0"/>
          <w:numId w:val="9"/>
        </w:numPr>
        <w:spacing w:after="240" w:line="360" w:lineRule="auto"/>
        <w:rPr>
          <w:rFonts w:ascii="Times New Roman" w:hAnsi="Times New Roman"/>
          <w:lang w:val="en-HK"/>
        </w:rPr>
      </w:pPr>
      <w:r w:rsidRPr="00E40F31">
        <w:rPr>
          <w:rFonts w:ascii="Times New Roman" w:hAnsi="Times New Roman"/>
          <w:b/>
          <w:bCs/>
          <w:lang w:val="en-HK"/>
        </w:rPr>
        <w:t>Reasoning:</w:t>
      </w:r>
      <w:r w:rsidRPr="00E40F31">
        <w:rPr>
          <w:rFonts w:ascii="Times New Roman" w:hAnsi="Times New Roman"/>
          <w:lang w:val="en-HK"/>
        </w:rPr>
        <w:t xml:space="preserve"> The court held that beneficiaries could demand funds needed for the purpose, overriding the settlor’s restriction (p. 97). This suggests </w:t>
      </w:r>
      <w:r w:rsidRPr="00E40F31">
        <w:rPr>
          <w:rFonts w:ascii="Times New Roman" w:hAnsi="Times New Roman"/>
          <w:i/>
          <w:iCs/>
          <w:lang w:val="en-HK"/>
        </w:rPr>
        <w:t xml:space="preserve">Saunders v </w:t>
      </w:r>
      <w:proofErr w:type="spellStart"/>
      <w:r w:rsidRPr="00E40F31">
        <w:rPr>
          <w:rFonts w:ascii="Times New Roman" w:hAnsi="Times New Roman"/>
          <w:i/>
          <w:iCs/>
          <w:lang w:val="en-HK"/>
        </w:rPr>
        <w:t>Vautier</w:t>
      </w:r>
      <w:proofErr w:type="spellEnd"/>
      <w:r w:rsidRPr="00E40F31">
        <w:rPr>
          <w:rFonts w:ascii="Times New Roman" w:hAnsi="Times New Roman"/>
          <w:lang w:val="en-HK"/>
        </w:rPr>
        <w:t xml:space="preserve"> cannot be unilaterally excluded (p. 97, citing </w:t>
      </w:r>
      <w:proofErr w:type="spellStart"/>
      <w:r w:rsidRPr="00E40F31">
        <w:rPr>
          <w:rFonts w:ascii="Times New Roman" w:hAnsi="Times New Roman"/>
          <w:lang w:val="en-HK"/>
        </w:rPr>
        <w:t>Jaconelli</w:t>
      </w:r>
      <w:proofErr w:type="spellEnd"/>
      <w:r w:rsidRPr="00E40F31">
        <w:rPr>
          <w:rFonts w:ascii="Times New Roman" w:hAnsi="Times New Roman"/>
          <w:lang w:val="en-HK"/>
        </w:rPr>
        <w:t>, ‘Premature Trust Termination’ [2020] Conv 29, 39-42).</w:t>
      </w:r>
    </w:p>
    <w:p w14:paraId="35E1E29D" w14:textId="77777777" w:rsidR="006A3F84" w:rsidRPr="00E40F31" w:rsidRDefault="006A3F84" w:rsidP="00E40F31">
      <w:pPr>
        <w:numPr>
          <w:ilvl w:val="0"/>
          <w:numId w:val="9"/>
        </w:numPr>
        <w:spacing w:after="240" w:line="360" w:lineRule="auto"/>
        <w:rPr>
          <w:rFonts w:ascii="Times New Roman" w:hAnsi="Times New Roman"/>
          <w:lang w:val="en-HK"/>
        </w:rPr>
      </w:pPr>
      <w:r w:rsidRPr="00E40F31">
        <w:rPr>
          <w:rFonts w:ascii="Times New Roman" w:hAnsi="Times New Roman"/>
          <w:b/>
          <w:bCs/>
          <w:lang w:val="en-HK"/>
        </w:rPr>
        <w:t xml:space="preserve">Application to </w:t>
      </w:r>
      <w:proofErr w:type="spellStart"/>
      <w:r w:rsidRPr="00E40F31">
        <w:rPr>
          <w:rFonts w:ascii="Times New Roman" w:hAnsi="Times New Roman"/>
          <w:b/>
          <w:bCs/>
          <w:lang w:val="en-HK"/>
        </w:rPr>
        <w:t>CrowdJustice</w:t>
      </w:r>
      <w:proofErr w:type="spellEnd"/>
      <w:r w:rsidRPr="00E40F31">
        <w:rPr>
          <w:rFonts w:ascii="Times New Roman" w:hAnsi="Times New Roman"/>
          <w:b/>
          <w:bCs/>
          <w:lang w:val="en-HK"/>
        </w:rPr>
        <w:t>:</w:t>
      </w:r>
      <w:r w:rsidRPr="00E40F31">
        <w:rPr>
          <w:rFonts w:ascii="Times New Roman" w:hAnsi="Times New Roman"/>
          <w:lang w:val="en-HK"/>
        </w:rPr>
        <w:t xml:space="preserve"> Initially, the litigant might seem able to demand funds needed for litigation costs (p. 97). However, Wilde counters that the litigant’s contractual undertaking under </w:t>
      </w:r>
      <w:proofErr w:type="spellStart"/>
      <w:r w:rsidRPr="00E40F31">
        <w:rPr>
          <w:rFonts w:ascii="Times New Roman" w:hAnsi="Times New Roman"/>
          <w:lang w:val="en-HK"/>
        </w:rPr>
        <w:t>CrowdJustice</w:t>
      </w:r>
      <w:proofErr w:type="spellEnd"/>
      <w:r w:rsidRPr="00E40F31">
        <w:rPr>
          <w:rFonts w:ascii="Times New Roman" w:hAnsi="Times New Roman"/>
          <w:lang w:val="en-HK"/>
        </w:rPr>
        <w:t xml:space="preserve"> terms—“funds raised would be used solely to cover their litigation costs (with express provision for any surplus)” (p. 97)—constitutes a promise not to collapse the trust. Lewin on Trusts supports this: “it seems that the beneficiaries … may effectively contract not to exercise the right to call for the trust property” (p. 97, quoting Tucker et al., </w:t>
      </w:r>
      <w:r w:rsidRPr="00E40F31">
        <w:rPr>
          <w:rFonts w:ascii="Times New Roman" w:hAnsi="Times New Roman"/>
          <w:i/>
          <w:iCs/>
          <w:lang w:val="en-HK"/>
        </w:rPr>
        <w:t>Lewin on Trusts</w:t>
      </w:r>
      <w:r w:rsidRPr="00E40F31">
        <w:rPr>
          <w:rFonts w:ascii="Times New Roman" w:hAnsi="Times New Roman"/>
          <w:lang w:val="en-HK"/>
        </w:rPr>
        <w:t xml:space="preserve"> (20th </w:t>
      </w:r>
      <w:proofErr w:type="spellStart"/>
      <w:r w:rsidRPr="00E40F31">
        <w:rPr>
          <w:rFonts w:ascii="Times New Roman" w:hAnsi="Times New Roman"/>
          <w:lang w:val="en-HK"/>
        </w:rPr>
        <w:t>edn</w:t>
      </w:r>
      <w:proofErr w:type="spellEnd"/>
      <w:r w:rsidRPr="00E40F31">
        <w:rPr>
          <w:rFonts w:ascii="Times New Roman" w:hAnsi="Times New Roman"/>
          <w:lang w:val="en-HK"/>
        </w:rPr>
        <w:t xml:space="preserve">, 2020), para 22-016). Wilde argues courts have discretion to refuse </w:t>
      </w:r>
      <w:r w:rsidRPr="00E40F31">
        <w:rPr>
          <w:rFonts w:ascii="Times New Roman" w:hAnsi="Times New Roman"/>
          <w:i/>
          <w:iCs/>
          <w:lang w:val="en-HK"/>
        </w:rPr>
        <w:t xml:space="preserve">Saunders v </w:t>
      </w:r>
      <w:proofErr w:type="spellStart"/>
      <w:r w:rsidRPr="00E40F31">
        <w:rPr>
          <w:rFonts w:ascii="Times New Roman" w:hAnsi="Times New Roman"/>
          <w:i/>
          <w:iCs/>
          <w:lang w:val="en-HK"/>
        </w:rPr>
        <w:t>Vautier</w:t>
      </w:r>
      <w:proofErr w:type="spellEnd"/>
      <w:r w:rsidRPr="00E40F31">
        <w:rPr>
          <w:rFonts w:ascii="Times New Roman" w:hAnsi="Times New Roman"/>
          <w:lang w:val="en-HK"/>
        </w:rPr>
        <w:t xml:space="preserve"> applications for good reason, such as upholding this contract (p. 98, citing Wilde, ‘The Nature of Saunders v </w:t>
      </w:r>
      <w:proofErr w:type="spellStart"/>
      <w:r w:rsidRPr="00E40F31">
        <w:rPr>
          <w:rFonts w:ascii="Times New Roman" w:hAnsi="Times New Roman"/>
          <w:lang w:val="en-HK"/>
        </w:rPr>
        <w:t>Vautier</w:t>
      </w:r>
      <w:proofErr w:type="spellEnd"/>
      <w:r w:rsidRPr="00E40F31">
        <w:rPr>
          <w:rFonts w:ascii="Times New Roman" w:hAnsi="Times New Roman"/>
          <w:lang w:val="en-HK"/>
        </w:rPr>
        <w:t xml:space="preserve"> Applications’ (2023) 37 TLI 67), rendering the power unavailable (p. 98).</w:t>
      </w:r>
    </w:p>
    <w:p w14:paraId="35BF709C" w14:textId="77777777" w:rsidR="006A3F84" w:rsidRPr="00E40F31" w:rsidRDefault="006A3F84" w:rsidP="00E40F31">
      <w:pPr>
        <w:spacing w:after="240" w:line="360" w:lineRule="auto"/>
        <w:ind w:left="720"/>
        <w:rPr>
          <w:rFonts w:ascii="Times New Roman" w:hAnsi="Times New Roman"/>
          <w:lang w:val="en-HK"/>
        </w:rPr>
      </w:pPr>
    </w:p>
    <w:p w14:paraId="0C4FE6C5" w14:textId="77777777" w:rsidR="006A3F84" w:rsidRPr="00E40F31" w:rsidRDefault="006A3F84" w:rsidP="00E40F31">
      <w:pPr>
        <w:spacing w:after="240" w:line="360" w:lineRule="auto"/>
        <w:rPr>
          <w:rFonts w:ascii="Times New Roman" w:hAnsi="Times New Roman"/>
          <w:lang w:val="en-HK"/>
        </w:rPr>
      </w:pPr>
      <w:r w:rsidRPr="00E40F31">
        <w:rPr>
          <w:rFonts w:ascii="Times New Roman" w:hAnsi="Times New Roman"/>
          <w:b/>
          <w:bCs/>
          <w:lang w:val="en-HK"/>
        </w:rPr>
        <w:t>Arguments and Analysis</w:t>
      </w:r>
    </w:p>
    <w:p w14:paraId="7054BBBA" w14:textId="77777777" w:rsidR="006A3F84" w:rsidRPr="00E40F31" w:rsidRDefault="006A3F84" w:rsidP="00E40F31">
      <w:pPr>
        <w:spacing w:after="240" w:line="360" w:lineRule="auto"/>
        <w:rPr>
          <w:rFonts w:ascii="Times New Roman" w:hAnsi="Times New Roman"/>
          <w:lang w:val="en-HK"/>
        </w:rPr>
      </w:pPr>
    </w:p>
    <w:p w14:paraId="4C047E18" w14:textId="7328B7FC" w:rsidR="006A3F84" w:rsidRPr="00E40F31" w:rsidRDefault="006A3F84" w:rsidP="00E40F31">
      <w:pPr>
        <w:numPr>
          <w:ilvl w:val="0"/>
          <w:numId w:val="10"/>
        </w:numPr>
        <w:spacing w:after="240" w:line="360" w:lineRule="auto"/>
        <w:rPr>
          <w:rFonts w:ascii="Times New Roman" w:hAnsi="Times New Roman"/>
          <w:lang w:val="en-HK"/>
        </w:rPr>
      </w:pPr>
      <w:r w:rsidRPr="00E40F31">
        <w:rPr>
          <w:rFonts w:ascii="Times New Roman" w:hAnsi="Times New Roman"/>
          <w:b/>
          <w:bCs/>
          <w:lang w:val="en-HK"/>
        </w:rPr>
        <w:t>Re Sanderson’s Trust:</w:t>
      </w:r>
      <w:r w:rsidRPr="00E40F31">
        <w:rPr>
          <w:rFonts w:ascii="Times New Roman" w:hAnsi="Times New Roman"/>
          <w:lang w:val="en-HK"/>
        </w:rPr>
        <w:t xml:space="preserve"> Validates Wilde’s model by showing a beneficiary’s right can be limited to purpose-driven expenditure, with surplus reverting elsewhere, aligning with </w:t>
      </w:r>
      <w:proofErr w:type="spellStart"/>
      <w:r w:rsidRPr="00E40F31">
        <w:rPr>
          <w:rFonts w:ascii="Times New Roman" w:hAnsi="Times New Roman"/>
          <w:lang w:val="en-HK"/>
        </w:rPr>
        <w:t>CrowdJustice’s</w:t>
      </w:r>
      <w:proofErr w:type="spellEnd"/>
      <w:r w:rsidRPr="00E40F31">
        <w:rPr>
          <w:rFonts w:ascii="Times New Roman" w:hAnsi="Times New Roman"/>
          <w:lang w:val="en-HK"/>
        </w:rPr>
        <w:t xml:space="preserve"> structure (p. 96-97).</w:t>
      </w:r>
    </w:p>
    <w:p w14:paraId="63664824" w14:textId="77777777" w:rsidR="006A3F84" w:rsidRPr="00E40F31" w:rsidRDefault="006A3F84" w:rsidP="00E40F31">
      <w:pPr>
        <w:numPr>
          <w:ilvl w:val="0"/>
          <w:numId w:val="10"/>
        </w:numPr>
        <w:spacing w:after="240" w:line="360" w:lineRule="auto"/>
        <w:rPr>
          <w:rFonts w:ascii="Times New Roman" w:hAnsi="Times New Roman"/>
          <w:lang w:val="en-HK"/>
        </w:rPr>
      </w:pPr>
      <w:r w:rsidRPr="00E40F31">
        <w:rPr>
          <w:rFonts w:ascii="Times New Roman" w:hAnsi="Times New Roman"/>
          <w:b/>
          <w:bCs/>
          <w:lang w:val="en-HK"/>
        </w:rPr>
        <w:t xml:space="preserve">Saunders v </w:t>
      </w:r>
      <w:proofErr w:type="spellStart"/>
      <w:r w:rsidRPr="00E40F31">
        <w:rPr>
          <w:rFonts w:ascii="Times New Roman" w:hAnsi="Times New Roman"/>
          <w:b/>
          <w:bCs/>
          <w:lang w:val="en-HK"/>
        </w:rPr>
        <w:t>Vautier</w:t>
      </w:r>
      <w:proofErr w:type="spellEnd"/>
      <w:r w:rsidRPr="00E40F31">
        <w:rPr>
          <w:rFonts w:ascii="Times New Roman" w:hAnsi="Times New Roman"/>
          <w:b/>
          <w:bCs/>
          <w:lang w:val="en-HK"/>
        </w:rPr>
        <w:t xml:space="preserve"> and Stokes v Cheek:</w:t>
      </w:r>
      <w:r w:rsidRPr="00E40F31">
        <w:rPr>
          <w:rFonts w:ascii="Times New Roman" w:hAnsi="Times New Roman"/>
          <w:lang w:val="en-HK"/>
        </w:rPr>
        <w:t xml:space="preserve"> Highlight a tension—beneficiaries might typically demand purpose-related funds (</w:t>
      </w:r>
      <w:r w:rsidRPr="00E40F31">
        <w:rPr>
          <w:rFonts w:ascii="Times New Roman" w:hAnsi="Times New Roman"/>
          <w:i/>
          <w:iCs/>
          <w:lang w:val="en-HK"/>
        </w:rPr>
        <w:t>Stokes</w:t>
      </w:r>
      <w:r w:rsidRPr="00E40F31">
        <w:rPr>
          <w:rFonts w:ascii="Times New Roman" w:hAnsi="Times New Roman"/>
          <w:lang w:val="en-HK"/>
        </w:rPr>
        <w:t xml:space="preserve">), but Wilde leverages the contractual framework and judicial discretion to argue this is precluded in </w:t>
      </w:r>
      <w:proofErr w:type="spellStart"/>
      <w:r w:rsidRPr="00E40F31">
        <w:rPr>
          <w:rFonts w:ascii="Times New Roman" w:hAnsi="Times New Roman"/>
          <w:lang w:val="en-HK"/>
        </w:rPr>
        <w:t>CrowdJustice</w:t>
      </w:r>
      <w:proofErr w:type="spellEnd"/>
      <w:r w:rsidRPr="00E40F31">
        <w:rPr>
          <w:rFonts w:ascii="Times New Roman" w:hAnsi="Times New Roman"/>
          <w:lang w:val="en-HK"/>
        </w:rPr>
        <w:t>, ensuring funds adhere to the intended purpose and surplus redirection (p. 97-98).</w:t>
      </w:r>
    </w:p>
    <w:p w14:paraId="65EA7CB8" w14:textId="77777777" w:rsidR="006A3F84" w:rsidRPr="00E40F31" w:rsidRDefault="006A3F84" w:rsidP="00E40F31">
      <w:pPr>
        <w:spacing w:after="240" w:line="360" w:lineRule="auto"/>
        <w:ind w:left="720"/>
        <w:rPr>
          <w:rFonts w:ascii="Times New Roman" w:hAnsi="Times New Roman"/>
          <w:lang w:val="en-HK"/>
        </w:rPr>
      </w:pPr>
    </w:p>
    <w:p w14:paraId="07B0F7EF" w14:textId="618F3AE4" w:rsidR="00AF25E9" w:rsidRPr="00E40F31" w:rsidRDefault="00AF25E9" w:rsidP="00E40F31">
      <w:pPr>
        <w:spacing w:after="240" w:line="360" w:lineRule="auto"/>
      </w:pPr>
      <w:r w:rsidRPr="00E40F31">
        <w:lastRenderedPageBreak/>
        <w:t xml:space="preserve"> </w:t>
      </w:r>
    </w:p>
    <w:sectPr w:rsidR="00AF25E9" w:rsidRPr="00E40F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77FD4" w14:textId="77777777" w:rsidR="00EB59E0" w:rsidRDefault="00EB59E0" w:rsidP="00B16E97">
      <w:r>
        <w:separator/>
      </w:r>
    </w:p>
  </w:endnote>
  <w:endnote w:type="continuationSeparator" w:id="0">
    <w:p w14:paraId="2DF24829" w14:textId="77777777" w:rsidR="00EB59E0" w:rsidRDefault="00EB59E0" w:rsidP="00B16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4174A5" w14:textId="77777777" w:rsidR="00EB59E0" w:rsidRDefault="00EB59E0" w:rsidP="00B16E97">
      <w:r>
        <w:separator/>
      </w:r>
    </w:p>
  </w:footnote>
  <w:footnote w:type="continuationSeparator" w:id="0">
    <w:p w14:paraId="5BBFBB71" w14:textId="77777777" w:rsidR="00EB59E0" w:rsidRDefault="00EB59E0" w:rsidP="00B16E97">
      <w:r>
        <w:continuationSeparator/>
      </w:r>
    </w:p>
  </w:footnote>
  <w:footnote w:id="1">
    <w:p w14:paraId="1269AB12" w14:textId="68E2A6BA" w:rsidR="00B16E97" w:rsidRPr="00B16E97" w:rsidRDefault="00B16E97" w:rsidP="00B16E97">
      <w:pPr>
        <w:rPr>
          <w:rFonts w:ascii="Times New Roman" w:hAnsi="Times New Roman"/>
          <w:vertAlign w:val="superscript"/>
          <w:lang w:val="en-HK"/>
        </w:rPr>
      </w:pPr>
      <w:r w:rsidRPr="00B16E97">
        <w:rPr>
          <w:rStyle w:val="FootnoteReference"/>
          <w:rFonts w:ascii="Times New Roman" w:hAnsi="Times New Roman"/>
        </w:rPr>
        <w:footnoteRef/>
      </w:r>
      <w:r w:rsidRPr="00B16E97">
        <w:rPr>
          <w:rFonts w:ascii="Times New Roman" w:hAnsi="Times New Roman"/>
          <w:vertAlign w:val="superscript"/>
        </w:rPr>
        <w:t xml:space="preserve"> </w:t>
      </w:r>
      <w:r w:rsidRPr="00B16E97">
        <w:rPr>
          <w:rFonts w:ascii="Times New Roman" w:hAnsi="Times New Roman"/>
          <w:vertAlign w:val="superscript"/>
          <w:lang w:val="en-HK"/>
        </w:rPr>
        <w:t xml:space="preserve">Unjust enrichment is a legal principle in common law that addresses situations </w:t>
      </w:r>
      <w:r w:rsidRPr="00C31DCC">
        <w:rPr>
          <w:rFonts w:ascii="Times New Roman" w:hAnsi="Times New Roman"/>
          <w:b/>
          <w:bCs/>
          <w:vertAlign w:val="superscript"/>
          <w:lang w:val="en-HK"/>
        </w:rPr>
        <w:t>where one party gains a benefit at another’s expense without a lawful basis, and justice requires the benefit’s return</w:t>
      </w:r>
      <w:r w:rsidRPr="00B16E97">
        <w:rPr>
          <w:rFonts w:ascii="Times New Roman" w:hAnsi="Times New Roman"/>
          <w:vertAlign w:val="superscript"/>
          <w:lang w:val="en-HK"/>
        </w:rPr>
        <w:t>. It is not a contract or tort but an independent cause of action rooted in equity, aiming to prevent unfair retention of gains.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B51DF"/>
    <w:multiLevelType w:val="multilevel"/>
    <w:tmpl w:val="1E947E7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A55198F"/>
    <w:multiLevelType w:val="multilevel"/>
    <w:tmpl w:val="4B86E0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807455"/>
    <w:multiLevelType w:val="multilevel"/>
    <w:tmpl w:val="71A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00AA"/>
    <w:multiLevelType w:val="multilevel"/>
    <w:tmpl w:val="3FD08F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105319E"/>
    <w:multiLevelType w:val="multilevel"/>
    <w:tmpl w:val="6406C7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6625BA9"/>
    <w:multiLevelType w:val="multilevel"/>
    <w:tmpl w:val="4A52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D4010"/>
    <w:multiLevelType w:val="multilevel"/>
    <w:tmpl w:val="C0B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0163C"/>
    <w:multiLevelType w:val="multilevel"/>
    <w:tmpl w:val="FCFA9C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60F00"/>
    <w:multiLevelType w:val="multilevel"/>
    <w:tmpl w:val="4CD4F9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AD37100"/>
    <w:multiLevelType w:val="multilevel"/>
    <w:tmpl w:val="E664432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58C55BB"/>
    <w:multiLevelType w:val="multilevel"/>
    <w:tmpl w:val="C71AC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508D9"/>
    <w:multiLevelType w:val="multilevel"/>
    <w:tmpl w:val="213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22D87"/>
    <w:multiLevelType w:val="multilevel"/>
    <w:tmpl w:val="B42C9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684A45"/>
    <w:multiLevelType w:val="multilevel"/>
    <w:tmpl w:val="F8D83D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6300585"/>
    <w:multiLevelType w:val="multilevel"/>
    <w:tmpl w:val="C5F4C3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FFC646E"/>
    <w:multiLevelType w:val="multilevel"/>
    <w:tmpl w:val="3ED004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20A46DD"/>
    <w:multiLevelType w:val="multilevel"/>
    <w:tmpl w:val="8E92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B5B0D"/>
    <w:multiLevelType w:val="multilevel"/>
    <w:tmpl w:val="98A8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C45B59"/>
    <w:multiLevelType w:val="multilevel"/>
    <w:tmpl w:val="7B6C4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54858"/>
    <w:multiLevelType w:val="multilevel"/>
    <w:tmpl w:val="1A6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B5CEF"/>
    <w:multiLevelType w:val="multilevel"/>
    <w:tmpl w:val="1C72B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F693D36"/>
    <w:multiLevelType w:val="multilevel"/>
    <w:tmpl w:val="12C2EF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03684710">
    <w:abstractNumId w:val="17"/>
  </w:num>
  <w:num w:numId="2" w16cid:durableId="637880675">
    <w:abstractNumId w:val="0"/>
  </w:num>
  <w:num w:numId="3" w16cid:durableId="1400863151">
    <w:abstractNumId w:val="5"/>
  </w:num>
  <w:num w:numId="4" w16cid:durableId="786004045">
    <w:abstractNumId w:val="1"/>
  </w:num>
  <w:num w:numId="5" w16cid:durableId="1273171260">
    <w:abstractNumId w:val="15"/>
  </w:num>
  <w:num w:numId="6" w16cid:durableId="1811366853">
    <w:abstractNumId w:val="16"/>
  </w:num>
  <w:num w:numId="7" w16cid:durableId="1579316811">
    <w:abstractNumId w:val="3"/>
  </w:num>
  <w:num w:numId="8" w16cid:durableId="541793268">
    <w:abstractNumId w:val="14"/>
  </w:num>
  <w:num w:numId="9" w16cid:durableId="316223808">
    <w:abstractNumId w:val="8"/>
  </w:num>
  <w:num w:numId="10" w16cid:durableId="838614462">
    <w:abstractNumId w:val="4"/>
  </w:num>
  <w:num w:numId="11" w16cid:durableId="7562638">
    <w:abstractNumId w:val="20"/>
  </w:num>
  <w:num w:numId="12" w16cid:durableId="1380015500">
    <w:abstractNumId w:val="9"/>
  </w:num>
  <w:num w:numId="13" w16cid:durableId="1854370754">
    <w:abstractNumId w:val="21"/>
  </w:num>
  <w:num w:numId="14" w16cid:durableId="279150461">
    <w:abstractNumId w:val="7"/>
  </w:num>
  <w:num w:numId="15" w16cid:durableId="1804273279">
    <w:abstractNumId w:val="10"/>
  </w:num>
  <w:num w:numId="16" w16cid:durableId="187719063">
    <w:abstractNumId w:val="13"/>
  </w:num>
  <w:num w:numId="17" w16cid:durableId="1196037754">
    <w:abstractNumId w:val="6"/>
  </w:num>
  <w:num w:numId="18" w16cid:durableId="812256409">
    <w:abstractNumId w:val="2"/>
  </w:num>
  <w:num w:numId="19" w16cid:durableId="1200750763">
    <w:abstractNumId w:val="18"/>
  </w:num>
  <w:num w:numId="20" w16cid:durableId="890651118">
    <w:abstractNumId w:val="12"/>
  </w:num>
  <w:num w:numId="21" w16cid:durableId="927730373">
    <w:abstractNumId w:val="19"/>
  </w:num>
  <w:num w:numId="22" w16cid:durableId="19064533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BAA"/>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5AEB"/>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3422E"/>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A3F84"/>
    <w:rsid w:val="006B7BA3"/>
    <w:rsid w:val="006C42B8"/>
    <w:rsid w:val="006C50C7"/>
    <w:rsid w:val="006D1612"/>
    <w:rsid w:val="006D4BAA"/>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0ED2"/>
    <w:rsid w:val="00A93FBA"/>
    <w:rsid w:val="00A95C7E"/>
    <w:rsid w:val="00AB609D"/>
    <w:rsid w:val="00AC3AB8"/>
    <w:rsid w:val="00AE4348"/>
    <w:rsid w:val="00AE4BAF"/>
    <w:rsid w:val="00AF25E9"/>
    <w:rsid w:val="00B03D5A"/>
    <w:rsid w:val="00B16E97"/>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31DCC"/>
    <w:rsid w:val="00C44474"/>
    <w:rsid w:val="00C44EB3"/>
    <w:rsid w:val="00C54722"/>
    <w:rsid w:val="00C616D7"/>
    <w:rsid w:val="00C65F70"/>
    <w:rsid w:val="00C75C05"/>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0F31"/>
    <w:rsid w:val="00E4366A"/>
    <w:rsid w:val="00E438AC"/>
    <w:rsid w:val="00E51987"/>
    <w:rsid w:val="00E53FD2"/>
    <w:rsid w:val="00E5689E"/>
    <w:rsid w:val="00E60DF5"/>
    <w:rsid w:val="00E64DD3"/>
    <w:rsid w:val="00E80D33"/>
    <w:rsid w:val="00E9484C"/>
    <w:rsid w:val="00E95D8D"/>
    <w:rsid w:val="00EA6ED5"/>
    <w:rsid w:val="00EB59E0"/>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E55C"/>
  <w15:chartTrackingRefBased/>
  <w15:docId w15:val="{27700AE7-3629-3042-B898-0EBB82DEC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6D4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D4BA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BA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D4BA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D4BA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4BA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4BA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4BA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BA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6D4BA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6D4BA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6D4BA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6D4BA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6D4BA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D4BA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D4BA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D4BA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D4B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BA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D4BA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BA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D4B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4BA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6D4BAA"/>
    <w:pPr>
      <w:ind w:left="720"/>
      <w:contextualSpacing/>
    </w:pPr>
  </w:style>
  <w:style w:type="character" w:styleId="IntenseEmphasis">
    <w:name w:val="Intense Emphasis"/>
    <w:basedOn w:val="DefaultParagraphFont"/>
    <w:uiPriority w:val="21"/>
    <w:qFormat/>
    <w:rsid w:val="006D4BAA"/>
    <w:rPr>
      <w:i/>
      <w:iCs/>
      <w:color w:val="2F5496" w:themeColor="accent1" w:themeShade="BF"/>
    </w:rPr>
  </w:style>
  <w:style w:type="paragraph" w:styleId="IntenseQuote">
    <w:name w:val="Intense Quote"/>
    <w:basedOn w:val="Normal"/>
    <w:next w:val="Normal"/>
    <w:link w:val="IntenseQuoteChar"/>
    <w:uiPriority w:val="30"/>
    <w:qFormat/>
    <w:rsid w:val="006D4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BA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6D4BAA"/>
    <w:rPr>
      <w:b/>
      <w:bCs/>
      <w:smallCaps/>
      <w:color w:val="2F5496" w:themeColor="accent1" w:themeShade="BF"/>
      <w:spacing w:val="5"/>
    </w:rPr>
  </w:style>
  <w:style w:type="paragraph" w:customStyle="1" w:styleId="break-words">
    <w:name w:val="break-words"/>
    <w:basedOn w:val="Normal"/>
    <w:rsid w:val="006A3F84"/>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6A3F84"/>
    <w:rPr>
      <w:b/>
      <w:bCs/>
    </w:rPr>
  </w:style>
  <w:style w:type="character" w:styleId="Emphasis">
    <w:name w:val="Emphasis"/>
    <w:basedOn w:val="DefaultParagraphFont"/>
    <w:uiPriority w:val="20"/>
    <w:qFormat/>
    <w:rsid w:val="006A3F84"/>
    <w:rPr>
      <w:i/>
      <w:iCs/>
    </w:rPr>
  </w:style>
  <w:style w:type="paragraph" w:styleId="FootnoteText">
    <w:name w:val="footnote text"/>
    <w:basedOn w:val="Normal"/>
    <w:link w:val="FootnoteTextChar"/>
    <w:uiPriority w:val="99"/>
    <w:semiHidden/>
    <w:unhideWhenUsed/>
    <w:rsid w:val="00B16E97"/>
    <w:rPr>
      <w:sz w:val="20"/>
      <w:szCs w:val="20"/>
    </w:rPr>
  </w:style>
  <w:style w:type="character" w:customStyle="1" w:styleId="FootnoteTextChar">
    <w:name w:val="Footnote Text Char"/>
    <w:basedOn w:val="DefaultParagraphFont"/>
    <w:link w:val="FootnoteText"/>
    <w:uiPriority w:val="99"/>
    <w:semiHidden/>
    <w:rsid w:val="00B16E97"/>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B16E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780362">
      <w:bodyDiv w:val="1"/>
      <w:marLeft w:val="0"/>
      <w:marRight w:val="0"/>
      <w:marTop w:val="0"/>
      <w:marBottom w:val="0"/>
      <w:divBdr>
        <w:top w:val="none" w:sz="0" w:space="0" w:color="auto"/>
        <w:left w:val="none" w:sz="0" w:space="0" w:color="auto"/>
        <w:bottom w:val="none" w:sz="0" w:space="0" w:color="auto"/>
        <w:right w:val="none" w:sz="0" w:space="0" w:color="auto"/>
      </w:divBdr>
      <w:divsChild>
        <w:div w:id="879363026">
          <w:marLeft w:val="0"/>
          <w:marRight w:val="0"/>
          <w:marTop w:val="0"/>
          <w:marBottom w:val="0"/>
          <w:divBdr>
            <w:top w:val="none" w:sz="0" w:space="0" w:color="auto"/>
            <w:left w:val="none" w:sz="0" w:space="0" w:color="auto"/>
            <w:bottom w:val="none" w:sz="0" w:space="0" w:color="auto"/>
            <w:right w:val="none" w:sz="0" w:space="0" w:color="auto"/>
          </w:divBdr>
        </w:div>
      </w:divsChild>
    </w:div>
    <w:div w:id="1004747708">
      <w:bodyDiv w:val="1"/>
      <w:marLeft w:val="0"/>
      <w:marRight w:val="0"/>
      <w:marTop w:val="0"/>
      <w:marBottom w:val="0"/>
      <w:divBdr>
        <w:top w:val="none" w:sz="0" w:space="0" w:color="auto"/>
        <w:left w:val="none" w:sz="0" w:space="0" w:color="auto"/>
        <w:bottom w:val="none" w:sz="0" w:space="0" w:color="auto"/>
        <w:right w:val="none" w:sz="0" w:space="0" w:color="auto"/>
      </w:divBdr>
      <w:divsChild>
        <w:div w:id="702024923">
          <w:marLeft w:val="0"/>
          <w:marRight w:val="0"/>
          <w:marTop w:val="0"/>
          <w:marBottom w:val="0"/>
          <w:divBdr>
            <w:top w:val="none" w:sz="0" w:space="0" w:color="auto"/>
            <w:left w:val="none" w:sz="0" w:space="0" w:color="auto"/>
            <w:bottom w:val="none" w:sz="0" w:space="0" w:color="auto"/>
            <w:right w:val="none" w:sz="0" w:space="0" w:color="auto"/>
          </w:divBdr>
        </w:div>
      </w:divsChild>
    </w:div>
    <w:div w:id="1088966080">
      <w:bodyDiv w:val="1"/>
      <w:marLeft w:val="0"/>
      <w:marRight w:val="0"/>
      <w:marTop w:val="0"/>
      <w:marBottom w:val="0"/>
      <w:divBdr>
        <w:top w:val="none" w:sz="0" w:space="0" w:color="auto"/>
        <w:left w:val="none" w:sz="0" w:space="0" w:color="auto"/>
        <w:bottom w:val="none" w:sz="0" w:space="0" w:color="auto"/>
        <w:right w:val="none" w:sz="0" w:space="0" w:color="auto"/>
      </w:divBdr>
      <w:divsChild>
        <w:div w:id="596134498">
          <w:marLeft w:val="0"/>
          <w:marRight w:val="0"/>
          <w:marTop w:val="0"/>
          <w:marBottom w:val="0"/>
          <w:divBdr>
            <w:top w:val="none" w:sz="0" w:space="0" w:color="auto"/>
            <w:left w:val="none" w:sz="0" w:space="0" w:color="auto"/>
            <w:bottom w:val="none" w:sz="0" w:space="0" w:color="auto"/>
            <w:right w:val="none" w:sz="0" w:space="0" w:color="auto"/>
          </w:divBdr>
        </w:div>
      </w:divsChild>
    </w:div>
    <w:div w:id="1400208980">
      <w:bodyDiv w:val="1"/>
      <w:marLeft w:val="0"/>
      <w:marRight w:val="0"/>
      <w:marTop w:val="0"/>
      <w:marBottom w:val="0"/>
      <w:divBdr>
        <w:top w:val="none" w:sz="0" w:space="0" w:color="auto"/>
        <w:left w:val="none" w:sz="0" w:space="0" w:color="auto"/>
        <w:bottom w:val="none" w:sz="0" w:space="0" w:color="auto"/>
        <w:right w:val="none" w:sz="0" w:space="0" w:color="auto"/>
      </w:divBdr>
      <w:divsChild>
        <w:div w:id="1701277015">
          <w:marLeft w:val="0"/>
          <w:marRight w:val="0"/>
          <w:marTop w:val="0"/>
          <w:marBottom w:val="0"/>
          <w:divBdr>
            <w:top w:val="none" w:sz="0" w:space="0" w:color="auto"/>
            <w:left w:val="none" w:sz="0" w:space="0" w:color="auto"/>
            <w:bottom w:val="none" w:sz="0" w:space="0" w:color="auto"/>
            <w:right w:val="none" w:sz="0" w:space="0" w:color="auto"/>
          </w:divBdr>
        </w:div>
      </w:divsChild>
    </w:div>
    <w:div w:id="1632246113">
      <w:bodyDiv w:val="1"/>
      <w:marLeft w:val="0"/>
      <w:marRight w:val="0"/>
      <w:marTop w:val="0"/>
      <w:marBottom w:val="0"/>
      <w:divBdr>
        <w:top w:val="none" w:sz="0" w:space="0" w:color="auto"/>
        <w:left w:val="none" w:sz="0" w:space="0" w:color="auto"/>
        <w:bottom w:val="none" w:sz="0" w:space="0" w:color="auto"/>
        <w:right w:val="none" w:sz="0" w:space="0" w:color="auto"/>
      </w:divBdr>
      <w:divsChild>
        <w:div w:id="2859651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E1E27-733D-AE45-B1F8-05F007D34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Pages>
  <Words>3203</Words>
  <Characters>18261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7</cp:revision>
  <dcterms:created xsi:type="dcterms:W3CDTF">2025-02-24T21:12:00Z</dcterms:created>
  <dcterms:modified xsi:type="dcterms:W3CDTF">2025-02-24T22:05:00Z</dcterms:modified>
</cp:coreProperties>
</file>