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1B01F" w14:textId="19D1F76B" w:rsidR="00D56668" w:rsidRDefault="00B76068" w:rsidP="00177ED8">
      <w:pPr>
        <w:spacing w:line="480" w:lineRule="auto"/>
        <w:rPr>
          <w:sz w:val="48"/>
          <w:szCs w:val="48"/>
        </w:rPr>
      </w:pPr>
      <w:r>
        <w:rPr>
          <w:noProof/>
        </w:rPr>
        <w:drawing>
          <wp:inline distT="0" distB="0" distL="0" distR="0" wp14:anchorId="08334753" wp14:editId="3243F55F">
            <wp:extent cx="2531745" cy="1320800"/>
            <wp:effectExtent l="0" t="0" r="1905" b="0"/>
            <wp:docPr id="2" name="Picture 2" descr="A logo for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university&#10;&#10;Description automatically generated"/>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531745" cy="1320800"/>
                    </a:xfrm>
                    <a:prstGeom prst="rect">
                      <a:avLst/>
                    </a:prstGeom>
                  </pic:spPr>
                </pic:pic>
              </a:graphicData>
            </a:graphic>
          </wp:inline>
        </w:drawing>
      </w:r>
    </w:p>
    <w:p w14:paraId="493E9038" w14:textId="77777777" w:rsidR="00D56668" w:rsidRDefault="00D56668" w:rsidP="00177ED8">
      <w:pPr>
        <w:spacing w:line="480" w:lineRule="auto"/>
        <w:jc w:val="center"/>
        <w:rPr>
          <w:sz w:val="48"/>
          <w:szCs w:val="48"/>
        </w:rPr>
      </w:pPr>
    </w:p>
    <w:p w14:paraId="002F9109" w14:textId="77777777" w:rsidR="000E366B" w:rsidRPr="00524CC3" w:rsidRDefault="000E366B" w:rsidP="000E366B">
      <w:pPr>
        <w:spacing w:line="480" w:lineRule="auto"/>
        <w:jc w:val="center"/>
        <w:rPr>
          <w:rFonts w:ascii="Arial" w:hAnsi="Arial" w:cs="Arial"/>
          <w:sz w:val="52"/>
          <w:szCs w:val="52"/>
        </w:rPr>
      </w:pPr>
      <w:r w:rsidRPr="00524CC3">
        <w:rPr>
          <w:rFonts w:ascii="Arial" w:hAnsi="Arial" w:cs="Arial"/>
          <w:sz w:val="52"/>
          <w:szCs w:val="52"/>
        </w:rPr>
        <w:t>Trusts Law</w:t>
      </w:r>
    </w:p>
    <w:p w14:paraId="3BDBADD5" w14:textId="77777777" w:rsidR="00B056EE" w:rsidRPr="003B26F3" w:rsidRDefault="00C558CC" w:rsidP="00177ED8">
      <w:pPr>
        <w:spacing w:line="480" w:lineRule="auto"/>
        <w:jc w:val="center"/>
        <w:rPr>
          <w:rFonts w:ascii="Arial" w:hAnsi="Arial" w:cs="Arial"/>
          <w:sz w:val="52"/>
          <w:szCs w:val="52"/>
        </w:rPr>
      </w:pPr>
      <w:r w:rsidRPr="003B26F3">
        <w:rPr>
          <w:rFonts w:ascii="Arial" w:hAnsi="Arial" w:cs="Arial"/>
          <w:sz w:val="52"/>
          <w:szCs w:val="52"/>
        </w:rPr>
        <w:t xml:space="preserve">Lecture Handout </w:t>
      </w:r>
    </w:p>
    <w:p w14:paraId="75A89A9F" w14:textId="1E0A5938" w:rsidR="00FA26DA" w:rsidRDefault="00E714F5" w:rsidP="00177ED8">
      <w:pPr>
        <w:spacing w:line="480" w:lineRule="auto"/>
        <w:jc w:val="center"/>
        <w:rPr>
          <w:rFonts w:ascii="Arial" w:hAnsi="Arial" w:cs="Arial"/>
          <w:sz w:val="52"/>
          <w:szCs w:val="52"/>
        </w:rPr>
      </w:pPr>
      <w:r w:rsidRPr="003B26F3">
        <w:rPr>
          <w:rFonts w:ascii="Arial" w:hAnsi="Arial" w:cs="Arial"/>
          <w:sz w:val="52"/>
          <w:szCs w:val="52"/>
        </w:rPr>
        <w:t>Epiphany</w:t>
      </w:r>
      <w:r w:rsidR="00B056EE" w:rsidRPr="003B26F3">
        <w:rPr>
          <w:rFonts w:ascii="Arial" w:hAnsi="Arial" w:cs="Arial"/>
          <w:sz w:val="52"/>
          <w:szCs w:val="52"/>
        </w:rPr>
        <w:t xml:space="preserve"> Term </w:t>
      </w:r>
      <w:r w:rsidR="000D2494" w:rsidRPr="003B26F3">
        <w:rPr>
          <w:rFonts w:ascii="Arial" w:hAnsi="Arial" w:cs="Arial"/>
          <w:sz w:val="52"/>
          <w:szCs w:val="52"/>
        </w:rPr>
        <w:t xml:space="preserve">Week </w:t>
      </w:r>
      <w:r w:rsidR="003B26F3" w:rsidRPr="003B26F3">
        <w:rPr>
          <w:rFonts w:ascii="Arial" w:hAnsi="Arial" w:cs="Arial"/>
          <w:sz w:val="52"/>
          <w:szCs w:val="52"/>
        </w:rPr>
        <w:t>1</w:t>
      </w:r>
      <w:r w:rsidR="006F3CCD">
        <w:rPr>
          <w:rFonts w:ascii="Arial" w:hAnsi="Arial" w:cs="Arial"/>
          <w:sz w:val="52"/>
          <w:szCs w:val="52"/>
        </w:rPr>
        <w:t>4</w:t>
      </w:r>
    </w:p>
    <w:p w14:paraId="57938977" w14:textId="77777777" w:rsidR="003B26F3" w:rsidRPr="003B26F3" w:rsidRDefault="003B26F3" w:rsidP="003B26F3">
      <w:pPr>
        <w:spacing w:line="480" w:lineRule="auto"/>
        <w:jc w:val="center"/>
        <w:rPr>
          <w:rFonts w:ascii="Arial" w:hAnsi="Arial" w:cs="Arial"/>
          <w:b/>
          <w:sz w:val="52"/>
          <w:szCs w:val="52"/>
          <w:u w:val="single"/>
        </w:rPr>
      </w:pPr>
      <w:r w:rsidRPr="003B26F3">
        <w:rPr>
          <w:rFonts w:ascii="Arial" w:hAnsi="Arial" w:cs="Arial"/>
          <w:b/>
          <w:sz w:val="52"/>
          <w:szCs w:val="52"/>
          <w:u w:val="single"/>
        </w:rPr>
        <w:t>Remedies for breach of non-fiduciary duties</w:t>
      </w:r>
    </w:p>
    <w:p w14:paraId="2EF3E3EC" w14:textId="602246B4" w:rsidR="003B26F3" w:rsidRDefault="003B26F3" w:rsidP="003B26F3">
      <w:pPr>
        <w:spacing w:line="480" w:lineRule="auto"/>
        <w:jc w:val="center"/>
        <w:rPr>
          <w:rFonts w:ascii="Arial" w:hAnsi="Arial" w:cs="Arial"/>
          <w:sz w:val="52"/>
          <w:szCs w:val="52"/>
        </w:rPr>
      </w:pPr>
      <w:r>
        <w:rPr>
          <w:rFonts w:ascii="Arial" w:hAnsi="Arial" w:cs="Arial"/>
          <w:sz w:val="52"/>
          <w:szCs w:val="52"/>
        </w:rPr>
        <w:t>202</w:t>
      </w:r>
      <w:r w:rsidR="004D0DEE">
        <w:rPr>
          <w:rFonts w:ascii="Arial" w:hAnsi="Arial" w:cs="Arial"/>
          <w:sz w:val="52"/>
          <w:szCs w:val="52"/>
        </w:rPr>
        <w:t>4</w:t>
      </w:r>
      <w:r>
        <w:rPr>
          <w:rFonts w:ascii="Arial" w:hAnsi="Arial" w:cs="Arial"/>
          <w:sz w:val="52"/>
          <w:szCs w:val="52"/>
        </w:rPr>
        <w:t>/2</w:t>
      </w:r>
      <w:r w:rsidR="004D0DEE">
        <w:rPr>
          <w:rFonts w:ascii="Arial" w:hAnsi="Arial" w:cs="Arial"/>
          <w:sz w:val="52"/>
          <w:szCs w:val="52"/>
        </w:rPr>
        <w:t>5</w:t>
      </w:r>
    </w:p>
    <w:p w14:paraId="3A44515F" w14:textId="745D0C50" w:rsidR="44FD698F" w:rsidRDefault="44FD698F" w:rsidP="44FD698F">
      <w:pPr>
        <w:spacing w:line="480" w:lineRule="auto"/>
        <w:jc w:val="center"/>
        <w:rPr>
          <w:rFonts w:ascii="Arial" w:hAnsi="Arial" w:cs="Arial"/>
          <w:sz w:val="52"/>
          <w:szCs w:val="52"/>
        </w:rPr>
      </w:pPr>
      <w:r w:rsidRPr="44FD698F">
        <w:rPr>
          <w:rFonts w:ascii="Arial" w:hAnsi="Arial" w:cs="Arial"/>
          <w:sz w:val="52"/>
          <w:szCs w:val="52"/>
        </w:rPr>
        <w:t>Dr Johanna Jacques</w:t>
      </w:r>
    </w:p>
    <w:p w14:paraId="0B2B6841" w14:textId="77777777" w:rsidR="00E714F5" w:rsidRDefault="00E714F5">
      <w:pPr>
        <w:rPr>
          <w:rFonts w:ascii="Arial" w:hAnsi="Arial" w:cs="Arial"/>
          <w:b/>
          <w:sz w:val="24"/>
          <w:szCs w:val="24"/>
        </w:rPr>
      </w:pPr>
      <w:r>
        <w:rPr>
          <w:rFonts w:ascii="Arial" w:hAnsi="Arial" w:cs="Arial"/>
          <w:b/>
          <w:sz w:val="24"/>
          <w:szCs w:val="24"/>
        </w:rPr>
        <w:br w:type="page"/>
      </w:r>
    </w:p>
    <w:p w14:paraId="41469B6B" w14:textId="098695BF" w:rsidR="00177ED8" w:rsidRPr="00630854" w:rsidRDefault="00B056EE" w:rsidP="004D0DEE">
      <w:pPr>
        <w:pStyle w:val="ListParagraph"/>
        <w:numPr>
          <w:ilvl w:val="0"/>
          <w:numId w:val="4"/>
        </w:numPr>
        <w:spacing w:line="480" w:lineRule="auto"/>
        <w:jc w:val="both"/>
        <w:rPr>
          <w:rFonts w:ascii="Arial" w:hAnsi="Arial" w:cs="Arial"/>
          <w:b/>
          <w:sz w:val="24"/>
          <w:szCs w:val="24"/>
        </w:rPr>
      </w:pPr>
      <w:r>
        <w:rPr>
          <w:rFonts w:ascii="Arial" w:hAnsi="Arial" w:cs="Arial"/>
          <w:b/>
          <w:sz w:val="24"/>
          <w:szCs w:val="24"/>
        </w:rPr>
        <w:lastRenderedPageBreak/>
        <w:t>Reading</w:t>
      </w:r>
    </w:p>
    <w:p w14:paraId="036FB2ED" w14:textId="77777777" w:rsidR="004D0DEE" w:rsidRDefault="004D0DEE" w:rsidP="004D0DEE">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u w:val="single"/>
        </w:rPr>
        <w:t>I – Essential and further reading</w:t>
      </w:r>
      <w:r>
        <w:rPr>
          <w:rStyle w:val="eop"/>
          <w:rFonts w:ascii="Arial" w:hAnsi="Arial" w:cs="Arial"/>
          <w:sz w:val="22"/>
          <w:szCs w:val="22"/>
        </w:rPr>
        <w:t> </w:t>
      </w:r>
    </w:p>
    <w:p w14:paraId="6F2FE52B" w14:textId="77777777" w:rsidR="004D0DEE" w:rsidRDefault="004D0DEE" w:rsidP="004D0DEE">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rPr>
        <w:t>For essential and further (‘seminar’) reading, please see the Reading List feature on Learn Ultra.</w:t>
      </w:r>
      <w:r>
        <w:rPr>
          <w:rStyle w:val="eop"/>
          <w:rFonts w:ascii="Arial" w:hAnsi="Arial" w:cs="Arial"/>
          <w:sz w:val="22"/>
          <w:szCs w:val="22"/>
        </w:rPr>
        <w:t> </w:t>
      </w:r>
    </w:p>
    <w:p w14:paraId="1B778FDE" w14:textId="77777777" w:rsidR="004D0DEE" w:rsidRDefault="004D0DEE" w:rsidP="004D0DEE">
      <w:pPr>
        <w:pStyle w:val="paragraph"/>
        <w:spacing w:before="0" w:beforeAutospacing="0" w:after="0" w:afterAutospacing="0" w:line="480" w:lineRule="auto"/>
        <w:jc w:val="both"/>
        <w:textAlignment w:val="baseline"/>
        <w:rPr>
          <w:rFonts w:ascii="Calibri" w:hAnsi="Calibri" w:cs="Calibri"/>
          <w:sz w:val="22"/>
          <w:szCs w:val="22"/>
        </w:rPr>
      </w:pPr>
      <w:r>
        <w:rPr>
          <w:rStyle w:val="eop"/>
          <w:rFonts w:ascii="Arial" w:hAnsi="Arial" w:cs="Arial"/>
          <w:sz w:val="22"/>
          <w:szCs w:val="22"/>
        </w:rPr>
        <w:t> </w:t>
      </w:r>
    </w:p>
    <w:p w14:paraId="54D70B0B" w14:textId="77777777" w:rsidR="004D0DEE" w:rsidRDefault="004D0DEE" w:rsidP="004D0DEE">
      <w:pPr>
        <w:pStyle w:val="paragraph"/>
        <w:spacing w:before="0" w:beforeAutospacing="0" w:after="0" w:afterAutospacing="0" w:line="480" w:lineRule="auto"/>
        <w:jc w:val="both"/>
        <w:textAlignment w:val="baseline"/>
        <w:rPr>
          <w:rFonts w:ascii="Calibri" w:hAnsi="Calibri" w:cs="Calibri"/>
          <w:sz w:val="22"/>
          <w:szCs w:val="22"/>
        </w:rPr>
      </w:pPr>
      <w:r>
        <w:rPr>
          <w:rStyle w:val="normaltextrun"/>
          <w:rFonts w:ascii="Arial" w:hAnsi="Arial" w:cs="Arial"/>
          <w:sz w:val="22"/>
          <w:szCs w:val="22"/>
          <w:u w:val="single"/>
        </w:rPr>
        <w:t>II - Cases</w:t>
      </w:r>
      <w:r>
        <w:rPr>
          <w:rStyle w:val="eop"/>
          <w:rFonts w:ascii="Arial" w:hAnsi="Arial" w:cs="Arial"/>
          <w:sz w:val="22"/>
          <w:szCs w:val="22"/>
        </w:rPr>
        <w:t> </w:t>
      </w:r>
    </w:p>
    <w:p w14:paraId="1C856149" w14:textId="4C73CE01" w:rsidR="6C9B0034" w:rsidRPr="004D0DEE" w:rsidRDefault="5DEB91EF" w:rsidP="004D0DEE">
      <w:pPr>
        <w:pStyle w:val="ListParagraph"/>
        <w:numPr>
          <w:ilvl w:val="0"/>
          <w:numId w:val="5"/>
        </w:numPr>
        <w:spacing w:after="120" w:line="480" w:lineRule="auto"/>
        <w:jc w:val="both"/>
      </w:pPr>
      <w:r w:rsidRPr="004D0DEE">
        <w:rPr>
          <w:rFonts w:ascii="Arial" w:eastAsia="Calibri" w:hAnsi="Arial" w:cs="Arial"/>
          <w:i/>
          <w:iCs/>
          <w:lang w:eastAsia="en-GB"/>
        </w:rPr>
        <w:t xml:space="preserve">Target Holdings Ltd v </w:t>
      </w:r>
      <w:proofErr w:type="spellStart"/>
      <w:r w:rsidRPr="004D0DEE">
        <w:rPr>
          <w:rFonts w:ascii="Arial" w:eastAsia="Calibri" w:hAnsi="Arial" w:cs="Arial"/>
          <w:i/>
          <w:iCs/>
          <w:lang w:eastAsia="en-GB"/>
        </w:rPr>
        <w:t>Redferns</w:t>
      </w:r>
      <w:proofErr w:type="spellEnd"/>
      <w:r w:rsidRPr="004D0DEE">
        <w:rPr>
          <w:rFonts w:ascii="Arial" w:eastAsia="Calibri" w:hAnsi="Arial" w:cs="Arial"/>
          <w:lang w:eastAsia="en-GB"/>
        </w:rPr>
        <w:t xml:space="preserve"> [1995] 3 All ER 785</w:t>
      </w:r>
    </w:p>
    <w:p w14:paraId="4A1FFFAF" w14:textId="2BC5C54A" w:rsidR="6C9B0034" w:rsidRPr="004D0DEE" w:rsidRDefault="5DEB91EF" w:rsidP="004D0DEE">
      <w:pPr>
        <w:pStyle w:val="ListParagraph"/>
        <w:numPr>
          <w:ilvl w:val="0"/>
          <w:numId w:val="5"/>
        </w:numPr>
        <w:spacing w:after="120" w:line="480" w:lineRule="auto"/>
        <w:jc w:val="both"/>
      </w:pPr>
      <w:r w:rsidRPr="004D0DEE">
        <w:rPr>
          <w:rFonts w:ascii="Arial" w:eastAsia="Calibri" w:hAnsi="Arial" w:cs="Arial"/>
          <w:i/>
          <w:iCs/>
          <w:lang w:eastAsia="en-GB"/>
        </w:rPr>
        <w:t xml:space="preserve">AIB Group (UK) plc v Mark </w:t>
      </w:r>
      <w:proofErr w:type="spellStart"/>
      <w:r w:rsidRPr="004D0DEE">
        <w:rPr>
          <w:rFonts w:ascii="Arial" w:eastAsia="Calibri" w:hAnsi="Arial" w:cs="Arial"/>
          <w:i/>
          <w:iCs/>
          <w:lang w:eastAsia="en-GB"/>
        </w:rPr>
        <w:t>Redler</w:t>
      </w:r>
      <w:proofErr w:type="spellEnd"/>
      <w:r w:rsidRPr="004D0DEE">
        <w:rPr>
          <w:rFonts w:ascii="Arial" w:eastAsia="Calibri" w:hAnsi="Arial" w:cs="Arial"/>
          <w:i/>
          <w:iCs/>
          <w:lang w:eastAsia="en-GB"/>
        </w:rPr>
        <w:t xml:space="preserve"> &amp; Co Solicitors</w:t>
      </w:r>
      <w:r w:rsidRPr="004D0DEE">
        <w:rPr>
          <w:rFonts w:ascii="Arial" w:eastAsia="Calibri" w:hAnsi="Arial" w:cs="Arial"/>
          <w:lang w:eastAsia="en-GB"/>
        </w:rPr>
        <w:t xml:space="preserve"> [2014] UKSC 58</w:t>
      </w:r>
    </w:p>
    <w:p w14:paraId="48ACD6C1" w14:textId="7033A378" w:rsidR="6C9B0034" w:rsidRPr="004D0DEE" w:rsidRDefault="5DEB91EF" w:rsidP="004D0DEE">
      <w:pPr>
        <w:pStyle w:val="ListParagraph"/>
        <w:numPr>
          <w:ilvl w:val="0"/>
          <w:numId w:val="5"/>
        </w:numPr>
        <w:spacing w:after="120" w:line="480" w:lineRule="auto"/>
        <w:jc w:val="both"/>
      </w:pPr>
      <w:r w:rsidRPr="004D0DEE">
        <w:rPr>
          <w:rFonts w:ascii="Arial" w:eastAsia="Calibri" w:hAnsi="Arial" w:cs="Arial"/>
          <w:i/>
          <w:iCs/>
          <w:lang w:eastAsia="en-GB"/>
        </w:rPr>
        <w:t xml:space="preserve">Bristol &amp; West Building Society v </w:t>
      </w:r>
      <w:proofErr w:type="spellStart"/>
      <w:r w:rsidRPr="004D0DEE">
        <w:rPr>
          <w:rFonts w:ascii="Arial" w:eastAsia="Calibri" w:hAnsi="Arial" w:cs="Arial"/>
          <w:i/>
          <w:iCs/>
          <w:lang w:eastAsia="en-GB"/>
        </w:rPr>
        <w:t>Mothew</w:t>
      </w:r>
      <w:proofErr w:type="spellEnd"/>
      <w:r w:rsidRPr="004D0DEE">
        <w:rPr>
          <w:rFonts w:ascii="Arial" w:eastAsia="Calibri" w:hAnsi="Arial" w:cs="Arial"/>
          <w:lang w:eastAsia="en-GB"/>
        </w:rPr>
        <w:t xml:space="preserve"> [1998] Ch 1</w:t>
      </w:r>
    </w:p>
    <w:p w14:paraId="10207197" w14:textId="4C5102CE" w:rsidR="6C9B0034" w:rsidRPr="004D0DEE" w:rsidRDefault="5DEB91EF" w:rsidP="004D0DEE">
      <w:pPr>
        <w:pStyle w:val="ListParagraph"/>
        <w:numPr>
          <w:ilvl w:val="0"/>
          <w:numId w:val="5"/>
        </w:numPr>
        <w:spacing w:after="120" w:line="480" w:lineRule="auto"/>
        <w:jc w:val="both"/>
        <w:rPr>
          <w:lang w:eastAsia="en-GB"/>
        </w:rPr>
      </w:pPr>
      <w:r w:rsidRPr="004D0DEE">
        <w:rPr>
          <w:rFonts w:ascii="Arial" w:eastAsia="Calibri" w:hAnsi="Arial" w:cs="Arial"/>
          <w:i/>
          <w:iCs/>
          <w:lang w:eastAsia="en-GB"/>
        </w:rPr>
        <w:t>Re Pauling’s Settlement Trust</w:t>
      </w:r>
      <w:r w:rsidRPr="004D0DEE">
        <w:rPr>
          <w:rFonts w:ascii="Arial" w:eastAsia="Calibri" w:hAnsi="Arial" w:cs="Arial"/>
          <w:lang w:eastAsia="en-GB"/>
        </w:rPr>
        <w:t xml:space="preserve"> [1964] Ch 303</w:t>
      </w:r>
    </w:p>
    <w:p w14:paraId="2FD9F119" w14:textId="1E2F257A" w:rsidR="000A467B" w:rsidRPr="004D0DEE" w:rsidRDefault="5DEB91EF" w:rsidP="004D0DEE">
      <w:pPr>
        <w:pStyle w:val="ListParagraph"/>
        <w:numPr>
          <w:ilvl w:val="0"/>
          <w:numId w:val="5"/>
        </w:numPr>
        <w:spacing w:after="120" w:line="480" w:lineRule="auto"/>
        <w:jc w:val="both"/>
        <w:rPr>
          <w:lang w:eastAsia="en-GB"/>
        </w:rPr>
      </w:pPr>
      <w:r w:rsidRPr="004D0DEE">
        <w:rPr>
          <w:rFonts w:ascii="Arial" w:eastAsia="Calibri" w:hAnsi="Arial" w:cs="Arial"/>
          <w:i/>
          <w:iCs/>
          <w:lang w:eastAsia="en-GB"/>
        </w:rPr>
        <w:t>Armitage v Nurse</w:t>
      </w:r>
      <w:r w:rsidRPr="004D0DEE">
        <w:rPr>
          <w:rFonts w:ascii="Arial" w:eastAsia="Calibri" w:hAnsi="Arial" w:cs="Arial"/>
          <w:lang w:eastAsia="en-GB"/>
        </w:rPr>
        <w:t xml:space="preserve"> [1998] Ch 241</w:t>
      </w:r>
    </w:p>
    <w:p w14:paraId="11BD76EA" w14:textId="2F5AEE6D" w:rsidR="006970CE" w:rsidRPr="004D0DEE" w:rsidRDefault="5DEB91EF" w:rsidP="004D0DEE">
      <w:pPr>
        <w:pStyle w:val="ListParagraph"/>
        <w:numPr>
          <w:ilvl w:val="0"/>
          <w:numId w:val="5"/>
        </w:numPr>
        <w:spacing w:after="120" w:line="480" w:lineRule="auto"/>
        <w:jc w:val="both"/>
        <w:rPr>
          <w:lang w:eastAsia="en-GB"/>
        </w:rPr>
      </w:pPr>
      <w:r w:rsidRPr="004D0DEE">
        <w:rPr>
          <w:rFonts w:ascii="Arial" w:eastAsia="Calibri" w:hAnsi="Arial" w:cs="Arial"/>
          <w:i/>
          <w:iCs/>
          <w:lang w:eastAsia="en-GB"/>
        </w:rPr>
        <w:t>Bartlett v Barclays Bank Trust Co Ltd</w:t>
      </w:r>
      <w:r w:rsidRPr="004D0DEE">
        <w:rPr>
          <w:rFonts w:ascii="Arial" w:eastAsia="Calibri" w:hAnsi="Arial" w:cs="Arial"/>
          <w:lang w:eastAsia="en-GB"/>
        </w:rPr>
        <w:t xml:space="preserve"> [1980] Ch 515</w:t>
      </w:r>
    </w:p>
    <w:p w14:paraId="56F092E5" w14:textId="77777777" w:rsidR="006970CE" w:rsidRDefault="006970CE">
      <w:pPr>
        <w:rPr>
          <w:rFonts w:ascii="Arial" w:hAnsi="Arial" w:cs="Arial"/>
          <w:b/>
          <w:sz w:val="24"/>
          <w:szCs w:val="24"/>
        </w:rPr>
      </w:pPr>
      <w:r>
        <w:rPr>
          <w:rFonts w:ascii="Arial" w:hAnsi="Arial" w:cs="Arial"/>
          <w:b/>
          <w:sz w:val="24"/>
          <w:szCs w:val="24"/>
        </w:rPr>
        <w:br w:type="page"/>
      </w:r>
    </w:p>
    <w:p w14:paraId="19AE8962" w14:textId="7BF73D1E" w:rsidR="003C5D57" w:rsidRDefault="003C5D57" w:rsidP="003C5D57">
      <w:pPr>
        <w:pStyle w:val="ListParagraph"/>
        <w:numPr>
          <w:ilvl w:val="0"/>
          <w:numId w:val="4"/>
        </w:numPr>
        <w:spacing w:line="480" w:lineRule="auto"/>
        <w:jc w:val="both"/>
        <w:rPr>
          <w:rFonts w:ascii="Arial" w:hAnsi="Arial" w:cs="Arial"/>
          <w:b/>
          <w:sz w:val="24"/>
          <w:szCs w:val="24"/>
        </w:rPr>
      </w:pPr>
      <w:r w:rsidRPr="003C5D57">
        <w:rPr>
          <w:rFonts w:ascii="Arial" w:hAnsi="Arial" w:cs="Arial"/>
          <w:b/>
          <w:sz w:val="24"/>
          <w:szCs w:val="24"/>
        </w:rPr>
        <w:lastRenderedPageBreak/>
        <w:t>Remedies for breach of non-fiduciary duties</w:t>
      </w:r>
    </w:p>
    <w:p w14:paraId="4875FDF6" w14:textId="733647FB" w:rsidR="003C5D57" w:rsidRDefault="004D0DEE" w:rsidP="00C3666E">
      <w:pPr>
        <w:spacing w:after="120" w:line="480" w:lineRule="auto"/>
        <w:jc w:val="both"/>
        <w:rPr>
          <w:rFonts w:ascii="Arial" w:eastAsia="MS Mincho" w:hAnsi="Arial" w:cs="Arial"/>
          <w:u w:val="single"/>
          <w:lang w:bidi="en-US"/>
        </w:rPr>
      </w:pPr>
      <w:r>
        <w:rPr>
          <w:rFonts w:ascii="Arial" w:eastAsia="MS Mincho" w:hAnsi="Arial" w:cs="Arial"/>
          <w:u w:val="single"/>
          <w:lang w:bidi="en-US"/>
        </w:rPr>
        <w:t>I - Introduction</w:t>
      </w:r>
    </w:p>
    <w:p w14:paraId="034FB7C5" w14:textId="3AED69A8" w:rsidR="00BB76DB" w:rsidRDefault="63F6044B" w:rsidP="00BB76DB">
      <w:pPr>
        <w:spacing w:after="120" w:line="480" w:lineRule="auto"/>
        <w:jc w:val="both"/>
        <w:rPr>
          <w:rFonts w:ascii="Arial" w:eastAsia="MS Mincho" w:hAnsi="Arial" w:cs="Arial"/>
          <w:lang w:bidi="en-US"/>
        </w:rPr>
      </w:pPr>
      <w:r w:rsidRPr="63F6044B">
        <w:rPr>
          <w:rFonts w:ascii="Arial" w:eastAsia="MS Mincho" w:hAnsi="Arial" w:cs="Arial"/>
          <w:lang w:bidi="en-US"/>
        </w:rPr>
        <w:t>You already know that a breach of a non-fiduciary duty is called a ‘breach of trust.’ A breach of trust occurs when trustees fail to properly carry out the duties imposed on them by law or by the trust instrument, or when trustees exceed their authority. A breach of trust can be committed deliberately or inadvertently and by an act or an omission. In this lecture, we will not cover breaches of fiduciary duties (including the remedy of accounting for profits), which have been considered in a previous lecture.</w:t>
      </w:r>
    </w:p>
    <w:p w14:paraId="3AFA0808" w14:textId="77777777" w:rsidR="004D0DEE" w:rsidRDefault="008026AE" w:rsidP="008026AE">
      <w:pPr>
        <w:spacing w:after="120" w:line="480" w:lineRule="auto"/>
        <w:jc w:val="both"/>
        <w:rPr>
          <w:rFonts w:ascii="Arial" w:eastAsia="MS Mincho" w:hAnsi="Arial" w:cs="Arial"/>
          <w:lang w:bidi="en-US"/>
        </w:rPr>
      </w:pPr>
      <w:r w:rsidRPr="008026AE">
        <w:rPr>
          <w:rFonts w:ascii="Arial" w:eastAsia="MS Mincho" w:hAnsi="Arial" w:cs="Arial"/>
          <w:lang w:bidi="en-US"/>
        </w:rPr>
        <w:t>A breach of trust may be remedied in a number of ways, depending on the type of breach, its consequences, the nature of the property in question and the solvency of the parties involved. Broadly, claims can be grouped into three categories:</w:t>
      </w:r>
      <w:r>
        <w:rPr>
          <w:rFonts w:ascii="Arial" w:eastAsia="MS Mincho" w:hAnsi="Arial" w:cs="Arial"/>
          <w:lang w:bidi="en-US"/>
        </w:rPr>
        <w:t xml:space="preserve"> </w:t>
      </w:r>
    </w:p>
    <w:p w14:paraId="64B124A2" w14:textId="74984B82" w:rsidR="004D0DEE" w:rsidRDefault="008026AE" w:rsidP="008026AE">
      <w:pPr>
        <w:spacing w:after="120" w:line="480" w:lineRule="auto"/>
        <w:jc w:val="both"/>
        <w:rPr>
          <w:rFonts w:ascii="Arial" w:eastAsia="MS Mincho" w:hAnsi="Arial" w:cs="Arial"/>
          <w:lang w:bidi="en-US"/>
        </w:rPr>
      </w:pPr>
      <w:r>
        <w:rPr>
          <w:rFonts w:ascii="Arial" w:eastAsia="MS Mincho" w:hAnsi="Arial" w:cs="Arial"/>
          <w:lang w:bidi="en-US"/>
        </w:rPr>
        <w:t xml:space="preserve">1) </w:t>
      </w:r>
      <w:r w:rsidRPr="008026AE">
        <w:rPr>
          <w:rFonts w:ascii="Arial" w:eastAsia="MS Mincho" w:hAnsi="Arial" w:cs="Arial"/>
          <w:lang w:bidi="en-US"/>
        </w:rPr>
        <w:t>Personal claims against the</w:t>
      </w:r>
      <w:r>
        <w:rPr>
          <w:rFonts w:ascii="Arial" w:eastAsia="MS Mincho" w:hAnsi="Arial" w:cs="Arial"/>
          <w:lang w:bidi="en-US"/>
        </w:rPr>
        <w:t xml:space="preserve"> trustee</w:t>
      </w:r>
      <w:r w:rsidR="004D0DEE">
        <w:rPr>
          <w:rFonts w:ascii="Arial" w:eastAsia="MS Mincho" w:hAnsi="Arial" w:cs="Arial"/>
          <w:lang w:bidi="en-US"/>
        </w:rPr>
        <w:t>;</w:t>
      </w:r>
      <w:r>
        <w:rPr>
          <w:rFonts w:ascii="Arial" w:eastAsia="MS Mincho" w:hAnsi="Arial" w:cs="Arial"/>
          <w:lang w:bidi="en-US"/>
        </w:rPr>
        <w:t xml:space="preserve"> </w:t>
      </w:r>
    </w:p>
    <w:p w14:paraId="2F0A0515" w14:textId="1195B03E" w:rsidR="004D0DEE" w:rsidRDefault="008026AE" w:rsidP="008026AE">
      <w:pPr>
        <w:spacing w:after="120" w:line="480" w:lineRule="auto"/>
        <w:jc w:val="both"/>
        <w:rPr>
          <w:rFonts w:ascii="Arial" w:eastAsia="MS Mincho" w:hAnsi="Arial" w:cs="Arial"/>
          <w:lang w:bidi="en-US"/>
        </w:rPr>
      </w:pPr>
      <w:r>
        <w:rPr>
          <w:rFonts w:ascii="Arial" w:eastAsia="MS Mincho" w:hAnsi="Arial" w:cs="Arial"/>
          <w:lang w:bidi="en-US"/>
        </w:rPr>
        <w:t>2) p</w:t>
      </w:r>
      <w:r w:rsidRPr="008026AE">
        <w:rPr>
          <w:rFonts w:ascii="Arial" w:eastAsia="MS Mincho" w:hAnsi="Arial" w:cs="Arial"/>
          <w:lang w:bidi="en-US"/>
        </w:rPr>
        <w:t>roprietary claims</w:t>
      </w:r>
      <w:r w:rsidR="004D0DEE">
        <w:rPr>
          <w:rFonts w:ascii="Arial" w:eastAsia="MS Mincho" w:hAnsi="Arial" w:cs="Arial"/>
          <w:lang w:bidi="en-US"/>
        </w:rPr>
        <w:t>;</w:t>
      </w:r>
      <w:r w:rsidRPr="008026AE">
        <w:rPr>
          <w:rFonts w:ascii="Arial" w:eastAsia="MS Mincho" w:hAnsi="Arial" w:cs="Arial"/>
          <w:lang w:bidi="en-US"/>
        </w:rPr>
        <w:t xml:space="preserve"> </w:t>
      </w:r>
      <w:r>
        <w:rPr>
          <w:rFonts w:ascii="Arial" w:eastAsia="MS Mincho" w:hAnsi="Arial" w:cs="Arial"/>
          <w:lang w:bidi="en-US"/>
        </w:rPr>
        <w:t xml:space="preserve">and </w:t>
      </w:r>
    </w:p>
    <w:p w14:paraId="5F34DED1" w14:textId="77777777" w:rsidR="004D0DEE" w:rsidRDefault="008026AE" w:rsidP="008026AE">
      <w:pPr>
        <w:spacing w:after="120" w:line="480" w:lineRule="auto"/>
        <w:jc w:val="both"/>
        <w:rPr>
          <w:rFonts w:ascii="Arial" w:eastAsia="MS Mincho" w:hAnsi="Arial" w:cs="Arial"/>
          <w:lang w:bidi="en-US"/>
        </w:rPr>
      </w:pPr>
      <w:r>
        <w:rPr>
          <w:rFonts w:ascii="Arial" w:eastAsia="MS Mincho" w:hAnsi="Arial" w:cs="Arial"/>
          <w:lang w:bidi="en-US"/>
        </w:rPr>
        <w:t>3) p</w:t>
      </w:r>
      <w:r w:rsidRPr="008026AE">
        <w:rPr>
          <w:rFonts w:ascii="Arial" w:eastAsia="MS Mincho" w:hAnsi="Arial" w:cs="Arial"/>
          <w:lang w:bidi="en-US"/>
        </w:rPr>
        <w:t>ersonal claims against a third party</w:t>
      </w:r>
      <w:r>
        <w:rPr>
          <w:rFonts w:ascii="Arial" w:eastAsia="MS Mincho" w:hAnsi="Arial" w:cs="Arial"/>
          <w:lang w:bidi="en-US"/>
        </w:rPr>
        <w:t xml:space="preserve">. </w:t>
      </w:r>
    </w:p>
    <w:p w14:paraId="5347682E" w14:textId="7371CAE3" w:rsidR="008026AE" w:rsidRPr="008026AE" w:rsidRDefault="008026AE" w:rsidP="008026AE">
      <w:pPr>
        <w:spacing w:after="120" w:line="480" w:lineRule="auto"/>
        <w:jc w:val="both"/>
        <w:rPr>
          <w:rFonts w:ascii="Arial" w:eastAsia="MS Mincho" w:hAnsi="Arial" w:cs="Arial"/>
          <w:lang w:bidi="en-US"/>
        </w:rPr>
      </w:pPr>
      <w:r>
        <w:rPr>
          <w:rFonts w:ascii="Arial" w:eastAsia="MS Mincho" w:hAnsi="Arial" w:cs="Arial"/>
          <w:lang w:bidi="en-US"/>
        </w:rPr>
        <w:t>We will cover 1) in this lecture. We will cover 2) and 3) later in the course.</w:t>
      </w:r>
      <w:r w:rsidR="00A034A5">
        <w:rPr>
          <w:rFonts w:ascii="Arial" w:eastAsia="MS Mincho" w:hAnsi="Arial" w:cs="Arial"/>
          <w:lang w:bidi="en-US"/>
        </w:rPr>
        <w:t xml:space="preserve"> Please also note that in practice, the liability of </w:t>
      </w:r>
      <w:r w:rsidR="00A034A5" w:rsidRPr="00A034A5">
        <w:rPr>
          <w:rFonts w:ascii="Arial" w:eastAsia="MS Mincho" w:hAnsi="Arial" w:cs="Arial"/>
          <w:lang w:bidi="en-US"/>
        </w:rPr>
        <w:t xml:space="preserve">trustees </w:t>
      </w:r>
      <w:r w:rsidR="00A034A5">
        <w:rPr>
          <w:rFonts w:ascii="Arial" w:eastAsia="MS Mincho" w:hAnsi="Arial" w:cs="Arial"/>
          <w:lang w:bidi="en-US"/>
        </w:rPr>
        <w:t>is often</w:t>
      </w:r>
      <w:r w:rsidR="00A034A5" w:rsidRPr="00A034A5">
        <w:rPr>
          <w:rFonts w:ascii="Arial" w:eastAsia="MS Mincho" w:hAnsi="Arial" w:cs="Arial"/>
          <w:lang w:bidi="en-US"/>
        </w:rPr>
        <w:t xml:space="preserve"> limited </w:t>
      </w:r>
      <w:r w:rsidR="00A034A5">
        <w:rPr>
          <w:rFonts w:ascii="Arial" w:eastAsia="MS Mincho" w:hAnsi="Arial" w:cs="Arial"/>
          <w:lang w:bidi="en-US"/>
        </w:rPr>
        <w:t>by using</w:t>
      </w:r>
      <w:r w:rsidR="00A034A5" w:rsidRPr="00A034A5">
        <w:rPr>
          <w:rFonts w:ascii="Arial" w:eastAsia="MS Mincho" w:hAnsi="Arial" w:cs="Arial"/>
          <w:lang w:bidi="en-US"/>
        </w:rPr>
        <w:t xml:space="preserve"> a corporate trustee with limited liability, of which the trustees are </w:t>
      </w:r>
      <w:r w:rsidR="00A034A5">
        <w:rPr>
          <w:rFonts w:ascii="Arial" w:eastAsia="MS Mincho" w:hAnsi="Arial" w:cs="Arial"/>
          <w:lang w:bidi="en-US"/>
        </w:rPr>
        <w:t xml:space="preserve">then made </w:t>
      </w:r>
      <w:r w:rsidR="00A034A5" w:rsidRPr="00A034A5">
        <w:rPr>
          <w:rFonts w:ascii="Arial" w:eastAsia="MS Mincho" w:hAnsi="Arial" w:cs="Arial"/>
          <w:lang w:bidi="en-US"/>
        </w:rPr>
        <w:t>directors (</w:t>
      </w:r>
      <w:r w:rsidR="004D0DEE">
        <w:rPr>
          <w:rFonts w:ascii="Arial" w:eastAsia="MS Mincho" w:hAnsi="Arial" w:cs="Arial"/>
          <w:lang w:bidi="en-US"/>
        </w:rPr>
        <w:t xml:space="preserve">e.g., </w:t>
      </w:r>
      <w:r w:rsidR="00A034A5" w:rsidRPr="00A034A5">
        <w:rPr>
          <w:rFonts w:ascii="Arial" w:eastAsia="MS Mincho" w:hAnsi="Arial" w:cs="Arial"/>
          <w:lang w:bidi="en-US"/>
        </w:rPr>
        <w:t xml:space="preserve">common in pension funds). </w:t>
      </w:r>
    </w:p>
    <w:p w14:paraId="4E756C19" w14:textId="77777777" w:rsidR="004D0DEE" w:rsidRDefault="004D0DEE" w:rsidP="00BB76DB">
      <w:pPr>
        <w:spacing w:line="480" w:lineRule="auto"/>
        <w:jc w:val="both"/>
        <w:rPr>
          <w:rFonts w:ascii="Arial" w:hAnsi="Arial" w:cs="Arial"/>
        </w:rPr>
      </w:pPr>
    </w:p>
    <w:p w14:paraId="3D2FB6D1" w14:textId="0F105BDC" w:rsidR="004D0DEE" w:rsidRPr="004D0DEE" w:rsidRDefault="004D0DEE" w:rsidP="00BB76DB">
      <w:pPr>
        <w:spacing w:line="480" w:lineRule="auto"/>
        <w:jc w:val="both"/>
        <w:rPr>
          <w:rFonts w:ascii="Arial" w:hAnsi="Arial" w:cs="Arial"/>
          <w:u w:val="single"/>
        </w:rPr>
      </w:pPr>
      <w:r>
        <w:rPr>
          <w:rFonts w:ascii="Arial" w:hAnsi="Arial" w:cs="Arial"/>
          <w:u w:val="single"/>
        </w:rPr>
        <w:t>I</w:t>
      </w:r>
      <w:r w:rsidRPr="004D0DEE">
        <w:rPr>
          <w:rFonts w:ascii="Arial" w:hAnsi="Arial" w:cs="Arial"/>
          <w:u w:val="single"/>
        </w:rPr>
        <w:t>I</w:t>
      </w:r>
      <w:r>
        <w:rPr>
          <w:rFonts w:ascii="Arial" w:hAnsi="Arial" w:cs="Arial"/>
          <w:u w:val="single"/>
        </w:rPr>
        <w:t xml:space="preserve"> - </w:t>
      </w:r>
      <w:r w:rsidRPr="004D0DEE">
        <w:rPr>
          <w:rFonts w:ascii="Arial" w:hAnsi="Arial" w:cs="Arial"/>
          <w:u w:val="single"/>
        </w:rPr>
        <w:t>Types of breach</w:t>
      </w:r>
    </w:p>
    <w:p w14:paraId="24ED67A7" w14:textId="61455DE3" w:rsidR="00A47FFC" w:rsidRPr="00A47FFC" w:rsidRDefault="00A47FFC" w:rsidP="00BB76DB">
      <w:pPr>
        <w:spacing w:line="480" w:lineRule="auto"/>
        <w:jc w:val="both"/>
        <w:rPr>
          <w:rFonts w:ascii="Arial" w:hAnsi="Arial" w:cs="Arial"/>
        </w:rPr>
      </w:pPr>
      <w:r w:rsidRPr="00A47FFC">
        <w:rPr>
          <w:rFonts w:ascii="Arial" w:hAnsi="Arial" w:cs="Arial"/>
        </w:rPr>
        <w:t>Ther</w:t>
      </w:r>
      <w:r>
        <w:rPr>
          <w:rFonts w:ascii="Arial" w:hAnsi="Arial" w:cs="Arial"/>
        </w:rPr>
        <w:t>e are two main types of breach</w:t>
      </w:r>
      <w:r w:rsidRPr="00A47FFC">
        <w:rPr>
          <w:rFonts w:ascii="Arial" w:hAnsi="Arial" w:cs="Arial"/>
        </w:rPr>
        <w:t xml:space="preserve"> of non-fiduciary duties:</w:t>
      </w:r>
    </w:p>
    <w:p w14:paraId="0DBEE4E0" w14:textId="01A0D287" w:rsidR="002D5FE8" w:rsidRDefault="07F33EA2" w:rsidP="00FF19AB">
      <w:pPr>
        <w:pStyle w:val="ListParagraph"/>
        <w:numPr>
          <w:ilvl w:val="0"/>
          <w:numId w:val="6"/>
        </w:numPr>
        <w:spacing w:after="120" w:line="480" w:lineRule="auto"/>
        <w:jc w:val="both"/>
        <w:rPr>
          <w:rFonts w:ascii="Arial" w:eastAsia="MS Mincho" w:hAnsi="Arial" w:cs="Arial"/>
          <w:lang w:bidi="en-US"/>
        </w:rPr>
      </w:pPr>
      <w:r w:rsidRPr="07F33EA2">
        <w:rPr>
          <w:rFonts w:ascii="Arial" w:eastAsia="MS Mincho" w:hAnsi="Arial" w:cs="Arial"/>
          <w:b/>
          <w:bCs/>
          <w:lang w:bidi="en-US"/>
        </w:rPr>
        <w:t>Unauthorised action</w:t>
      </w:r>
      <w:r w:rsidRPr="07F33EA2">
        <w:rPr>
          <w:rFonts w:ascii="Arial" w:eastAsia="MS Mincho" w:hAnsi="Arial" w:cs="Arial"/>
          <w:lang w:bidi="en-US"/>
        </w:rPr>
        <w:t xml:space="preserve">: The trustee acts outside their powers (ultra vires) and misapplies the trust property, for example by paying away trust property or investing it in ways not authorised by the trust instrument. If a profit ensues, no financial remedy is available, but where the unauthorised action causes loss to the trust fund, a remedy in the form of an </w:t>
      </w:r>
      <w:r w:rsidRPr="07F33EA2">
        <w:rPr>
          <w:rFonts w:ascii="Arial" w:eastAsia="MS Mincho" w:hAnsi="Arial" w:cs="Arial"/>
          <w:lang w:bidi="en-US"/>
        </w:rPr>
        <w:lastRenderedPageBreak/>
        <w:t xml:space="preserve">order for the trustee to restore the trust fund to its previous state can be sought (also called ‘substitutive compensation’ or ‘falsifying the account’). </w:t>
      </w:r>
    </w:p>
    <w:p w14:paraId="72EE0ED7" w14:textId="11B94316" w:rsidR="005358E6" w:rsidRDefault="07F33EA2" w:rsidP="00FF19AB">
      <w:pPr>
        <w:pStyle w:val="ListParagraph"/>
        <w:numPr>
          <w:ilvl w:val="0"/>
          <w:numId w:val="6"/>
        </w:numPr>
        <w:spacing w:after="120" w:line="480" w:lineRule="auto"/>
        <w:jc w:val="both"/>
        <w:rPr>
          <w:rFonts w:ascii="Arial" w:eastAsia="MS Mincho" w:hAnsi="Arial" w:cs="Arial"/>
          <w:lang w:bidi="en-US"/>
        </w:rPr>
      </w:pPr>
      <w:r w:rsidRPr="004C6AC6">
        <w:rPr>
          <w:rFonts w:ascii="Arial" w:eastAsia="MS Mincho" w:hAnsi="Arial" w:cs="Arial"/>
          <w:b/>
          <w:bCs/>
          <w:color w:val="FF0000"/>
          <w:lang w:bidi="en-US"/>
        </w:rPr>
        <w:t>Failure to act with due skill and care i.e., in breach of the duty of care</w:t>
      </w:r>
      <w:r w:rsidRPr="004C6AC6">
        <w:rPr>
          <w:rFonts w:ascii="Arial" w:eastAsia="MS Mincho" w:hAnsi="Arial" w:cs="Arial"/>
          <w:color w:val="FF0000"/>
          <w:lang w:bidi="en-US"/>
        </w:rPr>
        <w:t>:</w:t>
      </w:r>
      <w:r w:rsidRPr="07F33EA2">
        <w:rPr>
          <w:rFonts w:ascii="Arial" w:eastAsia="MS Mincho" w:hAnsi="Arial" w:cs="Arial"/>
          <w:lang w:bidi="en-US"/>
        </w:rPr>
        <w:t xml:space="preserve"> A trustee acts within their powers (intra vires), but does not exercise the required skill and care in doing so. If this causes loss to the trust fund, equitable compensation can be sought from the trustee (also called ‘reparative compensation’ or ‘surcharging the account’).</w:t>
      </w:r>
    </w:p>
    <w:p w14:paraId="47549315" w14:textId="7E360436" w:rsidR="009D502B" w:rsidRDefault="009D502B" w:rsidP="009D502B">
      <w:pPr>
        <w:spacing w:after="120" w:line="480" w:lineRule="auto"/>
        <w:jc w:val="both"/>
        <w:rPr>
          <w:rFonts w:ascii="Arial" w:eastAsia="MS Mincho" w:hAnsi="Arial" w:cs="Arial"/>
          <w:lang w:bidi="en-US"/>
        </w:rPr>
      </w:pPr>
    </w:p>
    <w:p w14:paraId="794C7783" w14:textId="78ED4396" w:rsidR="009D502B" w:rsidRDefault="004D0DEE" w:rsidP="009D502B">
      <w:pPr>
        <w:spacing w:line="480" w:lineRule="auto"/>
        <w:jc w:val="both"/>
        <w:rPr>
          <w:rFonts w:ascii="Arial" w:hAnsi="Arial" w:cs="Arial"/>
          <w:u w:val="single"/>
        </w:rPr>
      </w:pPr>
      <w:r>
        <w:rPr>
          <w:rFonts w:ascii="Arial" w:hAnsi="Arial" w:cs="Arial"/>
          <w:u w:val="single"/>
        </w:rPr>
        <w:t>II</w:t>
      </w:r>
      <w:r w:rsidR="00060EE8">
        <w:rPr>
          <w:rFonts w:ascii="Arial" w:hAnsi="Arial" w:cs="Arial"/>
          <w:u w:val="single"/>
        </w:rPr>
        <w:t>I</w:t>
      </w:r>
      <w:r>
        <w:rPr>
          <w:rFonts w:ascii="Arial" w:hAnsi="Arial" w:cs="Arial"/>
          <w:u w:val="single"/>
        </w:rPr>
        <w:t xml:space="preserve"> - </w:t>
      </w:r>
      <w:r w:rsidR="00A47FFC">
        <w:rPr>
          <w:rFonts w:ascii="Arial" w:hAnsi="Arial" w:cs="Arial"/>
          <w:u w:val="single"/>
        </w:rPr>
        <w:t>Losses</w:t>
      </w:r>
    </w:p>
    <w:p w14:paraId="005C69A6" w14:textId="77777777" w:rsidR="005E7A80" w:rsidRPr="004D0DEE" w:rsidRDefault="00BC022B" w:rsidP="004D0DEE">
      <w:pPr>
        <w:spacing w:line="480" w:lineRule="auto"/>
        <w:jc w:val="both"/>
        <w:rPr>
          <w:rFonts w:ascii="Arial" w:eastAsia="MS Mincho" w:hAnsi="Arial" w:cs="Arial"/>
          <w:lang w:bidi="en-US"/>
        </w:rPr>
      </w:pPr>
      <w:r w:rsidRPr="004D0DEE">
        <w:rPr>
          <w:rFonts w:ascii="Arial" w:eastAsia="MS Mincho" w:hAnsi="Arial" w:cs="Arial"/>
          <w:lang w:bidi="en-US"/>
        </w:rPr>
        <w:t>For the above two breaches of non-fiduciary duty, a loss attributable to a breach is required if there is to be a remedy. A breach on its own without a loss does not give rise to a remedy; neither does a loss that cannot be attributed to a breach</w:t>
      </w:r>
      <w:r w:rsidR="005E7A80" w:rsidRPr="004D0DEE">
        <w:rPr>
          <w:rFonts w:ascii="Arial" w:eastAsia="MS Mincho" w:hAnsi="Arial" w:cs="Arial"/>
          <w:lang w:bidi="en-US"/>
        </w:rPr>
        <w:t xml:space="preserve"> (such as a loss sustained in the ordinary course of investment)</w:t>
      </w:r>
      <w:r w:rsidRPr="004D0DEE">
        <w:rPr>
          <w:rFonts w:ascii="Arial" w:eastAsia="MS Mincho" w:hAnsi="Arial" w:cs="Arial"/>
          <w:lang w:bidi="en-US"/>
        </w:rPr>
        <w:t xml:space="preserve">. </w:t>
      </w:r>
    </w:p>
    <w:p w14:paraId="31622B75" w14:textId="77777777" w:rsidR="005E7A80" w:rsidRPr="004D0DEE" w:rsidRDefault="00BC022B" w:rsidP="004D0DEE">
      <w:pPr>
        <w:spacing w:line="480" w:lineRule="auto"/>
        <w:jc w:val="both"/>
        <w:rPr>
          <w:rFonts w:ascii="Arial" w:eastAsia="MS Mincho" w:hAnsi="Arial" w:cs="Arial"/>
          <w:lang w:bidi="en-US"/>
        </w:rPr>
      </w:pPr>
      <w:r w:rsidRPr="004D0DEE">
        <w:rPr>
          <w:rFonts w:ascii="Arial" w:eastAsia="MS Mincho" w:hAnsi="Arial" w:cs="Arial"/>
          <w:lang w:bidi="en-US"/>
        </w:rPr>
        <w:t>The liability of trustees is to the trust fund, not the beneficiaries as would be the case with tortious or contractual damages. This means, for example, that tax liabilities of beneficiaries cannot be taken into account when calculating liability</w:t>
      </w:r>
      <w:r w:rsidR="005E7A80" w:rsidRPr="004D0DEE">
        <w:rPr>
          <w:rFonts w:ascii="Arial" w:eastAsia="MS Mincho" w:hAnsi="Arial" w:cs="Arial"/>
          <w:lang w:bidi="en-US"/>
        </w:rPr>
        <w:t>, even if it can be shown that the breach either increased or decreased such liabilities (</w:t>
      </w:r>
      <w:r w:rsidR="005E7A80" w:rsidRPr="004D0DEE">
        <w:rPr>
          <w:rFonts w:ascii="Arial" w:eastAsia="MS Mincho" w:hAnsi="Arial" w:cs="Arial"/>
          <w:i/>
          <w:iCs/>
          <w:u w:val="single"/>
          <w:lang w:bidi="en-US"/>
        </w:rPr>
        <w:t>Bartlett v Barclays Bank Trust Co Ltd (No 2)</w:t>
      </w:r>
      <w:r w:rsidR="005E7A80" w:rsidRPr="004D0DEE">
        <w:rPr>
          <w:rFonts w:ascii="Arial" w:eastAsia="MS Mincho" w:hAnsi="Arial" w:cs="Arial"/>
          <w:u w:val="single"/>
          <w:lang w:bidi="en-US"/>
        </w:rPr>
        <w:t xml:space="preserve"> [1980] 2 All ER 92</w:t>
      </w:r>
      <w:r w:rsidR="005E7A80" w:rsidRPr="004D0DEE">
        <w:rPr>
          <w:rFonts w:ascii="Arial" w:eastAsia="MS Mincho" w:hAnsi="Arial" w:cs="Arial"/>
          <w:lang w:bidi="en-US"/>
        </w:rPr>
        <w:t>).</w:t>
      </w:r>
      <w:r w:rsidRPr="004D0DEE">
        <w:rPr>
          <w:rFonts w:ascii="Arial" w:eastAsia="MS Mincho" w:hAnsi="Arial" w:cs="Arial"/>
          <w:lang w:bidi="en-US"/>
        </w:rPr>
        <w:t xml:space="preserve"> </w:t>
      </w:r>
    </w:p>
    <w:p w14:paraId="64BEF4F1" w14:textId="2F00673E" w:rsidR="005E7A80" w:rsidRPr="004D0DEE" w:rsidRDefault="005E7A80" w:rsidP="004D0DEE">
      <w:pPr>
        <w:spacing w:line="480" w:lineRule="auto"/>
        <w:jc w:val="both"/>
        <w:rPr>
          <w:rFonts w:ascii="Arial" w:eastAsia="MS Mincho" w:hAnsi="Arial" w:cs="Arial"/>
          <w:lang w:bidi="en-US"/>
        </w:rPr>
      </w:pPr>
      <w:r w:rsidRPr="004D0DEE">
        <w:rPr>
          <w:rFonts w:ascii="Arial" w:eastAsia="MS Mincho" w:hAnsi="Arial" w:cs="Arial"/>
          <w:lang w:bidi="en-US"/>
        </w:rPr>
        <w:t>Showing l</w:t>
      </w:r>
      <w:r w:rsidR="00BC022B" w:rsidRPr="004D0DEE">
        <w:rPr>
          <w:rFonts w:ascii="Arial" w:eastAsia="MS Mincho" w:hAnsi="Arial" w:cs="Arial"/>
          <w:lang w:bidi="en-US"/>
        </w:rPr>
        <w:t xml:space="preserve">osses stemming from breaches of the duty of care </w:t>
      </w:r>
      <w:r w:rsidRPr="004D0DEE">
        <w:rPr>
          <w:rFonts w:ascii="Arial" w:eastAsia="MS Mincho" w:hAnsi="Arial" w:cs="Arial"/>
          <w:lang w:bidi="en-US"/>
        </w:rPr>
        <w:t xml:space="preserve">can </w:t>
      </w:r>
      <w:r w:rsidR="00BC022B" w:rsidRPr="004D0DEE">
        <w:rPr>
          <w:rFonts w:ascii="Arial" w:eastAsia="MS Mincho" w:hAnsi="Arial" w:cs="Arial"/>
          <w:lang w:bidi="en-US"/>
        </w:rPr>
        <w:t xml:space="preserve">pose evidential problems. </w:t>
      </w:r>
      <w:r w:rsidRPr="004D0DEE">
        <w:rPr>
          <w:rFonts w:ascii="Arial" w:eastAsia="MS Mincho" w:hAnsi="Arial" w:cs="Arial"/>
          <w:lang w:bidi="en-US"/>
        </w:rPr>
        <w:t>How can it be shown that, with the property exercise of the duty, investments would have been more profitable? Loss cannot be presumed without a firm comparator.</w:t>
      </w:r>
    </w:p>
    <w:p w14:paraId="1010049D" w14:textId="6E14C6D9" w:rsidR="00BC022B" w:rsidRPr="004D0DEE" w:rsidRDefault="00BC022B" w:rsidP="004D0DEE">
      <w:pPr>
        <w:spacing w:line="480" w:lineRule="auto"/>
        <w:jc w:val="both"/>
        <w:rPr>
          <w:rFonts w:ascii="Arial" w:eastAsia="MS Mincho" w:hAnsi="Arial" w:cs="Arial"/>
          <w:lang w:bidi="en-US"/>
        </w:rPr>
      </w:pPr>
      <w:r w:rsidRPr="004D0DEE">
        <w:rPr>
          <w:rFonts w:ascii="Arial" w:eastAsia="MS Mincho" w:hAnsi="Arial" w:cs="Arial"/>
          <w:lang w:bidi="en-US"/>
        </w:rPr>
        <w:t>Losses and gains cannot be offset unless they stem from the same unauthorised transaction.</w:t>
      </w:r>
      <w:r w:rsidR="0065316C" w:rsidRPr="004D0DEE">
        <w:rPr>
          <w:rFonts w:ascii="Arial" w:eastAsia="MS Mincho" w:hAnsi="Arial" w:cs="Arial"/>
          <w:lang w:bidi="en-US"/>
        </w:rPr>
        <w:t xml:space="preserve"> However, </w:t>
      </w:r>
      <w:r w:rsidRPr="004D0DEE">
        <w:rPr>
          <w:rFonts w:ascii="Arial" w:eastAsia="MS Mincho" w:hAnsi="Arial" w:cs="Arial"/>
          <w:lang w:bidi="en-US"/>
        </w:rPr>
        <w:t xml:space="preserve">it is </w:t>
      </w:r>
      <w:r w:rsidR="0065316C" w:rsidRPr="004D0DEE">
        <w:rPr>
          <w:rFonts w:ascii="Arial" w:eastAsia="MS Mincho" w:hAnsi="Arial" w:cs="Arial"/>
          <w:lang w:bidi="en-US"/>
        </w:rPr>
        <w:t>not always easy</w:t>
      </w:r>
      <w:r w:rsidRPr="004D0DEE">
        <w:rPr>
          <w:rFonts w:ascii="Arial" w:eastAsia="MS Mincho" w:hAnsi="Arial" w:cs="Arial"/>
          <w:lang w:bidi="en-US"/>
        </w:rPr>
        <w:t xml:space="preserve"> to determine what exactly </w:t>
      </w:r>
      <w:r w:rsidR="0065316C" w:rsidRPr="004D0DEE">
        <w:rPr>
          <w:rFonts w:ascii="Arial" w:eastAsia="MS Mincho" w:hAnsi="Arial" w:cs="Arial"/>
          <w:lang w:bidi="en-US"/>
        </w:rPr>
        <w:t>‘</w:t>
      </w:r>
      <w:r w:rsidRPr="004D0DEE">
        <w:rPr>
          <w:rFonts w:ascii="Arial" w:eastAsia="MS Mincho" w:hAnsi="Arial" w:cs="Arial"/>
          <w:lang w:bidi="en-US"/>
        </w:rPr>
        <w:t>the same transaction</w:t>
      </w:r>
      <w:r w:rsidR="0065316C" w:rsidRPr="004D0DEE">
        <w:rPr>
          <w:rFonts w:ascii="Arial" w:eastAsia="MS Mincho" w:hAnsi="Arial" w:cs="Arial"/>
          <w:lang w:bidi="en-US"/>
        </w:rPr>
        <w:t>’</w:t>
      </w:r>
      <w:r w:rsidRPr="004D0DEE">
        <w:rPr>
          <w:rFonts w:ascii="Arial" w:eastAsia="MS Mincho" w:hAnsi="Arial" w:cs="Arial"/>
          <w:lang w:bidi="en-US"/>
        </w:rPr>
        <w:t xml:space="preserve"> means</w:t>
      </w:r>
      <w:r w:rsidR="0065316C" w:rsidRPr="004D0DEE">
        <w:rPr>
          <w:rFonts w:ascii="Arial" w:eastAsia="MS Mincho" w:hAnsi="Arial" w:cs="Arial"/>
          <w:lang w:bidi="en-US"/>
        </w:rPr>
        <w:t xml:space="preserve">, particularly </w:t>
      </w:r>
      <w:r w:rsidRPr="004D0DEE">
        <w:rPr>
          <w:rFonts w:ascii="Arial" w:eastAsia="MS Mincho" w:hAnsi="Arial" w:cs="Arial"/>
          <w:lang w:bidi="en-US"/>
        </w:rPr>
        <w:t>in relation to investment portfolios</w:t>
      </w:r>
      <w:r w:rsidR="0065316C" w:rsidRPr="004D0DEE">
        <w:rPr>
          <w:rFonts w:ascii="Arial" w:eastAsia="MS Mincho" w:hAnsi="Arial" w:cs="Arial"/>
          <w:lang w:bidi="en-US"/>
        </w:rPr>
        <w:t xml:space="preserve">. It </w:t>
      </w:r>
      <w:r w:rsidRPr="004D0DEE">
        <w:rPr>
          <w:rFonts w:ascii="Arial" w:eastAsia="MS Mincho" w:hAnsi="Arial" w:cs="Arial"/>
          <w:lang w:bidi="en-US"/>
        </w:rPr>
        <w:t xml:space="preserve">seems likely that the portfolio as a whole would be assessed in terms of a breach rather than each individual investment separately.  </w:t>
      </w:r>
    </w:p>
    <w:p w14:paraId="2A28AEF2" w14:textId="5D04D8B1" w:rsidR="008026AE" w:rsidRDefault="008026AE" w:rsidP="008026AE">
      <w:pPr>
        <w:spacing w:after="120" w:line="480" w:lineRule="auto"/>
        <w:jc w:val="both"/>
        <w:rPr>
          <w:rFonts w:ascii="Arial" w:eastAsia="MS Mincho" w:hAnsi="Arial" w:cs="Arial"/>
          <w:lang w:bidi="en-US"/>
        </w:rPr>
      </w:pPr>
    </w:p>
    <w:p w14:paraId="1D312665" w14:textId="54FE6A60" w:rsidR="00D67617" w:rsidRPr="00A47FFC" w:rsidRDefault="004D0DEE" w:rsidP="00A47FFC">
      <w:pPr>
        <w:spacing w:after="120" w:line="480" w:lineRule="auto"/>
        <w:jc w:val="both"/>
        <w:rPr>
          <w:rFonts w:ascii="Arial" w:eastAsia="MS Mincho" w:hAnsi="Arial" w:cs="Arial"/>
          <w:u w:val="single"/>
          <w:lang w:bidi="en-US"/>
        </w:rPr>
      </w:pPr>
      <w:r>
        <w:rPr>
          <w:rFonts w:ascii="Arial" w:eastAsia="MS Mincho" w:hAnsi="Arial" w:cs="Arial"/>
          <w:u w:val="single"/>
          <w:lang w:bidi="en-US"/>
        </w:rPr>
        <w:lastRenderedPageBreak/>
        <w:t>I</w:t>
      </w:r>
      <w:r w:rsidR="00060EE8">
        <w:rPr>
          <w:rFonts w:ascii="Arial" w:eastAsia="MS Mincho" w:hAnsi="Arial" w:cs="Arial"/>
          <w:u w:val="single"/>
          <w:lang w:bidi="en-US"/>
        </w:rPr>
        <w:t>V</w:t>
      </w:r>
      <w:r>
        <w:rPr>
          <w:rFonts w:ascii="Arial" w:eastAsia="MS Mincho" w:hAnsi="Arial" w:cs="Arial"/>
          <w:u w:val="single"/>
          <w:lang w:bidi="en-US"/>
        </w:rPr>
        <w:t xml:space="preserve"> - </w:t>
      </w:r>
      <w:r w:rsidR="00D67617" w:rsidRPr="00A47FFC">
        <w:rPr>
          <w:rFonts w:ascii="Arial" w:eastAsia="MS Mincho" w:hAnsi="Arial" w:cs="Arial"/>
          <w:u w:val="single"/>
          <w:lang w:bidi="en-US"/>
        </w:rPr>
        <w:t>Personal liability of trustees for breach of non-fiduciary duty</w:t>
      </w:r>
    </w:p>
    <w:p w14:paraId="5E91597B" w14:textId="77777777" w:rsidR="00A62C40" w:rsidRDefault="07F33EA2" w:rsidP="00FF32B9">
      <w:pPr>
        <w:spacing w:after="120" w:line="480" w:lineRule="auto"/>
        <w:jc w:val="both"/>
        <w:rPr>
          <w:rFonts w:ascii="Arial" w:eastAsia="MS Mincho" w:hAnsi="Arial" w:cs="Arial"/>
          <w:lang w:bidi="en-US"/>
        </w:rPr>
      </w:pPr>
      <w:r w:rsidRPr="00FF32B9">
        <w:rPr>
          <w:rFonts w:ascii="Arial" w:eastAsia="MS Mincho" w:hAnsi="Arial" w:cs="Arial"/>
          <w:lang w:bidi="en-US"/>
        </w:rPr>
        <w:t>Seeking to hold trustees personally liable for losses is only appropriate where they have funds available to meet their liabilities</w:t>
      </w:r>
      <w:r w:rsidR="0099274E">
        <w:rPr>
          <w:rFonts w:ascii="Arial" w:eastAsia="MS Mincho" w:hAnsi="Arial" w:cs="Arial"/>
          <w:lang w:bidi="en-US"/>
        </w:rPr>
        <w:t xml:space="preserve"> (including through insurance)</w:t>
      </w:r>
      <w:r w:rsidRPr="00FF32B9">
        <w:rPr>
          <w:rFonts w:ascii="Arial" w:eastAsia="MS Mincho" w:hAnsi="Arial" w:cs="Arial"/>
          <w:lang w:bidi="en-US"/>
        </w:rPr>
        <w:t xml:space="preserve">. Where they have insufficient funds or are bankrupt, a proprietary claim or a personal claim against a third party will be preferable. </w:t>
      </w:r>
    </w:p>
    <w:p w14:paraId="2BE5F0DA" w14:textId="6EF91FBA" w:rsidR="001D5258" w:rsidRPr="00FF32B9" w:rsidRDefault="00A62C40" w:rsidP="00FF32B9">
      <w:pPr>
        <w:spacing w:after="120" w:line="480" w:lineRule="auto"/>
        <w:jc w:val="both"/>
        <w:rPr>
          <w:rFonts w:ascii="Arial" w:eastAsia="MS Mincho" w:hAnsi="Arial" w:cs="Arial"/>
          <w:lang w:bidi="en-US"/>
        </w:rPr>
      </w:pPr>
      <w:r>
        <w:rPr>
          <w:rFonts w:ascii="Arial" w:eastAsia="MS Mincho" w:hAnsi="Arial" w:cs="Arial"/>
          <w:lang w:bidi="en-US"/>
        </w:rPr>
        <w:t>As mentioned above, p</w:t>
      </w:r>
      <w:r w:rsidR="07F33EA2" w:rsidRPr="00FF32B9">
        <w:rPr>
          <w:rFonts w:ascii="Arial" w:eastAsia="MS Mincho" w:hAnsi="Arial" w:cs="Arial"/>
          <w:lang w:bidi="en-US"/>
        </w:rPr>
        <w:t xml:space="preserve">ersonal liability of trustees falls into two categories, depending on whether the loss has been caused by the trustee having acted in an unauthorised way or a by the trustee having failed </w:t>
      </w:r>
      <w:r w:rsidR="009137BC" w:rsidRPr="00FF32B9">
        <w:rPr>
          <w:rFonts w:ascii="Arial" w:eastAsia="MS Mincho" w:hAnsi="Arial" w:cs="Arial"/>
          <w:lang w:bidi="en-US"/>
        </w:rPr>
        <w:t>to comply with the duty of care: Substitutive compensation and reparative compensation.</w:t>
      </w:r>
      <w:r w:rsidR="07F33EA2" w:rsidRPr="00FF32B9">
        <w:rPr>
          <w:rFonts w:ascii="Arial" w:eastAsia="MS Mincho" w:hAnsi="Arial" w:cs="Arial"/>
          <w:lang w:bidi="en-US"/>
        </w:rPr>
        <w:t xml:space="preserve">  </w:t>
      </w:r>
    </w:p>
    <w:p w14:paraId="6106530A" w14:textId="77777777" w:rsidR="001D5258" w:rsidRPr="00FF32B9" w:rsidRDefault="001D5258" w:rsidP="00FF32B9">
      <w:pPr>
        <w:spacing w:line="480" w:lineRule="auto"/>
        <w:jc w:val="both"/>
        <w:rPr>
          <w:rFonts w:ascii="Arial" w:hAnsi="Arial" w:cs="Arial"/>
          <w:b/>
        </w:rPr>
      </w:pPr>
    </w:p>
    <w:p w14:paraId="29C099F1" w14:textId="53D958D4" w:rsidR="00950C07" w:rsidRPr="004D0DEE" w:rsidRDefault="004D0DEE" w:rsidP="00FF32B9">
      <w:pPr>
        <w:spacing w:line="480" w:lineRule="auto"/>
        <w:jc w:val="both"/>
        <w:rPr>
          <w:rFonts w:ascii="Arial" w:hAnsi="Arial" w:cs="Arial"/>
        </w:rPr>
      </w:pPr>
      <w:r w:rsidRPr="004D0DEE">
        <w:rPr>
          <w:rFonts w:ascii="Arial" w:hAnsi="Arial" w:cs="Arial"/>
        </w:rPr>
        <w:t xml:space="preserve">a) </w:t>
      </w:r>
      <w:r w:rsidR="07F33EA2" w:rsidRPr="004D0DEE">
        <w:rPr>
          <w:rFonts w:ascii="Arial" w:hAnsi="Arial" w:cs="Arial"/>
        </w:rPr>
        <w:t>Substitutive compensation</w:t>
      </w:r>
    </w:p>
    <w:p w14:paraId="5C27DEC3" w14:textId="26B8FD9F" w:rsidR="00950C07" w:rsidRPr="00FF32B9" w:rsidRDefault="00950C07" w:rsidP="00FF32B9">
      <w:pPr>
        <w:spacing w:after="120" w:line="480" w:lineRule="auto"/>
        <w:jc w:val="both"/>
        <w:rPr>
          <w:rFonts w:ascii="Arial" w:eastAsia="MS Mincho" w:hAnsi="Arial" w:cs="Arial"/>
          <w:lang w:bidi="en-US"/>
        </w:rPr>
      </w:pPr>
      <w:r w:rsidRPr="00FF32B9">
        <w:rPr>
          <w:rFonts w:ascii="Arial" w:eastAsia="MS Mincho" w:hAnsi="Arial" w:cs="Arial"/>
          <w:lang w:bidi="en-US"/>
        </w:rPr>
        <w:t>Where a trustee has misapplied a trust asset, for example by making an investment not permitted by the trust instrument, the courts will regard the wrongful act as having been carried out with the trustee’s personal assets, asking the trustee to account for the trust fund as if no transaction had been carried out. In other words, the trustee must reconstitute the trust</w:t>
      </w:r>
      <w:r w:rsidR="00A51841">
        <w:rPr>
          <w:rFonts w:ascii="Arial" w:eastAsia="MS Mincho" w:hAnsi="Arial" w:cs="Arial"/>
          <w:lang w:bidi="en-US"/>
        </w:rPr>
        <w:t xml:space="preserve"> fund</w:t>
      </w:r>
      <w:r w:rsidRPr="00FF32B9">
        <w:rPr>
          <w:rFonts w:ascii="Arial" w:eastAsia="MS Mincho" w:hAnsi="Arial" w:cs="Arial"/>
          <w:lang w:bidi="en-US"/>
        </w:rPr>
        <w:t>, restoring it to its state before the breach. This is also sometimes called ‘falsifying the account.’</w:t>
      </w:r>
    </w:p>
    <w:p w14:paraId="0099D801" w14:textId="40A942F5" w:rsidR="00950C07" w:rsidRDefault="5DEB91EF" w:rsidP="00FF32B9">
      <w:pPr>
        <w:spacing w:after="120" w:line="480" w:lineRule="auto"/>
        <w:jc w:val="both"/>
        <w:rPr>
          <w:rFonts w:ascii="Arial" w:eastAsia="MS Mincho" w:hAnsi="Arial" w:cs="Arial"/>
          <w:lang w:bidi="en-US"/>
        </w:rPr>
      </w:pPr>
      <w:r w:rsidRPr="5DEB91EF">
        <w:rPr>
          <w:rFonts w:ascii="Arial" w:eastAsia="MS Mincho" w:hAnsi="Arial" w:cs="Arial"/>
          <w:lang w:bidi="en-US"/>
        </w:rPr>
        <w:t xml:space="preserve">The relevant point in time for assessing the amount of substitutive compensation is the time at which the breach occurred. If the trust subsequently receives back some of the assets that have been misapplied, these will be subtracted from the final amount of compensation. </w:t>
      </w:r>
    </w:p>
    <w:p w14:paraId="1BD4C881" w14:textId="6A63F4EF" w:rsidR="001D5258" w:rsidRPr="00FF32B9" w:rsidRDefault="5DEB91EF" w:rsidP="00FF32B9">
      <w:pPr>
        <w:spacing w:after="200" w:line="480" w:lineRule="auto"/>
        <w:jc w:val="both"/>
        <w:rPr>
          <w:rFonts w:ascii="Arial" w:eastAsia="Calibri" w:hAnsi="Arial" w:cs="Arial"/>
          <w:lang w:eastAsia="en-GB"/>
        </w:rPr>
      </w:pPr>
      <w:r w:rsidRPr="5DEB91EF">
        <w:rPr>
          <w:rFonts w:ascii="Arial" w:eastAsia="Calibri" w:hAnsi="Arial" w:cs="Arial"/>
          <w:lang w:eastAsia="en-GB"/>
        </w:rPr>
        <w:t>Causation and considerations of remoteness</w:t>
      </w:r>
      <w:r w:rsidRPr="5DEB91EF">
        <w:rPr>
          <w:rFonts w:ascii="Arial" w:eastAsia="Calibri" w:hAnsi="Arial" w:cs="Arial"/>
          <w:b/>
          <w:bCs/>
          <w:lang w:eastAsia="en-GB"/>
        </w:rPr>
        <w:t xml:space="preserve"> </w:t>
      </w:r>
      <w:r w:rsidRPr="5DEB91EF">
        <w:rPr>
          <w:rFonts w:ascii="Arial" w:eastAsia="Calibri" w:hAnsi="Arial" w:cs="Arial"/>
          <w:lang w:eastAsia="en-GB"/>
        </w:rPr>
        <w:t xml:space="preserve">of loss have not usually been said to apply where trust property has been misapplied. However, this approach was reviewed in </w:t>
      </w:r>
      <w:r w:rsidRPr="5DEB91EF">
        <w:rPr>
          <w:rFonts w:ascii="Arial" w:eastAsia="Calibri" w:hAnsi="Arial" w:cs="Arial"/>
          <w:i/>
          <w:iCs/>
          <w:u w:val="single"/>
          <w:lang w:eastAsia="en-GB"/>
        </w:rPr>
        <w:t xml:space="preserve">Target Holdings Ltd v </w:t>
      </w:r>
      <w:proofErr w:type="spellStart"/>
      <w:r w:rsidRPr="5DEB91EF">
        <w:rPr>
          <w:rFonts w:ascii="Arial" w:eastAsia="Calibri" w:hAnsi="Arial" w:cs="Arial"/>
          <w:i/>
          <w:iCs/>
          <w:u w:val="single"/>
          <w:lang w:eastAsia="en-GB"/>
        </w:rPr>
        <w:t>Redferns</w:t>
      </w:r>
      <w:proofErr w:type="spellEnd"/>
      <w:r w:rsidRPr="5DEB91EF">
        <w:rPr>
          <w:rFonts w:ascii="Arial" w:eastAsia="Calibri" w:hAnsi="Arial" w:cs="Arial"/>
          <w:u w:val="single"/>
          <w:lang w:eastAsia="en-GB"/>
        </w:rPr>
        <w:t xml:space="preserve"> [1995] 3 All ER 785</w:t>
      </w:r>
      <w:r w:rsidRPr="5DEB91EF">
        <w:rPr>
          <w:rFonts w:ascii="Arial" w:eastAsia="Calibri" w:hAnsi="Arial" w:cs="Arial"/>
          <w:lang w:eastAsia="en-GB"/>
        </w:rPr>
        <w:t xml:space="preserve">: </w:t>
      </w:r>
      <w:proofErr w:type="spellStart"/>
      <w:r w:rsidRPr="5DEB91EF">
        <w:rPr>
          <w:rFonts w:ascii="Arial" w:eastAsia="Calibri" w:hAnsi="Arial" w:cs="Arial"/>
          <w:lang w:eastAsia="en-GB"/>
        </w:rPr>
        <w:t>Redferns</w:t>
      </w:r>
      <w:proofErr w:type="spellEnd"/>
      <w:r w:rsidRPr="5DEB91EF">
        <w:rPr>
          <w:rFonts w:ascii="Arial" w:eastAsia="Calibri" w:hAnsi="Arial" w:cs="Arial"/>
          <w:lang w:eastAsia="en-GB"/>
        </w:rPr>
        <w:t xml:space="preserve"> was a firm of solicitors that released funds it was holding on bare trust for Target Holdings (the mortgagee) to the purchaser of land (the mortgagor) before all the necessary documents had been executed. The transaction went ahead, but as it turned out later, the value of the property had been artificially inflated. This meant that when the mortgagor defaulted on their mortgage, Target Holdings were only able </w:t>
      </w:r>
      <w:r w:rsidRPr="5DEB91EF">
        <w:rPr>
          <w:rFonts w:ascii="Arial" w:eastAsia="Calibri" w:hAnsi="Arial" w:cs="Arial"/>
          <w:lang w:eastAsia="en-GB"/>
        </w:rPr>
        <w:lastRenderedPageBreak/>
        <w:t xml:space="preserve">to recover a portion of the funds they had advanced on security for the property. They sued </w:t>
      </w:r>
      <w:proofErr w:type="spellStart"/>
      <w:r w:rsidRPr="5DEB91EF">
        <w:rPr>
          <w:rFonts w:ascii="Arial" w:eastAsia="Calibri" w:hAnsi="Arial" w:cs="Arial"/>
          <w:lang w:eastAsia="en-GB"/>
        </w:rPr>
        <w:t>Redferns</w:t>
      </w:r>
      <w:proofErr w:type="spellEnd"/>
      <w:r w:rsidRPr="5DEB91EF">
        <w:rPr>
          <w:rFonts w:ascii="Arial" w:eastAsia="Calibri" w:hAnsi="Arial" w:cs="Arial"/>
          <w:lang w:eastAsia="en-GB"/>
        </w:rPr>
        <w:t xml:space="preserve"> to recover the loss. The Court of Appeal, per Gibson</w:t>
      </w:r>
      <w:r w:rsidR="004D0DEE">
        <w:rPr>
          <w:rFonts w:ascii="Arial" w:eastAsia="Calibri" w:hAnsi="Arial" w:cs="Arial"/>
          <w:lang w:eastAsia="en-GB"/>
        </w:rPr>
        <w:t xml:space="preserve"> LJ, </w:t>
      </w:r>
      <w:r w:rsidRPr="5DEB91EF">
        <w:rPr>
          <w:rFonts w:ascii="Arial" w:eastAsia="Calibri" w:hAnsi="Arial" w:cs="Arial"/>
          <w:lang w:eastAsia="en-GB"/>
        </w:rPr>
        <w:t xml:space="preserve">at 353, effectively regarded this case a matter of substitutive compensation, holding that “the cause of action is constituted simply by the payment away of Target’s moneys in breach of trust and the loss is quantified in the amount of those moneys, subject to Target giving credit for the realisation of the security it received.” </w:t>
      </w:r>
    </w:p>
    <w:p w14:paraId="29BB0C00" w14:textId="33874542" w:rsidR="001D5258" w:rsidRPr="00FF32B9" w:rsidRDefault="5DEB91EF" w:rsidP="5DEB91EF">
      <w:pPr>
        <w:spacing w:after="200" w:line="480" w:lineRule="auto"/>
        <w:jc w:val="both"/>
        <w:rPr>
          <w:rFonts w:ascii="Arial" w:eastAsia="Calibri" w:hAnsi="Arial" w:cs="Arial"/>
          <w:lang w:eastAsia="en-GB"/>
        </w:rPr>
      </w:pPr>
      <w:r w:rsidRPr="5DEB91EF">
        <w:rPr>
          <w:rFonts w:ascii="Arial" w:eastAsia="Calibri" w:hAnsi="Arial" w:cs="Arial"/>
          <w:lang w:eastAsia="en-GB"/>
        </w:rPr>
        <w:t xml:space="preserve">The House of Lords, however, found in favour of </w:t>
      </w:r>
      <w:proofErr w:type="spellStart"/>
      <w:r w:rsidRPr="5DEB91EF">
        <w:rPr>
          <w:rFonts w:ascii="Arial" w:eastAsia="Calibri" w:hAnsi="Arial" w:cs="Arial"/>
          <w:lang w:eastAsia="en-GB"/>
        </w:rPr>
        <w:t>Redferns</w:t>
      </w:r>
      <w:proofErr w:type="spellEnd"/>
      <w:r w:rsidRPr="5DEB91EF">
        <w:rPr>
          <w:rFonts w:ascii="Arial" w:eastAsia="Calibri" w:hAnsi="Arial" w:cs="Arial"/>
          <w:lang w:eastAsia="en-GB"/>
        </w:rPr>
        <w:t xml:space="preserve">. Brown-Wilkinson </w:t>
      </w:r>
      <w:r w:rsidR="004D0DEE">
        <w:rPr>
          <w:rFonts w:ascii="Arial" w:eastAsia="Calibri" w:hAnsi="Arial" w:cs="Arial"/>
          <w:lang w:eastAsia="en-GB"/>
        </w:rPr>
        <w:t xml:space="preserve">LJ </w:t>
      </w:r>
      <w:r w:rsidRPr="5DEB91EF">
        <w:rPr>
          <w:rFonts w:ascii="Arial" w:eastAsia="Calibri" w:hAnsi="Arial" w:cs="Arial"/>
          <w:lang w:eastAsia="en-GB"/>
        </w:rPr>
        <w:t>distinguished a trust such as this where one remaining beneficiary effectively becomes absolutely entitled (with the trust thus concluding) from ongoing trusts where the trustee has to manage property for several beneficiaries; only in the latter case was the reconstitution of the trust fund required. He also said that it would not be appropriate to apply the strict rules of equity developed for traditional trusts to trusts established for a specific purpose in the commercial context. He concluded that causation would apply, and that it could not be said that ‘but for’ the breach, Target Holdings would not have sustained the losses. After all, Target had received what they had bargained for, namely, a first charge over the property. About the time at which the quantum of compensation should be fixed, Brown-Wilkinson</w:t>
      </w:r>
      <w:r w:rsidR="004D0DEE">
        <w:rPr>
          <w:rFonts w:ascii="Arial" w:eastAsia="Calibri" w:hAnsi="Arial" w:cs="Arial"/>
          <w:lang w:eastAsia="en-GB"/>
        </w:rPr>
        <w:t xml:space="preserve"> LJ, </w:t>
      </w:r>
      <w:r w:rsidRPr="5DEB91EF">
        <w:rPr>
          <w:rFonts w:ascii="Arial" w:eastAsia="Calibri" w:hAnsi="Arial" w:cs="Arial"/>
          <w:lang w:eastAsia="en-GB"/>
        </w:rPr>
        <w:t>at 432</w:t>
      </w:r>
      <w:r w:rsidR="004D0DEE">
        <w:rPr>
          <w:rFonts w:ascii="Arial" w:eastAsia="Calibri" w:hAnsi="Arial" w:cs="Arial"/>
          <w:lang w:eastAsia="en-GB"/>
        </w:rPr>
        <w:t xml:space="preserve">, </w:t>
      </w:r>
      <w:r w:rsidRPr="5DEB91EF">
        <w:rPr>
          <w:rFonts w:ascii="Arial" w:eastAsia="Calibri" w:hAnsi="Arial" w:cs="Arial"/>
          <w:lang w:eastAsia="en-GB"/>
        </w:rPr>
        <w:t>said the following:</w:t>
      </w:r>
    </w:p>
    <w:p w14:paraId="07C82057" w14:textId="2205D08A" w:rsidR="001D5258" w:rsidRPr="00FF32B9" w:rsidRDefault="00F27434"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t xml:space="preserve">“A trustee who wrongly pays away trust money, like a trustee who makes an unauthorised investment, commits a breach of trust and comes under an immediate duty to remedy such a breach. If immediate proceedings are brought, the court will make an immediate order requiring restoration to the trust fund of the assets wrongly distributed or, in the case of an unauthorised investment, will order the sale of the unauthorised investment and payment of compensation for any loss suffered. But the fact that there is an accrued cause of action as soon as the breach is committed does not in my judgment mean that the quantum of the compensation payable is ultimately fixed as at the date when the breach occurred. The quantum is fixed at the date of judgement at which date, according to the circumstances then pertaining, the compensation is assessed at the figure then necessary to put the trust estate or the </w:t>
      </w:r>
      <w:r w:rsidRPr="00FF32B9">
        <w:rPr>
          <w:rFonts w:ascii="Arial" w:eastAsia="Calibri" w:hAnsi="Arial" w:cs="Arial"/>
          <w:lang w:eastAsia="en-GB"/>
        </w:rPr>
        <w:lastRenderedPageBreak/>
        <w:t>beneficiary back into the position it would have been in had there been no beach. I can see no justification for ‘stopping the clock’ immediately in some cases but not in others: to do so may, as in this case, lead to compensating the trust estate or the beneficiary for a loss which, on the facts known at trial, it has never suffered.”</w:t>
      </w:r>
    </w:p>
    <w:p w14:paraId="7F3ED70F" w14:textId="274E3BF9" w:rsidR="001D5258" w:rsidRPr="00FF32B9" w:rsidRDefault="004D0DEE" w:rsidP="00FF32B9">
      <w:pPr>
        <w:spacing w:after="200" w:line="480" w:lineRule="auto"/>
        <w:jc w:val="both"/>
        <w:rPr>
          <w:rFonts w:ascii="Arial" w:eastAsia="Calibri" w:hAnsi="Arial" w:cs="Arial"/>
          <w:lang w:eastAsia="en-GB"/>
        </w:rPr>
      </w:pPr>
      <w:r>
        <w:rPr>
          <w:rFonts w:ascii="Arial" w:eastAsia="Calibri" w:hAnsi="Arial" w:cs="Arial"/>
          <w:lang w:eastAsia="en-GB"/>
        </w:rPr>
        <w:t>He</w:t>
      </w:r>
      <w:r w:rsidR="001D5258" w:rsidRPr="00FF32B9">
        <w:rPr>
          <w:rFonts w:ascii="Arial" w:eastAsia="Calibri" w:hAnsi="Arial" w:cs="Arial"/>
          <w:lang w:eastAsia="en-GB"/>
        </w:rPr>
        <w:t xml:space="preserve"> then went on to say that once causation was established, rules on remoteness of damage would not apply. He approvingly quoted from the Canadian Supreme Court case </w:t>
      </w:r>
      <w:proofErr w:type="spellStart"/>
      <w:r w:rsidR="001D5258" w:rsidRPr="00FF32B9">
        <w:rPr>
          <w:rFonts w:ascii="Arial" w:eastAsia="Calibri" w:hAnsi="Arial" w:cs="Arial"/>
          <w:i/>
          <w:u w:val="single"/>
          <w:lang w:eastAsia="en-GB"/>
        </w:rPr>
        <w:t>Canson</w:t>
      </w:r>
      <w:proofErr w:type="spellEnd"/>
      <w:r w:rsidR="001D5258" w:rsidRPr="00FF32B9">
        <w:rPr>
          <w:rFonts w:ascii="Arial" w:eastAsia="Calibri" w:hAnsi="Arial" w:cs="Arial"/>
          <w:i/>
          <w:u w:val="single"/>
          <w:lang w:eastAsia="en-GB"/>
        </w:rPr>
        <w:t xml:space="preserve"> Enterprises Ltd v Broughton &amp; Co</w:t>
      </w:r>
      <w:r w:rsidR="001D5258" w:rsidRPr="00FF32B9">
        <w:rPr>
          <w:rFonts w:ascii="Arial" w:eastAsia="Calibri" w:hAnsi="Arial" w:cs="Arial"/>
          <w:u w:val="single"/>
          <w:lang w:eastAsia="en-GB"/>
        </w:rPr>
        <w:t xml:space="preserve"> (1991) 85 DLR (4th) 129</w:t>
      </w:r>
      <w:r w:rsidR="001D5258" w:rsidRPr="00FF32B9">
        <w:rPr>
          <w:rFonts w:ascii="Arial" w:eastAsia="Calibri" w:hAnsi="Arial" w:cs="Arial"/>
          <w:lang w:eastAsia="en-GB"/>
        </w:rPr>
        <w:t xml:space="preserve">, in which </w:t>
      </w:r>
      <w:r w:rsidR="00F27434" w:rsidRPr="00FF32B9">
        <w:rPr>
          <w:rFonts w:ascii="Arial" w:eastAsia="Calibri" w:hAnsi="Arial" w:cs="Arial"/>
          <w:lang w:eastAsia="en-GB"/>
        </w:rPr>
        <w:t>McLachlin J, at 163,</w:t>
      </w:r>
      <w:r w:rsidR="001D5258" w:rsidRPr="00FF32B9">
        <w:rPr>
          <w:rFonts w:ascii="Arial" w:eastAsia="Calibri" w:hAnsi="Arial" w:cs="Arial"/>
          <w:lang w:eastAsia="en-GB"/>
        </w:rPr>
        <w:t xml:space="preserve"> said that “foreseeability is not a concern in assessing compensation but it is essential that the losses made good are only those which, on a common-sense view of causation, where caused by the breach.” </w:t>
      </w:r>
    </w:p>
    <w:p w14:paraId="68805165" w14:textId="0A564A26" w:rsidR="001D5258" w:rsidRPr="00FF32B9" w:rsidRDefault="07F33EA2"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Should </w:t>
      </w:r>
      <w:r w:rsidRPr="00FF32B9">
        <w:rPr>
          <w:rFonts w:ascii="Arial" w:eastAsia="Calibri" w:hAnsi="Arial" w:cs="Arial"/>
          <w:i/>
          <w:iCs/>
          <w:u w:val="single"/>
          <w:lang w:eastAsia="en-GB"/>
        </w:rPr>
        <w:t>Target Holdings</w:t>
      </w:r>
      <w:r w:rsidRPr="00FF32B9">
        <w:rPr>
          <w:rFonts w:ascii="Arial" w:eastAsia="Calibri" w:hAnsi="Arial" w:cs="Arial"/>
          <w:lang w:eastAsia="en-GB"/>
        </w:rPr>
        <w:t xml:space="preserve"> be seen as changing the law on causation for all trusts, or just for those bare trusts used in a commercial context? The Supreme Court applied </w:t>
      </w:r>
      <w:r w:rsidRPr="00FF32B9">
        <w:rPr>
          <w:rFonts w:ascii="Arial" w:eastAsia="Calibri" w:hAnsi="Arial" w:cs="Arial"/>
          <w:i/>
          <w:iCs/>
          <w:u w:val="single"/>
          <w:lang w:eastAsia="en-GB"/>
        </w:rPr>
        <w:t>Target Holdings</w:t>
      </w:r>
      <w:r w:rsidRPr="00FF32B9">
        <w:rPr>
          <w:rFonts w:ascii="Arial" w:eastAsia="Calibri" w:hAnsi="Arial" w:cs="Arial"/>
          <w:lang w:eastAsia="en-GB"/>
        </w:rPr>
        <w:t xml:space="preserve"> in another case concerning a bare trust, </w:t>
      </w:r>
      <w:r w:rsidRPr="00FF32B9">
        <w:rPr>
          <w:rFonts w:ascii="Arial" w:eastAsia="Calibri" w:hAnsi="Arial" w:cs="Arial"/>
          <w:i/>
          <w:iCs/>
          <w:u w:val="single"/>
          <w:lang w:eastAsia="en-GB"/>
        </w:rPr>
        <w:t xml:space="preserve">AIB Group (UK) plc v Mark </w:t>
      </w:r>
      <w:proofErr w:type="spellStart"/>
      <w:r w:rsidRPr="00FF32B9">
        <w:rPr>
          <w:rFonts w:ascii="Arial" w:eastAsia="Calibri" w:hAnsi="Arial" w:cs="Arial"/>
          <w:i/>
          <w:iCs/>
          <w:u w:val="single"/>
          <w:lang w:eastAsia="en-GB"/>
        </w:rPr>
        <w:t>Redler</w:t>
      </w:r>
      <w:proofErr w:type="spellEnd"/>
      <w:r w:rsidRPr="00FF32B9">
        <w:rPr>
          <w:rFonts w:ascii="Arial" w:eastAsia="Calibri" w:hAnsi="Arial" w:cs="Arial"/>
          <w:i/>
          <w:iCs/>
          <w:u w:val="single"/>
          <w:lang w:eastAsia="en-GB"/>
        </w:rPr>
        <w:t xml:space="preserve"> &amp; Co Solicitors</w:t>
      </w:r>
      <w:r w:rsidRPr="00FF32B9">
        <w:rPr>
          <w:rFonts w:ascii="Arial" w:eastAsia="Calibri" w:hAnsi="Arial" w:cs="Arial"/>
          <w:u w:val="single"/>
          <w:lang w:eastAsia="en-GB"/>
        </w:rPr>
        <w:t xml:space="preserve"> [2014] UKSC 58</w:t>
      </w:r>
      <w:r w:rsidRPr="00FF32B9">
        <w:rPr>
          <w:rFonts w:ascii="Arial" w:eastAsia="Calibri" w:hAnsi="Arial" w:cs="Arial"/>
          <w:lang w:eastAsia="en-GB"/>
        </w:rPr>
        <w:t xml:space="preserve">. This case was a re-mortgaging case, in which Mark </w:t>
      </w:r>
      <w:proofErr w:type="spellStart"/>
      <w:r w:rsidRPr="00FF32B9">
        <w:rPr>
          <w:rFonts w:ascii="Arial" w:eastAsia="Calibri" w:hAnsi="Arial" w:cs="Arial"/>
          <w:lang w:eastAsia="en-GB"/>
        </w:rPr>
        <w:t>Redler</w:t>
      </w:r>
      <w:proofErr w:type="spellEnd"/>
      <w:r w:rsidRPr="00FF32B9">
        <w:rPr>
          <w:rFonts w:ascii="Arial" w:eastAsia="Calibri" w:hAnsi="Arial" w:cs="Arial"/>
          <w:lang w:eastAsia="en-GB"/>
        </w:rPr>
        <w:t xml:space="preserve"> &amp; Co, a firm of solicitors, had been instructed by the claimant bank to first pay off the mortgagor’s existing mortgage and then advance the rest of the money to the mortgagor in return for a first charge over the property. The solicitors, however, failed to pay off the entire first mortgage, resulting in AIB Group advancing more of the money to the mortgagor while at the same time only obtaining a second charge over the property. When the mortgagor defaulted, the property was sold for substantially less than the value of the security and the first mortgagees had to be paid before AIB Group could recover.</w:t>
      </w:r>
    </w:p>
    <w:p w14:paraId="1DBF8EC6" w14:textId="4654EB94" w:rsidR="001D5258" w:rsidRPr="00FF32B9" w:rsidRDefault="07F33EA2"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The case could be distinguished from </w:t>
      </w:r>
      <w:r w:rsidRPr="00FF32B9">
        <w:rPr>
          <w:rFonts w:ascii="Arial" w:eastAsia="Calibri" w:hAnsi="Arial" w:cs="Arial"/>
          <w:i/>
          <w:iCs/>
          <w:u w:val="single"/>
          <w:lang w:eastAsia="en-GB"/>
        </w:rPr>
        <w:t>Target Holdings</w:t>
      </w:r>
      <w:r w:rsidRPr="00FF32B9">
        <w:rPr>
          <w:rFonts w:ascii="Arial" w:eastAsia="Calibri" w:hAnsi="Arial" w:cs="Arial"/>
          <w:lang w:eastAsia="en-GB"/>
        </w:rPr>
        <w:t xml:space="preserve"> in that the solicitors never rectified the breach of trust by obtaining for the beneficiaries the benefit they were instructed to obtain. Yet the Supreme Court applied the same reasoning as to causation, holding that the claimants could not be said to have avoided the loss ‘but for’ the breach, save for the amount that had to be paid to the first mortgagee. Reed</w:t>
      </w:r>
      <w:r w:rsidR="00692CA9">
        <w:rPr>
          <w:rFonts w:ascii="Arial" w:eastAsia="Calibri" w:hAnsi="Arial" w:cs="Arial"/>
          <w:lang w:eastAsia="en-GB"/>
        </w:rPr>
        <w:t xml:space="preserve"> LJ</w:t>
      </w:r>
      <w:r w:rsidRPr="00FF32B9">
        <w:rPr>
          <w:rFonts w:ascii="Arial" w:eastAsia="Calibri" w:hAnsi="Arial" w:cs="Arial"/>
          <w:lang w:eastAsia="en-GB"/>
        </w:rPr>
        <w:t xml:space="preserve"> said, at 106:</w:t>
      </w:r>
    </w:p>
    <w:p w14:paraId="7D336450" w14:textId="08DF0A96" w:rsidR="001D5258" w:rsidRPr="00FF32B9" w:rsidRDefault="00F27434"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lastRenderedPageBreak/>
        <w:t xml:space="preserve">“Where a solicitor holds money on trust as an incident of a commercial transaction, he can be required to restore moneys paid away until the commercial transaction has been completed, but not after that point, since it would be artificial to impose the same obligation once the transaction has been completed. Lord Browne-Wilkinson is again focusing on procedure: as he had previously explained, the appropriate remedy where the trust is no longer in subsistence is the payment of compensation directly to the beneficiary. Consistently with that general approach, it would be inappropriate to require a trustee to reconstitute the trust fund (such as a solicitor’s client account) in a case where a bare trust had come into being for the purpose of a commercial transaction which had in practical terms been completed, leaving no active obligations for the trustee to perform. As he had previously explained, the measure of compensation would be the same as the loss to the trust fund.” </w:t>
      </w:r>
    </w:p>
    <w:p w14:paraId="6FA5C939" w14:textId="77777777" w:rsidR="0083495F" w:rsidRPr="00FF32B9" w:rsidRDefault="0083495F" w:rsidP="00FF32B9">
      <w:pPr>
        <w:spacing w:after="200" w:line="480" w:lineRule="auto"/>
        <w:ind w:left="720"/>
        <w:jc w:val="both"/>
        <w:rPr>
          <w:rFonts w:ascii="Arial" w:eastAsia="Calibri" w:hAnsi="Arial" w:cs="Arial"/>
          <w:lang w:eastAsia="en-GB"/>
        </w:rPr>
      </w:pPr>
    </w:p>
    <w:p w14:paraId="379C4008" w14:textId="5DEB1AB6" w:rsidR="001D5258" w:rsidRPr="00692CA9" w:rsidRDefault="00692CA9" w:rsidP="00FF32B9">
      <w:pPr>
        <w:spacing w:line="480" w:lineRule="auto"/>
        <w:jc w:val="both"/>
        <w:rPr>
          <w:rFonts w:ascii="Arial" w:hAnsi="Arial" w:cs="Arial"/>
        </w:rPr>
      </w:pPr>
      <w:r w:rsidRPr="00692CA9">
        <w:rPr>
          <w:rFonts w:ascii="Arial" w:hAnsi="Arial" w:cs="Arial"/>
        </w:rPr>
        <w:t xml:space="preserve">b) </w:t>
      </w:r>
      <w:r w:rsidR="07F33EA2" w:rsidRPr="00692CA9">
        <w:rPr>
          <w:rFonts w:ascii="Arial" w:hAnsi="Arial" w:cs="Arial"/>
        </w:rPr>
        <w:t>Reparative compensation</w:t>
      </w:r>
    </w:p>
    <w:p w14:paraId="4A0B4C48" w14:textId="31D50542" w:rsidR="001D5258" w:rsidRPr="00FF32B9" w:rsidRDefault="07F33EA2" w:rsidP="00FF32B9">
      <w:pPr>
        <w:spacing w:after="200" w:line="480" w:lineRule="auto"/>
        <w:jc w:val="both"/>
        <w:rPr>
          <w:rFonts w:ascii="Arial" w:eastAsia="Calibri" w:hAnsi="Arial" w:cs="Arial"/>
          <w:lang w:eastAsia="en-GB"/>
        </w:rPr>
      </w:pPr>
      <w:r w:rsidRPr="00FF32B9">
        <w:rPr>
          <w:rFonts w:ascii="Arial" w:eastAsia="Calibri" w:hAnsi="Arial" w:cs="Arial"/>
          <w:lang w:eastAsia="en-GB"/>
        </w:rPr>
        <w:t>Where a trustee cannot be said to have misapplied trust funds, but causes a loss to the trust by, for example, exercising less than the required skill and care in making investment decisions, they must compensate the trust for the difference between the bad investment and the investment if it had been carried out in full compliance with the trustee’s duties. This is also sometimes called ‘surcharging the account.’</w:t>
      </w:r>
    </w:p>
    <w:p w14:paraId="23F39196" w14:textId="77777777" w:rsidR="00E960AC" w:rsidRPr="00FF32B9" w:rsidRDefault="001D5258"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The relevant point in time for assessing the amount of compensation for losses is the time at which the case comes to trial. </w:t>
      </w:r>
    </w:p>
    <w:p w14:paraId="2E7A4D2F" w14:textId="20A0B620" w:rsidR="001D5258" w:rsidRPr="00FF32B9" w:rsidRDefault="001D5258"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If a loss is to be compensated for, a link between the loss and a breach of duty needs to be established. The question is whether ‘but for’ the breach of duty, the loss would not have occurred. Once ‘but for’ causation is established, the question is then whether the trustee will be liable for all losses which flow from the breach or whether the principle of remoteness </w:t>
      </w:r>
      <w:r w:rsidRPr="00FF32B9">
        <w:rPr>
          <w:rFonts w:ascii="Arial" w:eastAsia="Calibri" w:hAnsi="Arial" w:cs="Arial"/>
          <w:lang w:eastAsia="en-GB"/>
        </w:rPr>
        <w:lastRenderedPageBreak/>
        <w:t xml:space="preserve">applies to restrict recoverable losses to those that were reasonably foreseeable. In </w:t>
      </w:r>
      <w:r w:rsidRPr="00FF32B9">
        <w:rPr>
          <w:rFonts w:ascii="Arial" w:eastAsia="Calibri" w:hAnsi="Arial" w:cs="Arial"/>
          <w:i/>
          <w:u w:val="single"/>
          <w:lang w:eastAsia="en-GB"/>
        </w:rPr>
        <w:t xml:space="preserve">Bristol &amp; West Building Society v </w:t>
      </w:r>
      <w:proofErr w:type="spellStart"/>
      <w:r w:rsidRPr="00FF32B9">
        <w:rPr>
          <w:rFonts w:ascii="Arial" w:eastAsia="Calibri" w:hAnsi="Arial" w:cs="Arial"/>
          <w:i/>
          <w:u w:val="single"/>
          <w:lang w:eastAsia="en-GB"/>
        </w:rPr>
        <w:t>Mothew</w:t>
      </w:r>
      <w:proofErr w:type="spellEnd"/>
      <w:r w:rsidRPr="00FF32B9">
        <w:rPr>
          <w:rFonts w:ascii="Arial" w:eastAsia="Calibri" w:hAnsi="Arial" w:cs="Arial"/>
          <w:u w:val="single"/>
          <w:lang w:eastAsia="en-GB"/>
        </w:rPr>
        <w:t xml:space="preserve"> [1998] Ch 1</w:t>
      </w:r>
      <w:r w:rsidRPr="00FF32B9">
        <w:rPr>
          <w:rFonts w:ascii="Arial" w:eastAsia="Calibri" w:hAnsi="Arial" w:cs="Arial"/>
          <w:lang w:eastAsia="en-GB"/>
        </w:rPr>
        <w:t>, Millet</w:t>
      </w:r>
      <w:r w:rsidR="00692CA9">
        <w:rPr>
          <w:rFonts w:ascii="Arial" w:eastAsia="Calibri" w:hAnsi="Arial" w:cs="Arial"/>
          <w:lang w:eastAsia="en-GB"/>
        </w:rPr>
        <w:t xml:space="preserve"> LJ</w:t>
      </w:r>
      <w:r w:rsidRPr="00FF32B9">
        <w:rPr>
          <w:rFonts w:ascii="Arial" w:eastAsia="Calibri" w:hAnsi="Arial" w:cs="Arial"/>
          <w:lang w:eastAsia="en-GB"/>
        </w:rPr>
        <w:t xml:space="preserve"> thus </w:t>
      </w:r>
      <w:r w:rsidR="0083495F" w:rsidRPr="00FF32B9">
        <w:rPr>
          <w:rFonts w:ascii="Arial" w:eastAsia="Calibri" w:hAnsi="Arial" w:cs="Arial"/>
          <w:lang w:eastAsia="en-GB"/>
        </w:rPr>
        <w:t>said, at 17</w:t>
      </w:r>
      <w:r w:rsidRPr="00FF32B9">
        <w:rPr>
          <w:rFonts w:ascii="Arial" w:eastAsia="Calibri" w:hAnsi="Arial" w:cs="Arial"/>
          <w:lang w:eastAsia="en-GB"/>
        </w:rPr>
        <w:t>:</w:t>
      </w:r>
    </w:p>
    <w:p w14:paraId="24EFE2EF" w14:textId="7A488A93" w:rsidR="001D5258" w:rsidRPr="00FF32B9" w:rsidRDefault="00F27434" w:rsidP="00FF32B9">
      <w:pPr>
        <w:spacing w:after="200" w:line="480" w:lineRule="auto"/>
        <w:ind w:left="720"/>
        <w:jc w:val="both"/>
        <w:rPr>
          <w:rFonts w:ascii="Arial" w:eastAsia="MS Mincho" w:hAnsi="Arial" w:cs="Arial"/>
          <w:lang w:bidi="en-US"/>
        </w:rPr>
      </w:pPr>
      <w:r w:rsidRPr="00FF32B9">
        <w:rPr>
          <w:rFonts w:ascii="Arial" w:eastAsia="Calibri" w:hAnsi="Arial" w:cs="Arial"/>
          <w:lang w:eastAsia="en-GB"/>
        </w:rPr>
        <w:t>“Although the remedy which equity makes available for breach of the equitable duty of skill and care is equitable compensation rather than damages, this is merely the product of history and in this context is in my opinion a distinction with a difference. Equitable compensation for beach of the duty of skill and care resembles common law damages in that it is awarded by way of compensation to the plaintiff for his loss. There is no reason in principle why the common law rules of causation, remoteness of damage and measure of damages should not be applied by analogy in such a case. It should not be confused with equitable compensation for breach of fiduciary duty, which may be awarded in lieu of rescission or specific restitution.”</w:t>
      </w:r>
      <w:r w:rsidR="001D5258" w:rsidRPr="00FF32B9">
        <w:rPr>
          <w:rFonts w:ascii="Arial" w:eastAsia="MS Mincho" w:hAnsi="Arial" w:cs="Arial"/>
          <w:lang w:bidi="en-US"/>
        </w:rPr>
        <w:t xml:space="preserve"> </w:t>
      </w:r>
    </w:p>
    <w:p w14:paraId="4BF91D17" w14:textId="77777777" w:rsidR="00292B26" w:rsidRPr="00FF32B9" w:rsidRDefault="00292B26" w:rsidP="00FF32B9">
      <w:pPr>
        <w:spacing w:after="200" w:line="480" w:lineRule="auto"/>
        <w:ind w:left="720"/>
        <w:jc w:val="both"/>
        <w:rPr>
          <w:rFonts w:ascii="Arial" w:eastAsia="MS Mincho" w:hAnsi="Arial" w:cs="Arial"/>
          <w:bCs/>
          <w:iCs/>
          <w:lang w:bidi="en-US"/>
        </w:rPr>
      </w:pPr>
    </w:p>
    <w:p w14:paraId="02E01CC8" w14:textId="2C30EC04" w:rsidR="00B244B7" w:rsidRPr="002F3D51" w:rsidRDefault="00692CA9" w:rsidP="00FF32B9">
      <w:pPr>
        <w:spacing w:line="480" w:lineRule="auto"/>
        <w:jc w:val="both"/>
        <w:rPr>
          <w:rFonts w:ascii="Arial" w:hAnsi="Arial" w:cs="Arial"/>
          <w:bCs/>
          <w:color w:val="FF0000"/>
        </w:rPr>
      </w:pPr>
      <w:r w:rsidRPr="002F3D51">
        <w:rPr>
          <w:rFonts w:ascii="Arial" w:hAnsi="Arial" w:cs="Arial"/>
          <w:bCs/>
          <w:color w:val="FF0000"/>
        </w:rPr>
        <w:t xml:space="preserve">c) </w:t>
      </w:r>
      <w:r w:rsidR="00292B26" w:rsidRPr="002F3D51">
        <w:rPr>
          <w:rFonts w:ascii="Arial" w:hAnsi="Arial" w:cs="Arial"/>
          <w:bCs/>
          <w:color w:val="FF0000"/>
        </w:rPr>
        <w:t>Apportionment of liability between trustees</w:t>
      </w:r>
    </w:p>
    <w:p w14:paraId="34795B8D" w14:textId="0BE4FCE7" w:rsidR="00D34B46" w:rsidRPr="00FF32B9" w:rsidRDefault="00B244B7" w:rsidP="00FF32B9">
      <w:pPr>
        <w:spacing w:after="200" w:line="480" w:lineRule="auto"/>
        <w:jc w:val="both"/>
        <w:rPr>
          <w:rFonts w:ascii="Arial" w:eastAsia="Calibri" w:hAnsi="Arial" w:cs="Arial"/>
          <w:lang w:eastAsia="en-GB"/>
        </w:rPr>
      </w:pPr>
      <w:r w:rsidRPr="00FF32B9">
        <w:rPr>
          <w:rFonts w:ascii="Arial" w:eastAsia="Calibri" w:hAnsi="Arial" w:cs="Arial"/>
          <w:lang w:eastAsia="en-GB"/>
        </w:rPr>
        <w:t>In cases where not all trustees are involved in a breach of trust, the starting point is that trustees are only liable for their own breaches (</w:t>
      </w:r>
      <w:r w:rsidRPr="00FF32B9">
        <w:rPr>
          <w:rFonts w:ascii="Arial" w:eastAsia="Calibri" w:hAnsi="Arial" w:cs="Arial"/>
          <w:i/>
          <w:u w:val="single"/>
          <w:lang w:eastAsia="en-GB"/>
        </w:rPr>
        <w:t>Townley v Sherborn</w:t>
      </w:r>
      <w:r w:rsidRPr="00FF32B9">
        <w:rPr>
          <w:rFonts w:ascii="Arial" w:eastAsia="Calibri" w:hAnsi="Arial" w:cs="Arial"/>
          <w:u w:val="single"/>
          <w:lang w:eastAsia="en-GB"/>
        </w:rPr>
        <w:t xml:space="preserve"> (1634) J </w:t>
      </w:r>
      <w:proofErr w:type="spellStart"/>
      <w:r w:rsidRPr="00FF32B9">
        <w:rPr>
          <w:rFonts w:ascii="Arial" w:eastAsia="Calibri" w:hAnsi="Arial" w:cs="Arial"/>
          <w:u w:val="single"/>
          <w:lang w:eastAsia="en-GB"/>
        </w:rPr>
        <w:t>Bridg</w:t>
      </w:r>
      <w:proofErr w:type="spellEnd"/>
      <w:r w:rsidRPr="00FF32B9">
        <w:rPr>
          <w:rFonts w:ascii="Arial" w:eastAsia="Calibri" w:hAnsi="Arial" w:cs="Arial"/>
          <w:u w:val="single"/>
          <w:lang w:eastAsia="en-GB"/>
        </w:rPr>
        <w:t xml:space="preserve"> 35</w:t>
      </w:r>
      <w:r w:rsidRPr="00FF32B9">
        <w:rPr>
          <w:rFonts w:ascii="Arial" w:eastAsia="Calibri" w:hAnsi="Arial" w:cs="Arial"/>
          <w:lang w:eastAsia="en-GB"/>
        </w:rPr>
        <w:t>)</w:t>
      </w:r>
      <w:r w:rsidRPr="00FF32B9">
        <w:rPr>
          <w:rFonts w:ascii="Arial" w:eastAsia="Calibri" w:hAnsi="Arial" w:cs="Arial"/>
          <w:b/>
          <w:lang w:eastAsia="en-GB"/>
        </w:rPr>
        <w:t xml:space="preserve">. </w:t>
      </w:r>
      <w:r w:rsidRPr="00FF32B9">
        <w:rPr>
          <w:rFonts w:ascii="Arial" w:eastAsia="Calibri" w:hAnsi="Arial" w:cs="Arial"/>
          <w:lang w:eastAsia="en-GB"/>
        </w:rPr>
        <w:t xml:space="preserve">However, </w:t>
      </w:r>
      <w:r w:rsidR="00D34B46" w:rsidRPr="00FF32B9">
        <w:rPr>
          <w:rFonts w:ascii="Arial" w:eastAsia="Calibri" w:hAnsi="Arial" w:cs="Arial"/>
          <w:lang w:eastAsia="en-GB"/>
        </w:rPr>
        <w:t xml:space="preserve">given that equity </w:t>
      </w:r>
      <w:r w:rsidR="00106594" w:rsidRPr="00FF32B9">
        <w:rPr>
          <w:rFonts w:ascii="Arial" w:eastAsia="Calibri" w:hAnsi="Arial" w:cs="Arial"/>
          <w:lang w:eastAsia="en-GB"/>
        </w:rPr>
        <w:t xml:space="preserve">requires </w:t>
      </w:r>
      <w:r w:rsidR="00D34B46" w:rsidRPr="00FF32B9">
        <w:rPr>
          <w:rFonts w:ascii="Arial" w:eastAsia="Calibri" w:hAnsi="Arial" w:cs="Arial"/>
          <w:lang w:eastAsia="en-GB"/>
        </w:rPr>
        <w:t xml:space="preserve">trustees </w:t>
      </w:r>
      <w:r w:rsidR="00106594" w:rsidRPr="00FF32B9">
        <w:rPr>
          <w:rFonts w:ascii="Arial" w:eastAsia="Calibri" w:hAnsi="Arial" w:cs="Arial"/>
          <w:lang w:eastAsia="en-GB"/>
        </w:rPr>
        <w:t xml:space="preserve">to </w:t>
      </w:r>
      <w:r w:rsidR="00D34B46" w:rsidRPr="00FF32B9">
        <w:rPr>
          <w:rFonts w:ascii="Arial" w:eastAsia="Calibri" w:hAnsi="Arial" w:cs="Arial"/>
          <w:lang w:eastAsia="en-GB"/>
        </w:rPr>
        <w:t xml:space="preserve">act unanimously and that </w:t>
      </w:r>
      <w:r w:rsidR="00FE5683" w:rsidRPr="00FF32B9">
        <w:rPr>
          <w:rFonts w:ascii="Arial" w:eastAsia="Calibri" w:hAnsi="Arial" w:cs="Arial"/>
          <w:lang w:eastAsia="en-GB"/>
        </w:rPr>
        <w:t xml:space="preserve">it </w:t>
      </w:r>
      <w:r w:rsidR="00D34B46" w:rsidRPr="00FF32B9">
        <w:rPr>
          <w:rFonts w:ascii="Arial" w:eastAsia="Calibri" w:hAnsi="Arial" w:cs="Arial"/>
          <w:lang w:eastAsia="en-GB"/>
        </w:rPr>
        <w:t xml:space="preserve">does not tolerate a sleeping trustee, it is difficult for passive trustees to deflect liability. </w:t>
      </w:r>
      <w:r w:rsidR="00FE5683" w:rsidRPr="00FF32B9">
        <w:rPr>
          <w:rFonts w:ascii="Arial" w:eastAsia="Calibri" w:hAnsi="Arial" w:cs="Arial"/>
          <w:lang w:eastAsia="en-GB"/>
        </w:rPr>
        <w:t xml:space="preserve">A passive trustee may also be accused of having </w:t>
      </w:r>
      <w:r w:rsidRPr="00FF32B9">
        <w:rPr>
          <w:rFonts w:ascii="Arial" w:eastAsia="Calibri" w:hAnsi="Arial" w:cs="Arial"/>
          <w:lang w:eastAsia="en-GB"/>
        </w:rPr>
        <w:t xml:space="preserve">failed to comply with </w:t>
      </w:r>
      <w:r w:rsidR="00FE5683" w:rsidRPr="00FF32B9">
        <w:rPr>
          <w:rFonts w:ascii="Arial" w:eastAsia="Calibri" w:hAnsi="Arial" w:cs="Arial"/>
          <w:lang w:eastAsia="en-GB"/>
        </w:rPr>
        <w:t>their</w:t>
      </w:r>
      <w:r w:rsidRPr="00FF32B9">
        <w:rPr>
          <w:rFonts w:ascii="Arial" w:eastAsia="Calibri" w:hAnsi="Arial" w:cs="Arial"/>
          <w:lang w:eastAsia="en-GB"/>
        </w:rPr>
        <w:t xml:space="preserve"> duty of care in allowing the breach to happen</w:t>
      </w:r>
      <w:r w:rsidR="00D34B46" w:rsidRPr="00FF32B9">
        <w:rPr>
          <w:rFonts w:ascii="Arial" w:eastAsia="Calibri" w:hAnsi="Arial" w:cs="Arial"/>
          <w:lang w:eastAsia="en-GB"/>
        </w:rPr>
        <w:t>. Such a breach of the duty of care could take a number of forms:</w:t>
      </w:r>
    </w:p>
    <w:p w14:paraId="4E107A10" w14:textId="4A242AEE" w:rsidR="00D34B46" w:rsidRPr="00FF32B9" w:rsidRDefault="00D34B46" w:rsidP="00FF32B9">
      <w:pPr>
        <w:pStyle w:val="ListParagraph"/>
        <w:numPr>
          <w:ilvl w:val="0"/>
          <w:numId w:val="9"/>
        </w:numPr>
        <w:spacing w:after="200" w:line="480" w:lineRule="auto"/>
        <w:jc w:val="both"/>
        <w:rPr>
          <w:rFonts w:ascii="Arial" w:eastAsia="Calibri" w:hAnsi="Arial" w:cs="Arial"/>
          <w:b/>
          <w:u w:val="single"/>
          <w:lang w:eastAsia="en-GB"/>
        </w:rPr>
      </w:pPr>
      <w:r w:rsidRPr="00FF32B9">
        <w:rPr>
          <w:rFonts w:ascii="Arial" w:eastAsia="Calibri" w:hAnsi="Arial" w:cs="Arial"/>
          <w:lang w:eastAsia="en-GB"/>
        </w:rPr>
        <w:t>Leaving a matter in the hands of a co-trustee without inquiry</w:t>
      </w:r>
      <w:r w:rsidR="00106594" w:rsidRPr="00FF32B9">
        <w:rPr>
          <w:rFonts w:ascii="Arial" w:eastAsia="Calibri" w:hAnsi="Arial" w:cs="Arial"/>
          <w:lang w:eastAsia="en-GB"/>
        </w:rPr>
        <w:t>;</w:t>
      </w:r>
    </w:p>
    <w:p w14:paraId="47484AD7" w14:textId="0E17EA47" w:rsidR="00D34B46" w:rsidRPr="00FF32B9" w:rsidRDefault="00D34B46" w:rsidP="00FF32B9">
      <w:pPr>
        <w:pStyle w:val="ListParagraph"/>
        <w:numPr>
          <w:ilvl w:val="0"/>
          <w:numId w:val="9"/>
        </w:numPr>
        <w:spacing w:after="200" w:line="480" w:lineRule="auto"/>
        <w:jc w:val="both"/>
        <w:rPr>
          <w:rFonts w:ascii="Arial" w:eastAsia="Calibri" w:hAnsi="Arial" w:cs="Arial"/>
          <w:b/>
          <w:u w:val="single"/>
          <w:lang w:eastAsia="en-GB"/>
        </w:rPr>
      </w:pPr>
      <w:r w:rsidRPr="00FF32B9">
        <w:rPr>
          <w:rFonts w:ascii="Arial" w:eastAsia="Calibri" w:hAnsi="Arial" w:cs="Arial"/>
          <w:lang w:eastAsia="en-GB"/>
        </w:rPr>
        <w:t xml:space="preserve">Doing nothing even though </w:t>
      </w:r>
      <w:r w:rsidR="00C81E8E">
        <w:rPr>
          <w:rFonts w:ascii="Arial" w:eastAsia="Calibri" w:hAnsi="Arial" w:cs="Arial"/>
          <w:lang w:eastAsia="en-GB"/>
        </w:rPr>
        <w:t xml:space="preserve">they are </w:t>
      </w:r>
      <w:r w:rsidRPr="00FF32B9">
        <w:rPr>
          <w:rFonts w:ascii="Arial" w:eastAsia="Calibri" w:hAnsi="Arial" w:cs="Arial"/>
          <w:lang w:eastAsia="en-GB"/>
        </w:rPr>
        <w:t>aware that a co-trustee is committing a breach</w:t>
      </w:r>
      <w:r w:rsidR="00106594" w:rsidRPr="00FF32B9">
        <w:rPr>
          <w:rFonts w:ascii="Arial" w:eastAsia="Calibri" w:hAnsi="Arial" w:cs="Arial"/>
          <w:lang w:eastAsia="en-GB"/>
        </w:rPr>
        <w:t>;</w:t>
      </w:r>
    </w:p>
    <w:p w14:paraId="59E23206" w14:textId="631DCA07" w:rsidR="00D34B46" w:rsidRPr="00FF32B9" w:rsidRDefault="00D34B46" w:rsidP="00FF32B9">
      <w:pPr>
        <w:pStyle w:val="ListParagraph"/>
        <w:numPr>
          <w:ilvl w:val="0"/>
          <w:numId w:val="9"/>
        </w:numPr>
        <w:spacing w:after="200" w:line="480" w:lineRule="auto"/>
        <w:jc w:val="both"/>
        <w:rPr>
          <w:rFonts w:ascii="Arial" w:eastAsia="Calibri" w:hAnsi="Arial" w:cs="Arial"/>
          <w:b/>
          <w:u w:val="single"/>
          <w:lang w:eastAsia="en-GB"/>
        </w:rPr>
      </w:pPr>
      <w:r w:rsidRPr="00FF32B9">
        <w:rPr>
          <w:rFonts w:ascii="Arial" w:eastAsia="Calibri" w:hAnsi="Arial" w:cs="Arial"/>
          <w:lang w:eastAsia="en-GB"/>
        </w:rPr>
        <w:t>Allowing trust funds to be in the sole control of a co-trustee</w:t>
      </w:r>
      <w:r w:rsidR="00106594" w:rsidRPr="00FF32B9">
        <w:rPr>
          <w:rFonts w:ascii="Arial" w:eastAsia="Calibri" w:hAnsi="Arial" w:cs="Arial"/>
          <w:lang w:eastAsia="en-GB"/>
        </w:rPr>
        <w:t>; or</w:t>
      </w:r>
    </w:p>
    <w:p w14:paraId="3317D879" w14:textId="074DCE7B" w:rsidR="00106594" w:rsidRPr="00FF32B9" w:rsidRDefault="00D34B46" w:rsidP="00FF32B9">
      <w:pPr>
        <w:pStyle w:val="ListParagraph"/>
        <w:numPr>
          <w:ilvl w:val="0"/>
          <w:numId w:val="9"/>
        </w:numPr>
        <w:spacing w:after="200" w:line="480" w:lineRule="auto"/>
        <w:jc w:val="both"/>
        <w:rPr>
          <w:rFonts w:ascii="Arial" w:eastAsia="Calibri" w:hAnsi="Arial" w:cs="Arial"/>
          <w:b/>
          <w:u w:val="single"/>
          <w:lang w:eastAsia="en-GB"/>
        </w:rPr>
      </w:pPr>
      <w:r w:rsidRPr="00FF32B9">
        <w:rPr>
          <w:rFonts w:ascii="Arial" w:eastAsia="Calibri" w:hAnsi="Arial" w:cs="Arial"/>
          <w:lang w:eastAsia="en-GB"/>
        </w:rPr>
        <w:t>Failing to take steps to obtain redress for a breach</w:t>
      </w:r>
      <w:r w:rsidR="00C81E8E">
        <w:rPr>
          <w:rFonts w:ascii="Arial" w:eastAsia="Calibri" w:hAnsi="Arial" w:cs="Arial"/>
          <w:lang w:eastAsia="en-GB"/>
        </w:rPr>
        <w:t xml:space="preserve"> they are aware of</w:t>
      </w:r>
      <w:r w:rsidR="00106594" w:rsidRPr="00FF32B9">
        <w:rPr>
          <w:rFonts w:ascii="Arial" w:eastAsia="Calibri" w:hAnsi="Arial" w:cs="Arial"/>
          <w:lang w:eastAsia="en-GB"/>
        </w:rPr>
        <w:t>.</w:t>
      </w:r>
    </w:p>
    <w:p w14:paraId="5C6F3DBB" w14:textId="0E19A1D3" w:rsidR="00106594" w:rsidRPr="00FF32B9" w:rsidRDefault="00B244B7"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In some cases, trustees may escape liability by obtaining an indemnity from their co-trustees, such as where a co-trustee with special qualifications exercises a controlling influence. In </w:t>
      </w:r>
      <w:r w:rsidRPr="00FF32B9">
        <w:rPr>
          <w:rFonts w:ascii="Arial" w:eastAsia="Calibri" w:hAnsi="Arial" w:cs="Arial"/>
          <w:i/>
          <w:u w:val="single"/>
          <w:lang w:eastAsia="en-GB"/>
        </w:rPr>
        <w:t xml:space="preserve">Re </w:t>
      </w:r>
      <w:r w:rsidRPr="00FF32B9">
        <w:rPr>
          <w:rFonts w:ascii="Arial" w:eastAsia="Calibri" w:hAnsi="Arial" w:cs="Arial"/>
          <w:i/>
          <w:u w:val="single"/>
          <w:lang w:eastAsia="en-GB"/>
        </w:rPr>
        <w:lastRenderedPageBreak/>
        <w:t>Partington</w:t>
      </w:r>
      <w:r w:rsidRPr="00FF32B9">
        <w:rPr>
          <w:rFonts w:ascii="Arial" w:eastAsia="Calibri" w:hAnsi="Arial" w:cs="Arial"/>
          <w:u w:val="single"/>
          <w:lang w:eastAsia="en-GB"/>
        </w:rPr>
        <w:t xml:space="preserve"> (1887) 57 LT 654</w:t>
      </w:r>
      <w:r w:rsidRPr="00FF32B9">
        <w:rPr>
          <w:rFonts w:ascii="Arial" w:eastAsia="Calibri" w:hAnsi="Arial" w:cs="Arial"/>
          <w:lang w:eastAsia="en-GB"/>
        </w:rPr>
        <w:t xml:space="preserve">, a solicitor-trustee was thus held liable to indemnify his co-trustee because he had misled her by not giving her full information concerning the investments he was asking her to advance money on. However, it must be proved that the trustee claiming an indemnity did not participate on </w:t>
      </w:r>
      <w:r w:rsidR="00106594" w:rsidRPr="00FF32B9">
        <w:rPr>
          <w:rFonts w:ascii="Arial" w:eastAsia="Calibri" w:hAnsi="Arial" w:cs="Arial"/>
          <w:lang w:eastAsia="en-GB"/>
        </w:rPr>
        <w:t>their</w:t>
      </w:r>
      <w:r w:rsidRPr="00FF32B9">
        <w:rPr>
          <w:rFonts w:ascii="Arial" w:eastAsia="Calibri" w:hAnsi="Arial" w:cs="Arial"/>
          <w:lang w:eastAsia="en-GB"/>
        </w:rPr>
        <w:t xml:space="preserve"> own account in the breach, but merely did so “in consequence of the advice and control of the solicitor” (</w:t>
      </w:r>
      <w:r w:rsidRPr="00FF32B9">
        <w:rPr>
          <w:rFonts w:ascii="Arial" w:eastAsia="Calibri" w:hAnsi="Arial" w:cs="Arial"/>
          <w:i/>
          <w:u w:val="single"/>
          <w:lang w:eastAsia="en-GB"/>
        </w:rPr>
        <w:t>Head v Gould</w:t>
      </w:r>
      <w:r w:rsidRPr="00FF32B9">
        <w:rPr>
          <w:rFonts w:ascii="Arial" w:eastAsia="Calibri" w:hAnsi="Arial" w:cs="Arial"/>
          <w:u w:val="single"/>
          <w:lang w:eastAsia="en-GB"/>
        </w:rPr>
        <w:t xml:space="preserve"> [1898] 2 Ch 250</w:t>
      </w:r>
      <w:r w:rsidRPr="00FF32B9">
        <w:rPr>
          <w:rFonts w:ascii="Arial" w:eastAsia="Calibri" w:hAnsi="Arial" w:cs="Arial"/>
          <w:lang w:eastAsia="en-GB"/>
        </w:rPr>
        <w:t xml:space="preserve">, per </w:t>
      </w:r>
      <w:proofErr w:type="spellStart"/>
      <w:r w:rsidRPr="00FF32B9">
        <w:rPr>
          <w:rFonts w:ascii="Arial" w:eastAsia="Calibri" w:hAnsi="Arial" w:cs="Arial"/>
          <w:lang w:eastAsia="en-GB"/>
        </w:rPr>
        <w:t>Kekewich</w:t>
      </w:r>
      <w:proofErr w:type="spellEnd"/>
      <w:r w:rsidRPr="00FF32B9">
        <w:rPr>
          <w:rFonts w:ascii="Arial" w:eastAsia="Calibri" w:hAnsi="Arial" w:cs="Arial"/>
          <w:lang w:eastAsia="en-GB"/>
        </w:rPr>
        <w:t xml:space="preserve"> J</w:t>
      </w:r>
      <w:r w:rsidR="00692CA9">
        <w:rPr>
          <w:rFonts w:ascii="Arial" w:eastAsia="Calibri" w:hAnsi="Arial" w:cs="Arial"/>
          <w:lang w:eastAsia="en-GB"/>
        </w:rPr>
        <w:t xml:space="preserve">, </w:t>
      </w:r>
      <w:r w:rsidRPr="00FF32B9">
        <w:rPr>
          <w:rFonts w:ascii="Arial" w:eastAsia="Calibri" w:hAnsi="Arial" w:cs="Arial"/>
          <w:lang w:eastAsia="en-GB"/>
        </w:rPr>
        <w:t>at 265).</w:t>
      </w:r>
      <w:r w:rsidRPr="00FF32B9">
        <w:rPr>
          <w:rFonts w:ascii="Arial" w:eastAsia="Calibri" w:hAnsi="Arial" w:cs="Arial"/>
          <w:b/>
          <w:i/>
          <w:lang w:eastAsia="en-GB"/>
        </w:rPr>
        <w:t xml:space="preserve"> </w:t>
      </w:r>
    </w:p>
    <w:p w14:paraId="3F0159B0" w14:textId="324219DC" w:rsidR="00B36329" w:rsidRPr="00FF32B9" w:rsidRDefault="00106594"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Where a trust has several trustees who together are liable for a breach, they are jointly and severally liable. An example of this is </w:t>
      </w:r>
      <w:r w:rsidRPr="00FF32B9">
        <w:rPr>
          <w:rFonts w:ascii="Arial" w:eastAsia="Calibri" w:hAnsi="Arial" w:cs="Arial"/>
          <w:i/>
          <w:u w:val="single"/>
          <w:lang w:eastAsia="en-GB"/>
        </w:rPr>
        <w:t xml:space="preserve">Bishopsgate Investment Management v Maxwell (No. 2) </w:t>
      </w:r>
      <w:r w:rsidRPr="00FF32B9">
        <w:rPr>
          <w:rFonts w:ascii="Arial" w:eastAsia="Calibri" w:hAnsi="Arial" w:cs="Arial"/>
          <w:u w:val="single"/>
          <w:lang w:eastAsia="en-GB"/>
        </w:rPr>
        <w:t>[1994] 1 All ER 261</w:t>
      </w:r>
      <w:r w:rsidRPr="00FF32B9">
        <w:rPr>
          <w:rFonts w:ascii="Arial" w:eastAsia="Calibri" w:hAnsi="Arial" w:cs="Arial"/>
          <w:lang w:eastAsia="en-GB"/>
        </w:rPr>
        <w:t xml:space="preserve">, in which Ian and Kevin Maxwell had both committed a breach of trust by signing transfers misappropriating assets of a pension trust. Accordingly, the beneficiaries were able to recover the entire loss from either or both of them. However, to counter wealthy trustees becoming the sole targets of litigation, the court has discretion to apportion contributions between them under the </w:t>
      </w:r>
      <w:r w:rsidR="00B36329" w:rsidRPr="00FF32B9">
        <w:rPr>
          <w:rFonts w:ascii="Arial" w:eastAsia="Calibri" w:hAnsi="Arial" w:cs="Arial"/>
          <w:lang w:eastAsia="en-GB"/>
        </w:rPr>
        <w:t xml:space="preserve">section 2 of the </w:t>
      </w:r>
      <w:r w:rsidRPr="00FF32B9">
        <w:rPr>
          <w:rFonts w:ascii="Arial" w:eastAsia="Calibri" w:hAnsi="Arial" w:cs="Arial"/>
          <w:lang w:eastAsia="en-GB"/>
        </w:rPr>
        <w:t>Civil Li</w:t>
      </w:r>
      <w:r w:rsidR="00B36329" w:rsidRPr="00FF32B9">
        <w:rPr>
          <w:rFonts w:ascii="Arial" w:eastAsia="Calibri" w:hAnsi="Arial" w:cs="Arial"/>
          <w:lang w:eastAsia="en-GB"/>
        </w:rPr>
        <w:t>ability (Contribution) Act 1978:</w:t>
      </w:r>
    </w:p>
    <w:p w14:paraId="55559FD7" w14:textId="0639DC08" w:rsidR="00B36329" w:rsidRPr="00FF32B9" w:rsidRDefault="00B36329"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t>“(1) . . . in any proceedings for contribution under section 1 above the amount of the contribution recoverable from any person shall be such as may be found by the court to be just and equitable having regard to the extent of that person's responsibility for the damage in question.</w:t>
      </w:r>
    </w:p>
    <w:p w14:paraId="2CE6EB2F" w14:textId="2126F6EC" w:rsidR="00B36329" w:rsidRPr="00FF32B9" w:rsidRDefault="00B36329"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t>(2) . . . the court shall have power in any such proceedings to exempt any person from liability to make contribution, or to direct that the contribution to be recovered from any person shall amount to a complete indemnity.”</w:t>
      </w:r>
    </w:p>
    <w:p w14:paraId="396A2A24" w14:textId="4ED5A944" w:rsidR="00B36329" w:rsidRPr="00FF32B9" w:rsidRDefault="00B36329" w:rsidP="00FF32B9">
      <w:pPr>
        <w:spacing w:line="480" w:lineRule="auto"/>
        <w:jc w:val="both"/>
        <w:rPr>
          <w:rFonts w:ascii="Arial" w:hAnsi="Arial" w:cs="Arial"/>
          <w:b/>
        </w:rPr>
      </w:pPr>
    </w:p>
    <w:p w14:paraId="5AFD602C" w14:textId="41008297" w:rsidR="009137BC" w:rsidRPr="00974C94" w:rsidRDefault="00692CA9" w:rsidP="00FF32B9">
      <w:pPr>
        <w:spacing w:after="120" w:line="480" w:lineRule="auto"/>
        <w:jc w:val="both"/>
        <w:rPr>
          <w:rFonts w:ascii="Arial" w:eastAsia="MS Mincho" w:hAnsi="Arial" w:cs="Arial"/>
          <w:u w:val="single"/>
          <w:lang w:bidi="en-US"/>
        </w:rPr>
      </w:pPr>
      <w:r>
        <w:rPr>
          <w:rFonts w:ascii="Arial" w:eastAsia="MS Mincho" w:hAnsi="Arial" w:cs="Arial"/>
          <w:u w:val="single"/>
          <w:lang w:bidi="en-US"/>
        </w:rPr>
        <w:t xml:space="preserve">d) </w:t>
      </w:r>
      <w:r w:rsidR="009137BC" w:rsidRPr="00974C94">
        <w:rPr>
          <w:rFonts w:ascii="Arial" w:eastAsia="MS Mincho" w:hAnsi="Arial" w:cs="Arial"/>
          <w:u w:val="single"/>
          <w:lang w:bidi="en-US"/>
        </w:rPr>
        <w:t xml:space="preserve">Relief from and defences to </w:t>
      </w:r>
      <w:r w:rsidR="00FF32B9" w:rsidRPr="00974C94">
        <w:rPr>
          <w:rFonts w:ascii="Arial" w:eastAsia="MS Mincho" w:hAnsi="Arial" w:cs="Arial"/>
          <w:u w:val="single"/>
          <w:lang w:bidi="en-US"/>
        </w:rPr>
        <w:t>personal liability</w:t>
      </w:r>
    </w:p>
    <w:p w14:paraId="545DC8CF" w14:textId="039ED774" w:rsidR="009137BC" w:rsidRPr="00692CA9" w:rsidRDefault="009137BC" w:rsidP="00FF32B9">
      <w:pPr>
        <w:spacing w:after="200" w:line="480" w:lineRule="auto"/>
        <w:jc w:val="both"/>
        <w:rPr>
          <w:rFonts w:ascii="Arial" w:eastAsia="Calibri" w:hAnsi="Arial" w:cs="Arial"/>
          <w:bCs/>
          <w:lang w:eastAsia="en-GB"/>
        </w:rPr>
      </w:pPr>
      <w:r w:rsidRPr="00692CA9">
        <w:rPr>
          <w:rFonts w:ascii="Arial" w:eastAsia="Calibri" w:hAnsi="Arial" w:cs="Arial"/>
          <w:bCs/>
          <w:lang w:eastAsia="en-GB"/>
        </w:rPr>
        <w:t>Consent or acquiescence by beneficiaries</w:t>
      </w:r>
    </w:p>
    <w:p w14:paraId="792F4159" w14:textId="10EDC59D" w:rsidR="0090747B" w:rsidRPr="00FF32B9" w:rsidRDefault="00E85E65" w:rsidP="00FF32B9">
      <w:pPr>
        <w:spacing w:after="200" w:line="480" w:lineRule="auto"/>
        <w:jc w:val="both"/>
        <w:rPr>
          <w:rFonts w:ascii="Arial" w:eastAsia="Calibri" w:hAnsi="Arial" w:cs="Arial"/>
          <w:lang w:eastAsia="en-GB"/>
        </w:rPr>
      </w:pPr>
      <w:r w:rsidRPr="00FF32B9">
        <w:rPr>
          <w:rFonts w:ascii="Arial" w:eastAsia="Calibri" w:hAnsi="Arial" w:cs="Arial"/>
          <w:lang w:eastAsia="en-GB"/>
        </w:rPr>
        <w:t>Whether beneficiaries consented (active</w:t>
      </w:r>
      <w:r w:rsidR="00E45042" w:rsidRPr="00FF32B9">
        <w:rPr>
          <w:rFonts w:ascii="Arial" w:eastAsia="Calibri" w:hAnsi="Arial" w:cs="Arial"/>
          <w:lang w:eastAsia="en-GB"/>
        </w:rPr>
        <w:t>ly</w:t>
      </w:r>
      <w:r w:rsidRPr="00FF32B9">
        <w:rPr>
          <w:rFonts w:ascii="Arial" w:eastAsia="Calibri" w:hAnsi="Arial" w:cs="Arial"/>
          <w:lang w:eastAsia="en-GB"/>
        </w:rPr>
        <w:t>) or acquiesced (passive</w:t>
      </w:r>
      <w:r w:rsidR="00E45042" w:rsidRPr="00FF32B9">
        <w:rPr>
          <w:rFonts w:ascii="Arial" w:eastAsia="Calibri" w:hAnsi="Arial" w:cs="Arial"/>
          <w:lang w:eastAsia="en-GB"/>
        </w:rPr>
        <w:t>ly</w:t>
      </w:r>
      <w:r w:rsidRPr="00FF32B9">
        <w:rPr>
          <w:rFonts w:ascii="Arial" w:eastAsia="Calibri" w:hAnsi="Arial" w:cs="Arial"/>
          <w:lang w:eastAsia="en-GB"/>
        </w:rPr>
        <w:t xml:space="preserve">, through </w:t>
      </w:r>
      <w:r w:rsidR="00E45042" w:rsidRPr="00FF32B9">
        <w:rPr>
          <w:rFonts w:ascii="Arial" w:eastAsia="Calibri" w:hAnsi="Arial" w:cs="Arial"/>
          <w:lang w:eastAsia="en-GB"/>
        </w:rPr>
        <w:t xml:space="preserve">their </w:t>
      </w:r>
      <w:r w:rsidRPr="00FF32B9">
        <w:rPr>
          <w:rFonts w:ascii="Arial" w:eastAsia="Calibri" w:hAnsi="Arial" w:cs="Arial"/>
          <w:lang w:eastAsia="en-GB"/>
        </w:rPr>
        <w:t>conduct) to a transaction</w:t>
      </w:r>
      <w:r w:rsidR="00E45042" w:rsidRPr="00FF32B9">
        <w:rPr>
          <w:rFonts w:ascii="Arial" w:eastAsia="Calibri" w:hAnsi="Arial" w:cs="Arial"/>
          <w:lang w:eastAsia="en-GB"/>
        </w:rPr>
        <w:t xml:space="preserve"> that constitutes a breach</w:t>
      </w:r>
      <w:r w:rsidRPr="00FF32B9">
        <w:rPr>
          <w:rFonts w:ascii="Arial" w:eastAsia="Calibri" w:hAnsi="Arial" w:cs="Arial"/>
          <w:lang w:eastAsia="en-GB"/>
        </w:rPr>
        <w:t xml:space="preserve"> is a factual question. </w:t>
      </w:r>
      <w:r w:rsidR="009137BC" w:rsidRPr="009137BC">
        <w:rPr>
          <w:rFonts w:ascii="Arial" w:eastAsia="Calibri" w:hAnsi="Arial" w:cs="Arial"/>
          <w:lang w:eastAsia="en-GB"/>
        </w:rPr>
        <w:t xml:space="preserve">For consent or acquiescence </w:t>
      </w:r>
      <w:r w:rsidR="009137BC" w:rsidRPr="009137BC">
        <w:rPr>
          <w:rFonts w:ascii="Arial" w:eastAsia="Calibri" w:hAnsi="Arial" w:cs="Arial"/>
          <w:lang w:eastAsia="en-GB"/>
        </w:rPr>
        <w:lastRenderedPageBreak/>
        <w:t xml:space="preserve">to be effective in indemnifying a trustee for a breach of trust, the beneficiary must be an adult who is able to consent and the consent must be informed and </w:t>
      </w:r>
      <w:r w:rsidR="00E45042" w:rsidRPr="00FF32B9">
        <w:rPr>
          <w:rFonts w:ascii="Arial" w:eastAsia="Calibri" w:hAnsi="Arial" w:cs="Arial"/>
          <w:lang w:eastAsia="en-GB"/>
        </w:rPr>
        <w:t xml:space="preserve">be </w:t>
      </w:r>
      <w:r w:rsidR="009137BC" w:rsidRPr="009137BC">
        <w:rPr>
          <w:rFonts w:ascii="Arial" w:eastAsia="Calibri" w:hAnsi="Arial" w:cs="Arial"/>
          <w:lang w:eastAsia="en-GB"/>
        </w:rPr>
        <w:t xml:space="preserve">given by exercising independent judgement. </w:t>
      </w:r>
      <w:r w:rsidR="0090747B" w:rsidRPr="009137BC">
        <w:rPr>
          <w:rFonts w:ascii="Arial" w:eastAsia="Calibri" w:hAnsi="Arial" w:cs="Arial"/>
          <w:lang w:eastAsia="en-GB"/>
        </w:rPr>
        <w:t>Consent or acquiescence may come before or after the breach.</w:t>
      </w:r>
    </w:p>
    <w:p w14:paraId="3330D077" w14:textId="3062EAF2" w:rsidR="009137BC" w:rsidRPr="009137BC" w:rsidRDefault="568C8280" w:rsidP="00FF32B9">
      <w:pPr>
        <w:spacing w:after="200" w:line="480" w:lineRule="auto"/>
        <w:jc w:val="both"/>
        <w:rPr>
          <w:rFonts w:ascii="Arial" w:eastAsia="Calibri" w:hAnsi="Arial" w:cs="Arial"/>
          <w:lang w:eastAsia="en-GB"/>
        </w:rPr>
      </w:pPr>
      <w:r w:rsidRPr="568C8280">
        <w:rPr>
          <w:rFonts w:ascii="Arial" w:eastAsia="Calibri" w:hAnsi="Arial" w:cs="Arial"/>
          <w:lang w:eastAsia="en-GB"/>
        </w:rPr>
        <w:t>However, if the trustees do not know themselves at the time that they are committing a breach, consent by the beneficiaries does not need to include knowledge that they are consenting to a breach (</w:t>
      </w:r>
      <w:r w:rsidRPr="568C8280">
        <w:rPr>
          <w:rFonts w:ascii="Arial" w:eastAsia="Calibri" w:hAnsi="Arial" w:cs="Arial"/>
          <w:i/>
          <w:iCs/>
          <w:u w:val="single"/>
          <w:lang w:eastAsia="en-GB"/>
        </w:rPr>
        <w:t>Holder v Holder</w:t>
      </w:r>
      <w:r w:rsidRPr="568C8280">
        <w:rPr>
          <w:rFonts w:ascii="Arial" w:eastAsia="Calibri" w:hAnsi="Arial" w:cs="Arial"/>
          <w:u w:val="single"/>
          <w:lang w:eastAsia="en-GB"/>
        </w:rPr>
        <w:t xml:space="preserve"> [1968] 1 All ER 665</w:t>
      </w:r>
      <w:r w:rsidRPr="568C8280">
        <w:rPr>
          <w:rFonts w:ascii="Arial" w:eastAsia="Calibri" w:hAnsi="Arial" w:cs="Arial"/>
          <w:lang w:eastAsia="en-GB"/>
        </w:rPr>
        <w:t xml:space="preserve">). Trustees will only be liable if it should have been obvious to them that the beneficiary was not in a position to exercise independent judgement. This was the case in </w:t>
      </w:r>
      <w:r w:rsidRPr="568C8280">
        <w:rPr>
          <w:rFonts w:ascii="Arial" w:eastAsia="Calibri" w:hAnsi="Arial" w:cs="Arial"/>
          <w:i/>
          <w:iCs/>
          <w:u w:val="single"/>
          <w:lang w:eastAsia="en-GB"/>
        </w:rPr>
        <w:t>Re Pauling’s Settlement Trust</w:t>
      </w:r>
      <w:r w:rsidRPr="568C8280">
        <w:rPr>
          <w:rFonts w:ascii="Arial" w:eastAsia="Calibri" w:hAnsi="Arial" w:cs="Arial"/>
          <w:u w:val="single"/>
          <w:lang w:eastAsia="en-GB"/>
        </w:rPr>
        <w:t xml:space="preserve"> [1964] Ch 303</w:t>
      </w:r>
      <w:r w:rsidRPr="568C8280">
        <w:rPr>
          <w:rFonts w:ascii="Arial" w:eastAsia="Calibri" w:hAnsi="Arial" w:cs="Arial"/>
          <w:lang w:eastAsia="en-GB"/>
        </w:rPr>
        <w:t>, where a bank that acted as a paid trustee for a trust that had been set up as part of a marriage settlement for the benefit of the children of the marriage, advanced capital out of the trust to the now adult children without ensuring that this capital was used to their benefit. The capital was used by the parents to pay off their debt and purchase property in their own names, which the bank was aware of. It was held that the children had acted under their parents influence when consenting to the payments and that this should have been obvious to the trustees. The bank was liable to reconstitute the trust fund.</w:t>
      </w:r>
    </w:p>
    <w:p w14:paraId="20AF778C" w14:textId="0EEAE07A" w:rsidR="00692CA9" w:rsidRDefault="009137BC" w:rsidP="00FF32B9">
      <w:pPr>
        <w:spacing w:after="200" w:line="480" w:lineRule="auto"/>
        <w:jc w:val="both"/>
        <w:rPr>
          <w:rFonts w:ascii="Arial" w:eastAsia="Calibri" w:hAnsi="Arial" w:cs="Arial"/>
          <w:b/>
          <w:lang w:eastAsia="en-GB"/>
        </w:rPr>
      </w:pPr>
      <w:r w:rsidRPr="009137BC">
        <w:rPr>
          <w:rFonts w:ascii="Arial" w:eastAsia="Calibri" w:hAnsi="Arial" w:cs="Arial"/>
          <w:lang w:eastAsia="en-GB"/>
        </w:rPr>
        <w:t xml:space="preserve">If only some (but not all) of the beneficiaries consented or acquiesced, trustees will remain liable to those beneficiaries who </w:t>
      </w:r>
      <w:r w:rsidR="00E45042" w:rsidRPr="00FF32B9">
        <w:rPr>
          <w:rFonts w:ascii="Arial" w:eastAsia="Calibri" w:hAnsi="Arial" w:cs="Arial"/>
          <w:lang w:eastAsia="en-GB"/>
        </w:rPr>
        <w:t>did not consent or acquiesced</w:t>
      </w:r>
      <w:r w:rsidRPr="009137BC">
        <w:rPr>
          <w:rFonts w:ascii="Arial" w:eastAsia="Calibri" w:hAnsi="Arial" w:cs="Arial"/>
          <w:lang w:eastAsia="en-GB"/>
        </w:rPr>
        <w:t>, but the court can impound the consenting beneficiary’s interest and use it to satisfy the</w:t>
      </w:r>
      <w:r w:rsidR="00E45042" w:rsidRPr="00FF32B9">
        <w:rPr>
          <w:rFonts w:ascii="Arial" w:eastAsia="Calibri" w:hAnsi="Arial" w:cs="Arial"/>
          <w:lang w:eastAsia="en-GB"/>
        </w:rPr>
        <w:t xml:space="preserve"> trustees’ </w:t>
      </w:r>
      <w:r w:rsidRPr="009137BC">
        <w:rPr>
          <w:rFonts w:ascii="Arial" w:eastAsia="Calibri" w:hAnsi="Arial" w:cs="Arial"/>
          <w:lang w:eastAsia="en-GB"/>
        </w:rPr>
        <w:t>liability</w:t>
      </w:r>
      <w:r w:rsidR="00E45042" w:rsidRPr="00FF32B9">
        <w:rPr>
          <w:rFonts w:ascii="Arial" w:eastAsia="Calibri" w:hAnsi="Arial" w:cs="Arial"/>
          <w:lang w:eastAsia="en-GB"/>
        </w:rPr>
        <w:t>: “</w:t>
      </w:r>
      <w:r w:rsidR="00E45042" w:rsidRPr="00FF32B9">
        <w:rPr>
          <w:rFonts w:ascii="Arial" w:hAnsi="Arial" w:cs="Arial"/>
          <w:spacing w:val="-3"/>
        </w:rPr>
        <w:t>Where a trustee commits a breach of trust at the instigation or request or with the consent in writing of a beneficiary, the court may, if it thinks fit, make such order as to the court seems just, for impounding all or any part of the interest of the beneficiary in the trust estate by way of indemnity to the trustee or persons claiming through him”</w:t>
      </w:r>
      <w:r w:rsidRPr="009137BC">
        <w:rPr>
          <w:rFonts w:ascii="Arial" w:eastAsia="Calibri" w:hAnsi="Arial" w:cs="Arial"/>
          <w:lang w:eastAsia="en-GB"/>
        </w:rPr>
        <w:t xml:space="preserve"> (s</w:t>
      </w:r>
      <w:r w:rsidR="0090747B" w:rsidRPr="00FF32B9">
        <w:rPr>
          <w:rFonts w:ascii="Arial" w:eastAsia="Calibri" w:hAnsi="Arial" w:cs="Arial"/>
          <w:lang w:eastAsia="en-GB"/>
        </w:rPr>
        <w:t>ection</w:t>
      </w:r>
      <w:r w:rsidRPr="009137BC">
        <w:rPr>
          <w:rFonts w:ascii="Arial" w:eastAsia="Calibri" w:hAnsi="Arial" w:cs="Arial"/>
          <w:lang w:eastAsia="en-GB"/>
        </w:rPr>
        <w:t xml:space="preserve"> 62(1) TA 1925).</w:t>
      </w:r>
    </w:p>
    <w:p w14:paraId="774471D2" w14:textId="77777777" w:rsidR="00692CA9" w:rsidRPr="00FF32B9" w:rsidRDefault="00692CA9" w:rsidP="00FF32B9">
      <w:pPr>
        <w:spacing w:after="200" w:line="480" w:lineRule="auto"/>
        <w:jc w:val="both"/>
        <w:rPr>
          <w:rFonts w:ascii="Arial" w:eastAsia="Calibri" w:hAnsi="Arial" w:cs="Arial"/>
          <w:b/>
          <w:lang w:eastAsia="en-GB"/>
        </w:rPr>
      </w:pPr>
    </w:p>
    <w:p w14:paraId="455F5E56" w14:textId="467B224A" w:rsidR="009137BC" w:rsidRPr="00692CA9" w:rsidRDefault="009137BC" w:rsidP="00FF32B9">
      <w:pPr>
        <w:spacing w:after="200" w:line="480" w:lineRule="auto"/>
        <w:jc w:val="both"/>
        <w:rPr>
          <w:rFonts w:ascii="Arial" w:eastAsia="Calibri" w:hAnsi="Arial" w:cs="Arial"/>
          <w:bCs/>
          <w:lang w:eastAsia="en-GB"/>
        </w:rPr>
      </w:pPr>
      <w:r w:rsidRPr="00692CA9">
        <w:rPr>
          <w:rFonts w:ascii="Arial" w:eastAsia="Calibri" w:hAnsi="Arial" w:cs="Arial"/>
          <w:bCs/>
          <w:lang w:eastAsia="en-GB"/>
        </w:rPr>
        <w:t>Trustee exemption clauses</w:t>
      </w:r>
    </w:p>
    <w:p w14:paraId="39CFA875" w14:textId="1E077152" w:rsidR="008127F0" w:rsidRDefault="568C8280" w:rsidP="00FF32B9">
      <w:pPr>
        <w:spacing w:after="200" w:line="480" w:lineRule="auto"/>
        <w:jc w:val="both"/>
        <w:rPr>
          <w:rFonts w:ascii="Arial" w:eastAsia="Calibri" w:hAnsi="Arial" w:cs="Arial"/>
          <w:lang w:eastAsia="en-GB"/>
        </w:rPr>
      </w:pPr>
      <w:r w:rsidRPr="568C8280">
        <w:rPr>
          <w:rFonts w:ascii="Arial" w:eastAsia="Calibri" w:hAnsi="Arial" w:cs="Arial"/>
          <w:lang w:eastAsia="en-GB"/>
        </w:rPr>
        <w:t xml:space="preserve">Trustees are not liable for a breach of trust if their action is covered by an exemption clause in the trust instrument. </w:t>
      </w:r>
      <w:r w:rsidR="008127F0">
        <w:rPr>
          <w:rFonts w:ascii="Arial" w:eastAsia="Calibri" w:hAnsi="Arial" w:cs="Arial"/>
          <w:lang w:eastAsia="en-GB"/>
        </w:rPr>
        <w:t xml:space="preserve">However, the question arises </w:t>
      </w:r>
      <w:r w:rsidRPr="568C8280">
        <w:rPr>
          <w:rFonts w:ascii="Arial" w:eastAsia="Calibri" w:hAnsi="Arial" w:cs="Arial"/>
          <w:lang w:eastAsia="en-GB"/>
        </w:rPr>
        <w:t xml:space="preserve">whether some obligations are so </w:t>
      </w:r>
      <w:r w:rsidRPr="568C8280">
        <w:rPr>
          <w:rFonts w:ascii="Arial" w:eastAsia="Calibri" w:hAnsi="Arial" w:cs="Arial"/>
          <w:lang w:eastAsia="en-GB"/>
        </w:rPr>
        <w:lastRenderedPageBreak/>
        <w:t xml:space="preserve">fundamental to the office of trusteeship that </w:t>
      </w:r>
      <w:r w:rsidR="008127F0">
        <w:rPr>
          <w:rFonts w:ascii="Arial" w:eastAsia="Calibri" w:hAnsi="Arial" w:cs="Arial"/>
          <w:lang w:eastAsia="en-GB"/>
        </w:rPr>
        <w:t>it</w:t>
      </w:r>
      <w:r w:rsidRPr="568C8280">
        <w:rPr>
          <w:rFonts w:ascii="Arial" w:eastAsia="Calibri" w:hAnsi="Arial" w:cs="Arial"/>
          <w:lang w:eastAsia="en-GB"/>
        </w:rPr>
        <w:t xml:space="preserve"> should not be possible to exclude liability for their breach</w:t>
      </w:r>
      <w:r w:rsidR="008127F0">
        <w:rPr>
          <w:rFonts w:ascii="Arial" w:eastAsia="Calibri" w:hAnsi="Arial" w:cs="Arial"/>
          <w:lang w:eastAsia="en-GB"/>
        </w:rPr>
        <w:t>.</w:t>
      </w:r>
      <w:r w:rsidRPr="568C8280">
        <w:rPr>
          <w:rFonts w:ascii="Arial" w:eastAsia="Calibri" w:hAnsi="Arial" w:cs="Arial"/>
          <w:lang w:eastAsia="en-GB"/>
        </w:rPr>
        <w:t xml:space="preserve"> </w:t>
      </w:r>
    </w:p>
    <w:p w14:paraId="579D5023" w14:textId="18A12CE4" w:rsidR="008127F0" w:rsidRDefault="008127F0" w:rsidP="00FF32B9">
      <w:pPr>
        <w:spacing w:after="200" w:line="480" w:lineRule="auto"/>
        <w:jc w:val="both"/>
        <w:rPr>
          <w:rFonts w:ascii="Arial" w:eastAsia="Calibri" w:hAnsi="Arial" w:cs="Arial"/>
          <w:lang w:eastAsia="en-GB"/>
        </w:rPr>
      </w:pPr>
      <w:r>
        <w:rPr>
          <w:rFonts w:ascii="Arial" w:eastAsia="Calibri" w:hAnsi="Arial" w:cs="Arial"/>
          <w:lang w:eastAsia="en-GB"/>
        </w:rPr>
        <w:t xml:space="preserve">This question </w:t>
      </w:r>
      <w:r w:rsidR="568C8280" w:rsidRPr="568C8280">
        <w:rPr>
          <w:rFonts w:ascii="Arial" w:eastAsia="Calibri" w:hAnsi="Arial" w:cs="Arial"/>
          <w:lang w:eastAsia="en-GB"/>
        </w:rPr>
        <w:t xml:space="preserve">was examined in </w:t>
      </w:r>
      <w:r w:rsidR="568C8280" w:rsidRPr="568C8280">
        <w:rPr>
          <w:rFonts w:ascii="Arial" w:eastAsia="Calibri" w:hAnsi="Arial" w:cs="Arial"/>
          <w:i/>
          <w:iCs/>
          <w:u w:val="single"/>
          <w:lang w:eastAsia="en-GB"/>
        </w:rPr>
        <w:t>Armitage v Nurse</w:t>
      </w:r>
      <w:r w:rsidR="568C8280" w:rsidRPr="568C8280">
        <w:rPr>
          <w:rFonts w:ascii="Arial" w:eastAsia="Calibri" w:hAnsi="Arial" w:cs="Arial"/>
          <w:u w:val="single"/>
          <w:lang w:eastAsia="en-GB"/>
        </w:rPr>
        <w:t xml:space="preserve"> [1998] Ch 241</w:t>
      </w:r>
      <w:r w:rsidR="568C8280" w:rsidRPr="568C8280">
        <w:rPr>
          <w:rFonts w:ascii="Arial" w:eastAsia="Calibri" w:hAnsi="Arial" w:cs="Arial"/>
          <w:lang w:eastAsia="en-GB"/>
        </w:rPr>
        <w:t xml:space="preserve">. </w:t>
      </w:r>
      <w:r>
        <w:rPr>
          <w:rFonts w:ascii="Arial" w:eastAsia="Calibri" w:hAnsi="Arial" w:cs="Arial"/>
          <w:lang w:eastAsia="en-GB"/>
        </w:rPr>
        <w:t>To understand this case, you need to know what a trust of successive interests is</w:t>
      </w:r>
      <w:r w:rsidR="00AE6BA4">
        <w:rPr>
          <w:rFonts w:ascii="Arial" w:eastAsia="Calibri" w:hAnsi="Arial" w:cs="Arial"/>
          <w:lang w:eastAsia="en-GB"/>
        </w:rPr>
        <w:t>, namely,</w:t>
      </w:r>
      <w:r>
        <w:rPr>
          <w:rFonts w:ascii="Arial" w:eastAsia="Calibri" w:hAnsi="Arial" w:cs="Arial"/>
          <w:lang w:eastAsia="en-GB"/>
        </w:rPr>
        <w:t xml:space="preserve"> a trust where beneficiaries’ interests in the trust assets succeed each other in time, switching from one to another on the occurrence of a </w:t>
      </w:r>
      <w:r w:rsidR="00AE6BA4">
        <w:rPr>
          <w:rFonts w:ascii="Arial" w:eastAsia="Calibri" w:hAnsi="Arial" w:cs="Arial"/>
          <w:lang w:eastAsia="en-GB"/>
        </w:rPr>
        <w:t>specified</w:t>
      </w:r>
      <w:r>
        <w:rPr>
          <w:rFonts w:ascii="Arial" w:eastAsia="Calibri" w:hAnsi="Arial" w:cs="Arial"/>
          <w:lang w:eastAsia="en-GB"/>
        </w:rPr>
        <w:t xml:space="preserve"> event. A common example of a trust of successive interest concerns the use of land</w:t>
      </w:r>
      <w:r w:rsidR="00AE6BA4">
        <w:rPr>
          <w:rFonts w:ascii="Arial" w:eastAsia="Calibri" w:hAnsi="Arial" w:cs="Arial"/>
          <w:lang w:eastAsia="en-GB"/>
        </w:rPr>
        <w:t>, such as ‘M</w:t>
      </w:r>
      <w:r>
        <w:rPr>
          <w:rFonts w:ascii="Arial" w:eastAsia="Calibri" w:hAnsi="Arial" w:cs="Arial"/>
          <w:lang w:eastAsia="en-GB"/>
        </w:rPr>
        <w:t>y house</w:t>
      </w:r>
      <w:r w:rsidR="00CA6176">
        <w:rPr>
          <w:rFonts w:ascii="Arial" w:eastAsia="Calibri" w:hAnsi="Arial" w:cs="Arial"/>
          <w:lang w:eastAsia="en-GB"/>
        </w:rPr>
        <w:t xml:space="preserve"> on trust</w:t>
      </w:r>
      <w:r>
        <w:rPr>
          <w:rFonts w:ascii="Arial" w:eastAsia="Calibri" w:hAnsi="Arial" w:cs="Arial"/>
          <w:lang w:eastAsia="en-GB"/>
        </w:rPr>
        <w:t xml:space="preserve"> to my partner </w:t>
      </w:r>
      <w:r w:rsidR="00AE6BA4">
        <w:rPr>
          <w:rFonts w:ascii="Arial" w:eastAsia="Calibri" w:hAnsi="Arial" w:cs="Arial"/>
          <w:lang w:eastAsia="en-GB"/>
        </w:rPr>
        <w:t xml:space="preserve">Aby </w:t>
      </w:r>
      <w:r>
        <w:rPr>
          <w:rFonts w:ascii="Arial" w:eastAsia="Calibri" w:hAnsi="Arial" w:cs="Arial"/>
          <w:lang w:eastAsia="en-GB"/>
        </w:rPr>
        <w:t>for life, to my children in remainder.’</w:t>
      </w:r>
      <w:r w:rsidR="00AE6BA4">
        <w:rPr>
          <w:rFonts w:ascii="Arial" w:eastAsia="Calibri" w:hAnsi="Arial" w:cs="Arial"/>
          <w:lang w:eastAsia="en-GB"/>
        </w:rPr>
        <w:t xml:space="preserve"> In this example, Aby</w:t>
      </w:r>
      <w:r w:rsidR="00CA6176">
        <w:rPr>
          <w:rFonts w:ascii="Arial" w:eastAsia="Calibri" w:hAnsi="Arial" w:cs="Arial"/>
          <w:lang w:eastAsia="en-GB"/>
        </w:rPr>
        <w:t>, the first beneficiary,</w:t>
      </w:r>
      <w:r w:rsidR="00AE6BA4">
        <w:rPr>
          <w:rFonts w:ascii="Arial" w:eastAsia="Calibri" w:hAnsi="Arial" w:cs="Arial"/>
          <w:lang w:eastAsia="en-GB"/>
        </w:rPr>
        <w:t xml:space="preserve"> is the ‘life tenant’ and the children</w:t>
      </w:r>
      <w:r w:rsidR="00CA6176">
        <w:rPr>
          <w:rFonts w:ascii="Arial" w:eastAsia="Calibri" w:hAnsi="Arial" w:cs="Arial"/>
          <w:lang w:eastAsia="en-GB"/>
        </w:rPr>
        <w:t>, the second beneficiaries,</w:t>
      </w:r>
      <w:r w:rsidR="00AE6BA4">
        <w:rPr>
          <w:rFonts w:ascii="Arial" w:eastAsia="Calibri" w:hAnsi="Arial" w:cs="Arial"/>
          <w:lang w:eastAsia="en-GB"/>
        </w:rPr>
        <w:t xml:space="preserve"> are the ‘remaindermen.’ The operative event here is the death of the Aby.</w:t>
      </w:r>
      <w:r w:rsidR="00AE6BA4" w:rsidRPr="00AE6BA4">
        <w:rPr>
          <w:rFonts w:ascii="Arial" w:eastAsia="Calibri" w:hAnsi="Arial" w:cs="Arial"/>
          <w:lang w:eastAsia="en-GB"/>
        </w:rPr>
        <w:t xml:space="preserve"> </w:t>
      </w:r>
      <w:r w:rsidR="00AE6BA4">
        <w:rPr>
          <w:rFonts w:ascii="Arial" w:eastAsia="Calibri" w:hAnsi="Arial" w:cs="Arial"/>
          <w:lang w:eastAsia="en-GB"/>
        </w:rPr>
        <w:t xml:space="preserve">Usually, life tenants are given a right to use or derive interest from the </w:t>
      </w:r>
      <w:r w:rsidR="00CA6176">
        <w:rPr>
          <w:rFonts w:ascii="Arial" w:eastAsia="Calibri" w:hAnsi="Arial" w:cs="Arial"/>
          <w:lang w:eastAsia="en-GB"/>
        </w:rPr>
        <w:t xml:space="preserve">trust </w:t>
      </w:r>
      <w:r w:rsidR="00AE6BA4">
        <w:rPr>
          <w:rFonts w:ascii="Arial" w:eastAsia="Calibri" w:hAnsi="Arial" w:cs="Arial"/>
          <w:lang w:eastAsia="en-GB"/>
        </w:rPr>
        <w:t>assets, while remaindermen are given a right to the capital.</w:t>
      </w:r>
    </w:p>
    <w:p w14:paraId="76B2E7B9" w14:textId="06E9388D" w:rsidR="009137BC" w:rsidRPr="00FF32B9" w:rsidRDefault="00AE6BA4" w:rsidP="00FF32B9">
      <w:pPr>
        <w:spacing w:after="200" w:line="480" w:lineRule="auto"/>
        <w:jc w:val="both"/>
        <w:rPr>
          <w:rFonts w:ascii="Arial" w:eastAsia="Calibri" w:hAnsi="Arial" w:cs="Arial"/>
          <w:lang w:eastAsia="en-GB"/>
        </w:rPr>
      </w:pPr>
      <w:r w:rsidRPr="568C8280">
        <w:rPr>
          <w:rFonts w:ascii="Arial" w:eastAsia="Calibri" w:hAnsi="Arial" w:cs="Arial"/>
          <w:i/>
          <w:iCs/>
          <w:u w:val="single"/>
          <w:lang w:eastAsia="en-GB"/>
        </w:rPr>
        <w:t>Armitage v Nurse</w:t>
      </w:r>
      <w:r w:rsidRPr="568C8280">
        <w:rPr>
          <w:rFonts w:ascii="Arial" w:eastAsia="Calibri" w:hAnsi="Arial" w:cs="Arial"/>
          <w:u w:val="single"/>
          <w:lang w:eastAsia="en-GB"/>
        </w:rPr>
        <w:t xml:space="preserve"> [1998] Ch 241</w:t>
      </w:r>
      <w:r w:rsidRPr="00AE6BA4">
        <w:rPr>
          <w:rFonts w:ascii="Arial" w:eastAsia="Calibri" w:hAnsi="Arial" w:cs="Arial"/>
          <w:lang w:eastAsia="en-GB"/>
        </w:rPr>
        <w:t>, t</w:t>
      </w:r>
      <w:r w:rsidR="568C8280" w:rsidRPr="00AE6BA4">
        <w:rPr>
          <w:rFonts w:ascii="Arial" w:eastAsia="Calibri" w:hAnsi="Arial" w:cs="Arial"/>
          <w:lang w:eastAsia="en-GB"/>
        </w:rPr>
        <w:t>he</w:t>
      </w:r>
      <w:r w:rsidR="568C8280" w:rsidRPr="568C8280">
        <w:rPr>
          <w:rFonts w:ascii="Arial" w:eastAsia="Calibri" w:hAnsi="Arial" w:cs="Arial"/>
          <w:lang w:eastAsia="en-GB"/>
        </w:rPr>
        <w:t xml:space="preserve"> claimant, Paula, was the beneficiary of a trust of agricultural land. Her mother was the life tenant</w:t>
      </w:r>
      <w:r>
        <w:rPr>
          <w:rFonts w:ascii="Arial" w:eastAsia="Calibri" w:hAnsi="Arial" w:cs="Arial"/>
          <w:lang w:eastAsia="en-GB"/>
        </w:rPr>
        <w:t xml:space="preserve">, being </w:t>
      </w:r>
      <w:r w:rsidR="568C8280" w:rsidRPr="568C8280">
        <w:rPr>
          <w:rFonts w:ascii="Arial" w:eastAsia="Calibri" w:hAnsi="Arial" w:cs="Arial"/>
          <w:lang w:eastAsia="en-GB"/>
        </w:rPr>
        <w:t xml:space="preserve">entitled to live on the land and receive income </w:t>
      </w:r>
      <w:r>
        <w:rPr>
          <w:rFonts w:ascii="Arial" w:eastAsia="Calibri" w:hAnsi="Arial" w:cs="Arial"/>
          <w:lang w:eastAsia="en-GB"/>
        </w:rPr>
        <w:t xml:space="preserve">from it </w:t>
      </w:r>
      <w:r w:rsidR="568C8280" w:rsidRPr="568C8280">
        <w:rPr>
          <w:rFonts w:ascii="Arial" w:eastAsia="Calibri" w:hAnsi="Arial" w:cs="Arial"/>
          <w:lang w:eastAsia="en-GB"/>
        </w:rPr>
        <w:t xml:space="preserve">until </w:t>
      </w:r>
      <w:r>
        <w:rPr>
          <w:rFonts w:ascii="Arial" w:eastAsia="Calibri" w:hAnsi="Arial" w:cs="Arial"/>
          <w:lang w:eastAsia="en-GB"/>
        </w:rPr>
        <w:t xml:space="preserve">her </w:t>
      </w:r>
      <w:r w:rsidR="568C8280" w:rsidRPr="568C8280">
        <w:rPr>
          <w:rFonts w:ascii="Arial" w:eastAsia="Calibri" w:hAnsi="Arial" w:cs="Arial"/>
          <w:lang w:eastAsia="en-GB"/>
        </w:rPr>
        <w:t>death</w:t>
      </w:r>
      <w:r>
        <w:rPr>
          <w:rFonts w:ascii="Arial" w:eastAsia="Calibri" w:hAnsi="Arial" w:cs="Arial"/>
          <w:lang w:eastAsia="en-GB"/>
        </w:rPr>
        <w:t xml:space="preserve">, while </w:t>
      </w:r>
      <w:r w:rsidR="568C8280" w:rsidRPr="568C8280">
        <w:rPr>
          <w:rFonts w:ascii="Arial" w:eastAsia="Calibri" w:hAnsi="Arial" w:cs="Arial"/>
          <w:lang w:eastAsia="en-GB"/>
        </w:rPr>
        <w:t xml:space="preserve">Paula was </w:t>
      </w:r>
      <w:r>
        <w:rPr>
          <w:rFonts w:ascii="Arial" w:eastAsia="Calibri" w:hAnsi="Arial" w:cs="Arial"/>
          <w:lang w:eastAsia="en-GB"/>
        </w:rPr>
        <w:t xml:space="preserve">the remainderman, becoming </w:t>
      </w:r>
      <w:r w:rsidR="568C8280" w:rsidRPr="568C8280">
        <w:rPr>
          <w:rFonts w:ascii="Arial" w:eastAsia="Calibri" w:hAnsi="Arial" w:cs="Arial"/>
          <w:lang w:eastAsia="en-GB"/>
        </w:rPr>
        <w:t>entitled to the</w:t>
      </w:r>
      <w:r>
        <w:rPr>
          <w:rFonts w:ascii="Arial" w:eastAsia="Calibri" w:hAnsi="Arial" w:cs="Arial"/>
          <w:lang w:eastAsia="en-GB"/>
        </w:rPr>
        <w:t xml:space="preserve"> land on Paula’s death</w:t>
      </w:r>
      <w:r w:rsidR="568C8280" w:rsidRPr="568C8280">
        <w:rPr>
          <w:rFonts w:ascii="Arial" w:eastAsia="Calibri" w:hAnsi="Arial" w:cs="Arial"/>
          <w:lang w:eastAsia="en-GB"/>
        </w:rPr>
        <w:t xml:space="preserve">. When Paula </w:t>
      </w:r>
      <w:r w:rsidR="568C8280" w:rsidRPr="00060EE8">
        <w:rPr>
          <w:rFonts w:ascii="Arial" w:eastAsia="Calibri" w:hAnsi="Arial" w:cs="Arial"/>
          <w:lang w:eastAsia="en-GB"/>
        </w:rPr>
        <w:t>turned 17, the trustees applied</w:t>
      </w:r>
      <w:r w:rsidR="568C8280" w:rsidRPr="568C8280">
        <w:rPr>
          <w:rFonts w:ascii="Arial" w:eastAsia="Calibri" w:hAnsi="Arial" w:cs="Arial"/>
          <w:lang w:eastAsia="en-GB"/>
        </w:rPr>
        <w:t xml:space="preserve"> to </w:t>
      </w:r>
      <w:r>
        <w:rPr>
          <w:rFonts w:ascii="Arial" w:eastAsia="Calibri" w:hAnsi="Arial" w:cs="Arial"/>
          <w:lang w:eastAsia="en-GB"/>
        </w:rPr>
        <w:t xml:space="preserve">the </w:t>
      </w:r>
      <w:r w:rsidR="568C8280" w:rsidRPr="568C8280">
        <w:rPr>
          <w:rFonts w:ascii="Arial" w:eastAsia="Calibri" w:hAnsi="Arial" w:cs="Arial"/>
          <w:lang w:eastAsia="en-GB"/>
        </w:rPr>
        <w:t xml:space="preserve">court to have the trust varied to transfer some of </w:t>
      </w:r>
      <w:r>
        <w:rPr>
          <w:rFonts w:ascii="Arial" w:eastAsia="Calibri" w:hAnsi="Arial" w:cs="Arial"/>
          <w:lang w:eastAsia="en-GB"/>
        </w:rPr>
        <w:t>the trust property</w:t>
      </w:r>
      <w:r w:rsidR="568C8280" w:rsidRPr="568C8280">
        <w:rPr>
          <w:rFonts w:ascii="Arial" w:eastAsia="Calibri" w:hAnsi="Arial" w:cs="Arial"/>
          <w:lang w:eastAsia="en-GB"/>
        </w:rPr>
        <w:t xml:space="preserve"> to her mother absolutely. Paula alleged that the trustees had committed a breach of trust when they varied its terms by failing to have regard to her interests. This amounted to a claim that they had acted negligently. However, a clause in the trust instrument provided: “No trustee shall be liable for any loss or damage which may happen to Paula’s [the beneficiary] fund or any part thereof or the income thereof at any time or from any cause whatsoever unless such loss or damage shall be caused by his own actual fraud . . ..” Counsel for the </w:t>
      </w:r>
      <w:r>
        <w:rPr>
          <w:rFonts w:ascii="Arial" w:eastAsia="Calibri" w:hAnsi="Arial" w:cs="Arial"/>
          <w:lang w:eastAsia="en-GB"/>
        </w:rPr>
        <w:t>Paula</w:t>
      </w:r>
      <w:r w:rsidR="568C8280" w:rsidRPr="568C8280">
        <w:rPr>
          <w:rFonts w:ascii="Arial" w:eastAsia="Calibri" w:hAnsi="Arial" w:cs="Arial"/>
          <w:lang w:eastAsia="en-GB"/>
        </w:rPr>
        <w:t xml:space="preserve"> argued that a trustee exemption clause which purports to exclude all liability except for actual fraud is void, either for repugnancy or as contrary to public policy. Millet</w:t>
      </w:r>
      <w:r w:rsidR="00692CA9">
        <w:rPr>
          <w:rFonts w:ascii="Arial" w:eastAsia="Calibri" w:hAnsi="Arial" w:cs="Arial"/>
          <w:lang w:eastAsia="en-GB"/>
        </w:rPr>
        <w:t xml:space="preserve"> LJ</w:t>
      </w:r>
      <w:r w:rsidR="568C8280" w:rsidRPr="568C8280">
        <w:rPr>
          <w:rFonts w:ascii="Arial" w:eastAsia="Calibri" w:hAnsi="Arial" w:cs="Arial"/>
          <w:lang w:eastAsia="en-GB"/>
        </w:rPr>
        <w:t xml:space="preserve"> stated, at 253-254:</w:t>
      </w:r>
    </w:p>
    <w:p w14:paraId="4870A648" w14:textId="31CBD595" w:rsidR="009137BC" w:rsidRPr="009137BC" w:rsidRDefault="008D247B"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t>“</w:t>
      </w:r>
      <w:r w:rsidRPr="009137BC">
        <w:rPr>
          <w:rFonts w:ascii="Arial" w:eastAsia="Calibri" w:hAnsi="Arial" w:cs="Arial"/>
          <w:lang w:eastAsia="en-GB"/>
        </w:rPr>
        <w:t xml:space="preserve">I accept the submission made on behalf of Paula that there is an irreducible core of obligations owed by the trustees to the beneficiaries and enforceable by them which is </w:t>
      </w:r>
      <w:r w:rsidRPr="009137BC">
        <w:rPr>
          <w:rFonts w:ascii="Arial" w:eastAsia="Calibri" w:hAnsi="Arial" w:cs="Arial"/>
          <w:lang w:eastAsia="en-GB"/>
        </w:rPr>
        <w:lastRenderedPageBreak/>
        <w:t>fundamental to the concept of a trust. If the beneficiaries have no rights enforceable against the trustees there are no trusts. But I do not accept the further submission that these core obligations include the duties of skill and care, prudence and diligence. The duty of the trustees to perform the trusts honestly and in good faith for the benefit of the beneficiaries is the minimum necessary to give substance to the trusts, but in my opinion it is sufficient.</w:t>
      </w:r>
      <w:r w:rsidRPr="00FF32B9">
        <w:rPr>
          <w:rFonts w:ascii="Arial" w:eastAsia="Calibri" w:hAnsi="Arial" w:cs="Arial"/>
          <w:lang w:eastAsia="en-GB"/>
        </w:rPr>
        <w:t xml:space="preserve">” </w:t>
      </w:r>
    </w:p>
    <w:p w14:paraId="24A7FE96" w14:textId="632049D0" w:rsidR="009137BC" w:rsidRPr="00FF32B9" w:rsidRDefault="7EAE42F7" w:rsidP="00FF32B9">
      <w:pPr>
        <w:spacing w:after="200" w:line="480" w:lineRule="auto"/>
        <w:jc w:val="both"/>
        <w:rPr>
          <w:rFonts w:ascii="Arial" w:eastAsia="Calibri" w:hAnsi="Arial" w:cs="Arial"/>
          <w:lang w:eastAsia="en-GB"/>
        </w:rPr>
      </w:pPr>
      <w:r w:rsidRPr="7EAE42F7">
        <w:rPr>
          <w:rFonts w:ascii="Arial" w:eastAsia="Calibri" w:hAnsi="Arial" w:cs="Arial"/>
          <w:lang w:eastAsia="en-GB"/>
        </w:rPr>
        <w:t>According to Millett</w:t>
      </w:r>
      <w:r w:rsidR="00692CA9">
        <w:rPr>
          <w:rFonts w:ascii="Arial" w:eastAsia="Calibri" w:hAnsi="Arial" w:cs="Arial"/>
          <w:lang w:eastAsia="en-GB"/>
        </w:rPr>
        <w:t xml:space="preserve"> LJ</w:t>
      </w:r>
      <w:r w:rsidRPr="7EAE42F7">
        <w:rPr>
          <w:rFonts w:ascii="Arial" w:eastAsia="Calibri" w:hAnsi="Arial" w:cs="Arial"/>
          <w:lang w:eastAsia="en-GB"/>
        </w:rPr>
        <w:t>, at 251, the clause in question exempted the trustee</w:t>
      </w:r>
      <w:r w:rsidR="00AE6BA4">
        <w:rPr>
          <w:rFonts w:ascii="Arial" w:eastAsia="Calibri" w:hAnsi="Arial" w:cs="Arial"/>
          <w:lang w:eastAsia="en-GB"/>
        </w:rPr>
        <w:t>s</w:t>
      </w:r>
      <w:r w:rsidRPr="7EAE42F7">
        <w:rPr>
          <w:rFonts w:ascii="Arial" w:eastAsia="Calibri" w:hAnsi="Arial" w:cs="Arial"/>
          <w:lang w:eastAsia="en-GB"/>
        </w:rPr>
        <w:t xml:space="preserve"> from liability “for loss or damage to the trust property no matter how indolent, imprudent, lacking in diligence, negligent or wilful he may have been, so long as he has not acted dishonestly.” However, he did accept</w:t>
      </w:r>
      <w:r w:rsidR="00692CA9">
        <w:rPr>
          <w:rFonts w:ascii="Arial" w:eastAsia="Calibri" w:hAnsi="Arial" w:cs="Arial"/>
          <w:lang w:eastAsia="en-GB"/>
        </w:rPr>
        <w:t xml:space="preserve">, </w:t>
      </w:r>
      <w:r w:rsidRPr="7EAE42F7">
        <w:rPr>
          <w:rFonts w:ascii="Arial" w:eastAsia="Calibri" w:hAnsi="Arial" w:cs="Arial"/>
          <w:lang w:eastAsia="en-GB"/>
        </w:rPr>
        <w:t>at 256</w:t>
      </w:r>
      <w:r w:rsidR="00692CA9">
        <w:rPr>
          <w:rFonts w:ascii="Arial" w:eastAsia="Calibri" w:hAnsi="Arial" w:cs="Arial"/>
          <w:lang w:eastAsia="en-GB"/>
        </w:rPr>
        <w:t>,</w:t>
      </w:r>
      <w:r w:rsidRPr="7EAE42F7">
        <w:rPr>
          <w:rFonts w:ascii="Arial" w:eastAsia="Calibri" w:hAnsi="Arial" w:cs="Arial"/>
          <w:lang w:eastAsia="en-GB"/>
        </w:rPr>
        <w:t xml:space="preserve"> that trustee exemption clauses had gone too far</w:t>
      </w:r>
      <w:r w:rsidR="00060EE8">
        <w:rPr>
          <w:rFonts w:ascii="Arial" w:eastAsia="Calibri" w:hAnsi="Arial" w:cs="Arial"/>
          <w:lang w:eastAsia="en-GB"/>
        </w:rPr>
        <w:t xml:space="preserve"> and that it was time for Parliament to remedy this situation</w:t>
      </w:r>
      <w:r w:rsidRPr="7EAE42F7">
        <w:rPr>
          <w:rFonts w:ascii="Arial" w:eastAsia="Calibri" w:hAnsi="Arial" w:cs="Arial"/>
          <w:lang w:eastAsia="en-GB"/>
        </w:rPr>
        <w:t>:</w:t>
      </w:r>
    </w:p>
    <w:p w14:paraId="5BDE7F95" w14:textId="1E8BA7BC" w:rsidR="009137BC" w:rsidRPr="009137BC" w:rsidRDefault="008D247B" w:rsidP="00FF32B9">
      <w:pPr>
        <w:spacing w:after="200" w:line="480" w:lineRule="auto"/>
        <w:ind w:left="720"/>
        <w:jc w:val="both"/>
        <w:rPr>
          <w:rFonts w:ascii="Arial" w:eastAsia="Calibri" w:hAnsi="Arial" w:cs="Arial"/>
          <w:highlight w:val="yellow"/>
          <w:lang w:eastAsia="en-GB"/>
        </w:rPr>
      </w:pPr>
      <w:r w:rsidRPr="00FF32B9">
        <w:rPr>
          <w:rFonts w:ascii="Arial" w:eastAsia="Calibri" w:hAnsi="Arial" w:cs="Arial"/>
          <w:lang w:eastAsia="en-GB"/>
        </w:rPr>
        <w:t>“</w:t>
      </w:r>
      <w:r w:rsidRPr="009137BC">
        <w:rPr>
          <w:rFonts w:ascii="Arial" w:eastAsia="Calibri" w:hAnsi="Arial" w:cs="Arial"/>
          <w:lang w:eastAsia="en-GB"/>
        </w:rPr>
        <w:t>At the same time, it must be acknowledged that the view is widely held that these clauses have gone too far, and that trustees who charge for their services and who, as professional men, would not dream of excluding liability for ordinary professional negligence should not be able to rely on a trustee exemption clause excluding liability for gross negligence</w:t>
      </w:r>
      <w:proofErr w:type="gramStart"/>
      <w:r w:rsidRPr="009137BC">
        <w:rPr>
          <w:rFonts w:ascii="Arial" w:eastAsia="Calibri" w:hAnsi="Arial" w:cs="Arial"/>
          <w:lang w:eastAsia="en-GB"/>
        </w:rPr>
        <w:t>. . . .</w:t>
      </w:r>
      <w:proofErr w:type="gramEnd"/>
      <w:r w:rsidRPr="009137BC">
        <w:rPr>
          <w:rFonts w:ascii="Arial" w:eastAsia="Calibri" w:hAnsi="Arial" w:cs="Arial"/>
          <w:lang w:eastAsia="en-GB"/>
        </w:rPr>
        <w:t xml:space="preserve"> If clauses such as clause 15 of the settlement are to be denied effect, then in my opinion this should be done by Parliament, which will have the advantage of wide consultation with interested bodies and the advice of the Trust Law Committee.</w:t>
      </w:r>
      <w:r w:rsidRPr="00FF32B9">
        <w:rPr>
          <w:rFonts w:ascii="Arial" w:eastAsia="Calibri" w:hAnsi="Arial" w:cs="Arial"/>
          <w:lang w:eastAsia="en-GB"/>
        </w:rPr>
        <w:t xml:space="preserve">” </w:t>
      </w:r>
    </w:p>
    <w:p w14:paraId="01D14EB9" w14:textId="5B392C78" w:rsidR="009137BC" w:rsidRPr="009137BC" w:rsidRDefault="00060EE8" w:rsidP="00FF32B9">
      <w:pPr>
        <w:spacing w:after="200" w:line="480" w:lineRule="auto"/>
        <w:jc w:val="both"/>
        <w:rPr>
          <w:rFonts w:ascii="Arial" w:eastAsia="Calibri" w:hAnsi="Arial" w:cs="Arial"/>
          <w:lang w:eastAsia="en-GB"/>
        </w:rPr>
      </w:pPr>
      <w:r>
        <w:rPr>
          <w:rFonts w:ascii="Arial" w:eastAsia="Calibri" w:hAnsi="Arial" w:cs="Arial"/>
          <w:lang w:eastAsia="en-GB"/>
        </w:rPr>
        <w:t>Since then, t</w:t>
      </w:r>
      <w:r w:rsidR="009137BC" w:rsidRPr="009137BC">
        <w:rPr>
          <w:rFonts w:ascii="Arial" w:eastAsia="Calibri" w:hAnsi="Arial" w:cs="Arial"/>
          <w:lang w:eastAsia="en-GB"/>
        </w:rPr>
        <w:t xml:space="preserve">he Law Commission in its 2006 report </w:t>
      </w:r>
      <w:r w:rsidR="009137BC" w:rsidRPr="009137BC">
        <w:rPr>
          <w:rFonts w:ascii="Arial" w:eastAsia="Calibri" w:hAnsi="Arial" w:cs="Arial"/>
          <w:i/>
          <w:lang w:eastAsia="en-GB"/>
        </w:rPr>
        <w:t>Trustee Exemption Clauses</w:t>
      </w:r>
      <w:r w:rsidR="009137BC" w:rsidRPr="009137BC">
        <w:rPr>
          <w:rFonts w:ascii="Arial" w:eastAsia="Calibri" w:hAnsi="Arial" w:cs="Arial"/>
          <w:lang w:eastAsia="en-GB"/>
        </w:rPr>
        <w:t xml:space="preserve"> (Law Commission Report NO 301, CM 6874) concluded that legislation limiting exemption clauses would have too many disadvantages, and it thus remains law that exemption clauses may exclude liability for negligent, even grossly negligent, actions by trustees.</w:t>
      </w:r>
      <w:r w:rsidR="008D247B" w:rsidRPr="00FF32B9">
        <w:rPr>
          <w:rFonts w:ascii="Arial" w:hAnsi="Arial" w:cs="Arial"/>
        </w:rPr>
        <w:t xml:space="preserve"> </w:t>
      </w:r>
      <w:r w:rsidR="008E4478" w:rsidRPr="00FF32B9">
        <w:rPr>
          <w:rFonts w:ascii="Arial" w:hAnsi="Arial" w:cs="Arial"/>
        </w:rPr>
        <w:t>Nor are s</w:t>
      </w:r>
      <w:r w:rsidR="008D247B" w:rsidRPr="00FF32B9">
        <w:rPr>
          <w:rFonts w:ascii="Arial" w:eastAsia="Calibri" w:hAnsi="Arial" w:cs="Arial"/>
          <w:lang w:eastAsia="en-GB"/>
        </w:rPr>
        <w:t>uch clauses invalidated by the Unfair Contract Terms Act 1977.</w:t>
      </w:r>
    </w:p>
    <w:p w14:paraId="7A3198EB" w14:textId="69B8A79D" w:rsidR="008E4478" w:rsidRDefault="3FCFBFD5" w:rsidP="00FF32B9">
      <w:pPr>
        <w:spacing w:after="200" w:line="480" w:lineRule="auto"/>
        <w:jc w:val="both"/>
        <w:rPr>
          <w:rFonts w:ascii="Arial" w:eastAsia="Calibri" w:hAnsi="Arial" w:cs="Arial"/>
          <w:lang w:eastAsia="en-GB"/>
        </w:rPr>
      </w:pPr>
      <w:r w:rsidRPr="3FCFBFD5">
        <w:rPr>
          <w:rFonts w:ascii="Arial" w:eastAsia="Calibri" w:hAnsi="Arial" w:cs="Arial"/>
          <w:lang w:eastAsia="en-GB"/>
        </w:rPr>
        <w:t xml:space="preserve">However, solicitor-trustees may not claim they acted in good faith and therefore were not dishonest, if their belief that they were acting in the interest of the beneficiaries is “so </w:t>
      </w:r>
      <w:r w:rsidRPr="3FCFBFD5">
        <w:rPr>
          <w:rFonts w:ascii="Arial" w:eastAsia="Calibri" w:hAnsi="Arial" w:cs="Arial"/>
          <w:lang w:eastAsia="en-GB"/>
        </w:rPr>
        <w:lastRenderedPageBreak/>
        <w:t xml:space="preserve">unreasonable </w:t>
      </w:r>
      <w:r w:rsidRPr="00B76068">
        <w:rPr>
          <w:rFonts w:ascii="Arial" w:eastAsia="Calibri" w:hAnsi="Arial" w:cs="Arial"/>
          <w:lang w:eastAsia="en-GB"/>
        </w:rPr>
        <w:t>that no reasonable solicitor-trustee could have held that belief” (</w:t>
      </w:r>
      <w:r w:rsidRPr="00B76068">
        <w:rPr>
          <w:rFonts w:ascii="Arial" w:eastAsia="Calibri" w:hAnsi="Arial" w:cs="Arial"/>
          <w:i/>
          <w:iCs/>
          <w:u w:val="single"/>
          <w:lang w:eastAsia="en-GB"/>
        </w:rPr>
        <w:t>Walker v Stones</w:t>
      </w:r>
      <w:r w:rsidRPr="00B76068">
        <w:rPr>
          <w:rFonts w:ascii="Arial" w:eastAsia="Calibri" w:hAnsi="Arial" w:cs="Arial"/>
          <w:u w:val="single"/>
          <w:lang w:eastAsia="en-GB"/>
        </w:rPr>
        <w:t xml:space="preserve"> [2001] QB 902</w:t>
      </w:r>
      <w:r w:rsidRPr="00B76068">
        <w:rPr>
          <w:rFonts w:ascii="Arial" w:eastAsia="Calibri" w:hAnsi="Arial" w:cs="Arial"/>
          <w:lang w:eastAsia="en-GB"/>
        </w:rPr>
        <w:t>, as per</w:t>
      </w:r>
      <w:r w:rsidRPr="3FCFBFD5">
        <w:rPr>
          <w:rFonts w:ascii="Arial" w:eastAsia="Calibri" w:hAnsi="Arial" w:cs="Arial"/>
          <w:lang w:eastAsia="en-GB"/>
        </w:rPr>
        <w:t xml:space="preserve"> Sir Christopher Slade, at 941). Does this constitute a higher standard for solicitor-trustees, and if yes, should this standard not apply to all professional trustees?</w:t>
      </w:r>
    </w:p>
    <w:p w14:paraId="6C03238D" w14:textId="32D5FBDA" w:rsidR="000843C3" w:rsidRPr="00FF32B9" w:rsidRDefault="000843C3" w:rsidP="00FF32B9">
      <w:pPr>
        <w:spacing w:after="200" w:line="480" w:lineRule="auto"/>
        <w:jc w:val="both"/>
        <w:rPr>
          <w:rFonts w:ascii="Arial" w:hAnsi="Arial" w:cs="Arial"/>
        </w:rPr>
      </w:pPr>
      <w:r>
        <w:rPr>
          <w:rFonts w:ascii="Arial" w:eastAsia="Calibri" w:hAnsi="Arial" w:cs="Arial"/>
          <w:lang w:eastAsia="en-GB"/>
        </w:rPr>
        <w:t xml:space="preserve">One area in which the question of the ‘irreducible core of trust obligations’ comes to the forefront concerns the prevalence of ‘anti-Bartlett clauses.’ These exempt trustees from liability for breaches of the ‘Bartlett duty,’ i.e., the duty to actively engage with the running of </w:t>
      </w:r>
      <w:r w:rsidRPr="000843C3">
        <w:rPr>
          <w:rFonts w:ascii="Arial" w:eastAsia="Calibri" w:hAnsi="Arial" w:cs="Arial"/>
          <w:lang w:eastAsia="en-GB"/>
        </w:rPr>
        <w:t xml:space="preserve">a company of which the trustees are the </w:t>
      </w:r>
      <w:r>
        <w:rPr>
          <w:rFonts w:ascii="Arial" w:eastAsia="Calibri" w:hAnsi="Arial" w:cs="Arial"/>
          <w:lang w:eastAsia="en-GB"/>
        </w:rPr>
        <w:t xml:space="preserve">controlling </w:t>
      </w:r>
      <w:r w:rsidRPr="000843C3">
        <w:rPr>
          <w:rFonts w:ascii="Arial" w:eastAsia="Calibri" w:hAnsi="Arial" w:cs="Arial"/>
          <w:lang w:eastAsia="en-GB"/>
        </w:rPr>
        <w:t>shareholders</w:t>
      </w:r>
      <w:r>
        <w:rPr>
          <w:rFonts w:ascii="Arial" w:eastAsia="Calibri" w:hAnsi="Arial" w:cs="Arial"/>
          <w:lang w:eastAsia="en-GB"/>
        </w:rPr>
        <w:t xml:space="preserve"> (</w:t>
      </w:r>
      <w:r w:rsidRPr="000843C3">
        <w:rPr>
          <w:rFonts w:ascii="Arial" w:eastAsia="Calibri" w:hAnsi="Arial" w:cs="Arial"/>
          <w:i/>
          <w:u w:val="single"/>
          <w:lang w:eastAsia="en-GB"/>
        </w:rPr>
        <w:t>Bartlett v Barclays Bank Trust Co Ltd</w:t>
      </w:r>
      <w:r w:rsidRPr="000843C3">
        <w:rPr>
          <w:rFonts w:ascii="Arial" w:eastAsia="Calibri" w:hAnsi="Arial" w:cs="Arial"/>
          <w:u w:val="single"/>
          <w:lang w:eastAsia="en-GB"/>
        </w:rPr>
        <w:t xml:space="preserve"> [1980] Ch 515</w:t>
      </w:r>
      <w:r>
        <w:rPr>
          <w:rFonts w:ascii="Arial" w:eastAsia="Calibri" w:hAnsi="Arial" w:cs="Arial"/>
          <w:lang w:eastAsia="en-GB"/>
        </w:rPr>
        <w:t>).</w:t>
      </w:r>
      <w:r w:rsidR="00F80F67">
        <w:rPr>
          <w:rFonts w:ascii="Arial" w:eastAsia="Calibri" w:hAnsi="Arial" w:cs="Arial"/>
          <w:lang w:eastAsia="en-GB"/>
        </w:rPr>
        <w:t xml:space="preserve"> Where effective, anti-Bartlett clauses allow settlors to direct the running of companies without the involvement of shareholders, with the danger that the trust in this instance becomes a meaningless shell. </w:t>
      </w:r>
    </w:p>
    <w:p w14:paraId="73273C35" w14:textId="0B48B931" w:rsidR="009137BC" w:rsidRDefault="009137BC" w:rsidP="00FF32B9">
      <w:pPr>
        <w:spacing w:after="200" w:line="480" w:lineRule="auto"/>
        <w:jc w:val="both"/>
        <w:rPr>
          <w:rFonts w:ascii="Arial" w:eastAsia="Calibri" w:hAnsi="Arial" w:cs="Arial"/>
          <w:lang w:eastAsia="en-GB"/>
        </w:rPr>
      </w:pPr>
    </w:p>
    <w:p w14:paraId="433DA8A0" w14:textId="77777777" w:rsidR="009137BC" w:rsidRPr="00692CA9" w:rsidRDefault="009137BC" w:rsidP="00FF32B9">
      <w:pPr>
        <w:spacing w:after="200" w:line="480" w:lineRule="auto"/>
        <w:jc w:val="both"/>
        <w:rPr>
          <w:rFonts w:ascii="Arial" w:eastAsia="Calibri" w:hAnsi="Arial" w:cs="Arial"/>
          <w:bCs/>
          <w:lang w:eastAsia="en-GB"/>
        </w:rPr>
      </w:pPr>
      <w:r w:rsidRPr="00692CA9">
        <w:rPr>
          <w:rFonts w:ascii="Arial" w:eastAsia="Calibri" w:hAnsi="Arial" w:cs="Arial"/>
          <w:bCs/>
          <w:lang w:eastAsia="en-GB"/>
        </w:rPr>
        <w:t>The court’s discretion to grant relief</w:t>
      </w:r>
    </w:p>
    <w:p w14:paraId="2F7AE734" w14:textId="1D4F3C5D" w:rsidR="009137BC" w:rsidRPr="00FF32B9" w:rsidRDefault="009137BC" w:rsidP="00FF32B9">
      <w:pPr>
        <w:spacing w:after="200" w:line="480" w:lineRule="auto"/>
        <w:jc w:val="both"/>
        <w:rPr>
          <w:rFonts w:ascii="Arial" w:eastAsia="Calibri" w:hAnsi="Arial" w:cs="Arial"/>
          <w:lang w:eastAsia="en-GB"/>
        </w:rPr>
      </w:pPr>
      <w:r w:rsidRPr="009137BC">
        <w:rPr>
          <w:rFonts w:ascii="Arial" w:eastAsia="Calibri" w:hAnsi="Arial" w:cs="Arial"/>
          <w:lang w:eastAsia="en-GB"/>
        </w:rPr>
        <w:t>The Trustee Act 1925, s</w:t>
      </w:r>
      <w:r w:rsidR="00671FB4" w:rsidRPr="00FF32B9">
        <w:rPr>
          <w:rFonts w:ascii="Arial" w:eastAsia="Calibri" w:hAnsi="Arial" w:cs="Arial"/>
          <w:lang w:eastAsia="en-GB"/>
        </w:rPr>
        <w:t>ection</w:t>
      </w:r>
      <w:r w:rsidRPr="009137BC">
        <w:rPr>
          <w:rFonts w:ascii="Arial" w:eastAsia="Calibri" w:hAnsi="Arial" w:cs="Arial"/>
          <w:lang w:eastAsia="en-GB"/>
        </w:rPr>
        <w:t xml:space="preserve"> 61 provides:</w:t>
      </w:r>
    </w:p>
    <w:p w14:paraId="75B27F4E" w14:textId="77777777" w:rsidR="00671FB4" w:rsidRPr="00FF32B9" w:rsidRDefault="00671FB4" w:rsidP="00FF32B9">
      <w:pPr>
        <w:spacing w:after="200" w:line="480" w:lineRule="auto"/>
        <w:ind w:left="720"/>
        <w:jc w:val="both"/>
        <w:rPr>
          <w:rFonts w:ascii="Arial" w:eastAsia="Calibri" w:hAnsi="Arial" w:cs="Arial"/>
          <w:lang w:eastAsia="en-GB"/>
        </w:rPr>
      </w:pPr>
      <w:r w:rsidRPr="00FF32B9">
        <w:rPr>
          <w:rFonts w:ascii="Arial" w:eastAsia="Calibri" w:hAnsi="Arial" w:cs="Arial"/>
          <w:lang w:eastAsia="en-GB"/>
        </w:rPr>
        <w:t xml:space="preserve">“If it appears to the court that a trustee, whether appointed by the court or otherwise, is or may be personally liable for any breach of trust, whether the transaction alleged to be a breach of trust occurred before or after the commencement of this Act, but has acted honestly and reasonably, and ought fairly to be excused for the breach of trust and for omitting to obtain the directions of the court in the matter in which he committed such breach, then the court may relieve him either wholly or partly from personal liability for the same.” </w:t>
      </w:r>
    </w:p>
    <w:p w14:paraId="5F3BA868" w14:textId="2E8335E1" w:rsidR="009137BC" w:rsidRPr="009137BC" w:rsidRDefault="00671FB4" w:rsidP="00FF32B9">
      <w:pPr>
        <w:spacing w:after="200" w:line="480" w:lineRule="auto"/>
        <w:jc w:val="both"/>
        <w:rPr>
          <w:rFonts w:ascii="Arial" w:eastAsia="Calibri" w:hAnsi="Arial" w:cs="Arial"/>
          <w:lang w:eastAsia="en-GB"/>
        </w:rPr>
      </w:pPr>
      <w:r w:rsidRPr="00FF32B9">
        <w:rPr>
          <w:rFonts w:ascii="Arial" w:eastAsia="Calibri" w:hAnsi="Arial" w:cs="Arial"/>
          <w:lang w:eastAsia="en-GB"/>
        </w:rPr>
        <w:t xml:space="preserve">This gives the court a wide discretion to relieve trustees from personal liability for breaches of trust. </w:t>
      </w:r>
      <w:r w:rsidR="009137BC" w:rsidRPr="009137BC">
        <w:rPr>
          <w:rFonts w:ascii="Arial" w:eastAsia="Calibri" w:hAnsi="Arial" w:cs="Arial"/>
          <w:lang w:eastAsia="en-GB"/>
        </w:rPr>
        <w:t>This discretion has been most successfully used in cases where trustees have made reasonable mistakes, sometimes on account of receiving incorrect professional advice</w:t>
      </w:r>
      <w:r w:rsidRPr="00FF32B9">
        <w:rPr>
          <w:rFonts w:ascii="Arial" w:eastAsia="Calibri" w:hAnsi="Arial" w:cs="Arial"/>
          <w:lang w:eastAsia="en-GB"/>
        </w:rPr>
        <w:t xml:space="preserve">. </w:t>
      </w:r>
      <w:r w:rsidR="00061EC8" w:rsidRPr="00FF32B9">
        <w:rPr>
          <w:rFonts w:ascii="Arial" w:eastAsia="Calibri" w:hAnsi="Arial" w:cs="Arial"/>
          <w:lang w:eastAsia="en-GB"/>
        </w:rPr>
        <w:t xml:space="preserve">In </w:t>
      </w:r>
      <w:r w:rsidR="009137BC" w:rsidRPr="009137BC">
        <w:rPr>
          <w:rFonts w:ascii="Arial" w:eastAsia="Calibri" w:hAnsi="Arial" w:cs="Arial"/>
          <w:i/>
          <w:u w:val="single"/>
          <w:lang w:eastAsia="en-GB"/>
        </w:rPr>
        <w:t>Perrins v Bellamy</w:t>
      </w:r>
      <w:r w:rsidR="009137BC" w:rsidRPr="009137BC">
        <w:rPr>
          <w:rFonts w:ascii="Arial" w:eastAsia="Calibri" w:hAnsi="Arial" w:cs="Arial"/>
          <w:u w:val="single"/>
          <w:lang w:eastAsia="en-GB"/>
        </w:rPr>
        <w:t xml:space="preserve"> [1898] 2 Ch 521</w:t>
      </w:r>
      <w:r w:rsidRPr="00FF32B9">
        <w:rPr>
          <w:rFonts w:ascii="Arial" w:eastAsia="Calibri" w:hAnsi="Arial" w:cs="Arial"/>
          <w:lang w:eastAsia="en-GB"/>
        </w:rPr>
        <w:t xml:space="preserve"> it was held that where a trustee acts honestly (i.e., in good faith) and reasonably (objectively assessed), they should fairly be excused. </w:t>
      </w:r>
      <w:r w:rsidR="00061EC8" w:rsidRPr="00FF32B9">
        <w:rPr>
          <w:rFonts w:ascii="Arial" w:eastAsia="Calibri" w:hAnsi="Arial" w:cs="Arial"/>
          <w:lang w:eastAsia="en-GB"/>
        </w:rPr>
        <w:t xml:space="preserve">Whether conduct </w:t>
      </w:r>
      <w:r w:rsidR="00061EC8" w:rsidRPr="00FF32B9">
        <w:rPr>
          <w:rFonts w:ascii="Arial" w:eastAsia="Calibri" w:hAnsi="Arial" w:cs="Arial"/>
          <w:lang w:eastAsia="en-GB"/>
        </w:rPr>
        <w:lastRenderedPageBreak/>
        <w:t xml:space="preserve">is reasonable turns on the facts of the case, but it is clear that for professional trustees, this may include the consideration whether they followed </w:t>
      </w:r>
      <w:r w:rsidR="00C25ADC" w:rsidRPr="00FF32B9">
        <w:rPr>
          <w:rFonts w:ascii="Arial" w:eastAsia="Calibri" w:hAnsi="Arial" w:cs="Arial"/>
          <w:lang w:eastAsia="en-GB"/>
        </w:rPr>
        <w:t>industry practice</w:t>
      </w:r>
      <w:r w:rsidR="009137BC" w:rsidRPr="009137BC">
        <w:rPr>
          <w:rFonts w:ascii="Arial" w:eastAsia="Calibri" w:hAnsi="Arial" w:cs="Arial"/>
          <w:lang w:eastAsia="en-GB"/>
        </w:rPr>
        <w:t xml:space="preserve"> (see </w:t>
      </w:r>
      <w:r w:rsidR="009137BC" w:rsidRPr="009137BC">
        <w:rPr>
          <w:rFonts w:ascii="Arial" w:eastAsia="Calibri" w:hAnsi="Arial" w:cs="Arial"/>
          <w:i/>
          <w:u w:val="single"/>
          <w:lang w:eastAsia="en-GB"/>
        </w:rPr>
        <w:t xml:space="preserve">Lloyds TSB Bank plc v </w:t>
      </w:r>
      <w:proofErr w:type="spellStart"/>
      <w:r w:rsidR="009137BC" w:rsidRPr="009137BC">
        <w:rPr>
          <w:rFonts w:ascii="Arial" w:eastAsia="Calibri" w:hAnsi="Arial" w:cs="Arial"/>
          <w:i/>
          <w:u w:val="single"/>
          <w:lang w:eastAsia="en-GB"/>
        </w:rPr>
        <w:t>Markandan</w:t>
      </w:r>
      <w:proofErr w:type="spellEnd"/>
      <w:r w:rsidR="009137BC" w:rsidRPr="009137BC">
        <w:rPr>
          <w:rFonts w:ascii="Arial" w:eastAsia="Calibri" w:hAnsi="Arial" w:cs="Arial"/>
          <w:i/>
          <w:u w:val="single"/>
          <w:lang w:eastAsia="en-GB"/>
        </w:rPr>
        <w:t xml:space="preserve"> &amp; Uddin</w:t>
      </w:r>
      <w:r w:rsidR="009137BC" w:rsidRPr="009137BC">
        <w:rPr>
          <w:rFonts w:ascii="Arial" w:eastAsia="Calibri" w:hAnsi="Arial" w:cs="Arial"/>
          <w:u w:val="single"/>
          <w:lang w:eastAsia="en-GB"/>
        </w:rPr>
        <w:t xml:space="preserve"> (a firm) [2012] EWCA </w:t>
      </w:r>
      <w:proofErr w:type="spellStart"/>
      <w:r w:rsidR="009137BC" w:rsidRPr="009137BC">
        <w:rPr>
          <w:rFonts w:ascii="Arial" w:eastAsia="Calibri" w:hAnsi="Arial" w:cs="Arial"/>
          <w:u w:val="single"/>
          <w:lang w:eastAsia="en-GB"/>
        </w:rPr>
        <w:t>Civ</w:t>
      </w:r>
      <w:proofErr w:type="spellEnd"/>
      <w:r w:rsidR="009137BC" w:rsidRPr="009137BC">
        <w:rPr>
          <w:rFonts w:ascii="Arial" w:eastAsia="Calibri" w:hAnsi="Arial" w:cs="Arial"/>
          <w:u w:val="single"/>
          <w:lang w:eastAsia="en-GB"/>
        </w:rPr>
        <w:t xml:space="preserve"> 65</w:t>
      </w:r>
      <w:r w:rsidR="009137BC" w:rsidRPr="009137BC">
        <w:rPr>
          <w:rFonts w:ascii="Arial" w:eastAsia="Calibri" w:hAnsi="Arial" w:cs="Arial"/>
          <w:lang w:eastAsia="en-GB"/>
        </w:rPr>
        <w:t>)</w:t>
      </w:r>
      <w:r w:rsidR="00C25ADC" w:rsidRPr="00FF32B9">
        <w:rPr>
          <w:rFonts w:ascii="Arial" w:eastAsia="Calibri" w:hAnsi="Arial" w:cs="Arial"/>
          <w:lang w:eastAsia="en-GB"/>
        </w:rPr>
        <w:t>, and thus constitutes a higher threshold than for lay trustees.</w:t>
      </w:r>
    </w:p>
    <w:p w14:paraId="182F2067" w14:textId="77777777" w:rsidR="00692CA9" w:rsidRPr="00FF32B9" w:rsidRDefault="00692CA9" w:rsidP="00FF32B9">
      <w:pPr>
        <w:spacing w:after="200" w:line="480" w:lineRule="auto"/>
        <w:jc w:val="both"/>
        <w:rPr>
          <w:rFonts w:ascii="Arial" w:hAnsi="Arial" w:cs="Arial"/>
          <w:spacing w:val="-3"/>
        </w:rPr>
      </w:pPr>
    </w:p>
    <w:p w14:paraId="47EDDE39" w14:textId="759522F3" w:rsidR="00FF19AB" w:rsidRPr="00974C94" w:rsidRDefault="00692CA9" w:rsidP="00FF32B9">
      <w:pPr>
        <w:spacing w:after="200" w:line="480" w:lineRule="auto"/>
        <w:jc w:val="both"/>
        <w:rPr>
          <w:rFonts w:ascii="Arial" w:eastAsia="Calibri" w:hAnsi="Arial" w:cs="Arial"/>
          <w:u w:val="single"/>
          <w:lang w:eastAsia="en-GB"/>
        </w:rPr>
      </w:pPr>
      <w:r>
        <w:rPr>
          <w:rFonts w:ascii="Arial" w:eastAsia="Calibri" w:hAnsi="Arial" w:cs="Arial"/>
          <w:u w:val="single"/>
          <w:lang w:eastAsia="en-GB"/>
        </w:rPr>
        <w:t xml:space="preserve">e) </w:t>
      </w:r>
      <w:r w:rsidR="00C25ADC" w:rsidRPr="00974C94">
        <w:rPr>
          <w:rFonts w:ascii="Arial" w:eastAsia="Calibri" w:hAnsi="Arial" w:cs="Arial"/>
          <w:u w:val="single"/>
          <w:lang w:eastAsia="en-GB"/>
        </w:rPr>
        <w:t>Time limitations</w:t>
      </w:r>
    </w:p>
    <w:p w14:paraId="60F41CE0" w14:textId="22C14DA9" w:rsidR="00FF32B9" w:rsidRPr="00692CA9" w:rsidRDefault="00FF32B9" w:rsidP="00FF32B9">
      <w:pPr>
        <w:spacing w:after="200" w:line="480" w:lineRule="auto"/>
        <w:jc w:val="both"/>
        <w:rPr>
          <w:rFonts w:ascii="Arial" w:eastAsia="Calibri" w:hAnsi="Arial" w:cs="Arial"/>
          <w:bCs/>
          <w:lang w:eastAsia="en-GB"/>
        </w:rPr>
      </w:pPr>
      <w:r w:rsidRPr="00692CA9">
        <w:rPr>
          <w:rFonts w:ascii="Arial" w:eastAsia="Calibri" w:hAnsi="Arial" w:cs="Arial"/>
          <w:bCs/>
          <w:lang w:eastAsia="en-GB"/>
        </w:rPr>
        <w:t>The Limitation Act 1980</w:t>
      </w:r>
    </w:p>
    <w:p w14:paraId="0B731C4F" w14:textId="02691671" w:rsidR="00FF19AB" w:rsidRPr="00FF32B9" w:rsidRDefault="00FF19AB" w:rsidP="00FF32B9">
      <w:pPr>
        <w:spacing w:after="200" w:line="480" w:lineRule="auto"/>
        <w:jc w:val="both"/>
        <w:rPr>
          <w:rFonts w:ascii="Arial" w:eastAsia="Calibri" w:hAnsi="Arial" w:cs="Arial"/>
          <w:lang w:eastAsia="en-GB"/>
        </w:rPr>
      </w:pPr>
      <w:r w:rsidRPr="00FF32B9">
        <w:rPr>
          <w:rFonts w:ascii="Arial" w:eastAsia="Calibri" w:hAnsi="Arial" w:cs="Arial"/>
          <w:lang w:eastAsia="en-GB"/>
        </w:rPr>
        <w:t>The Limitation Act 1980 makes clear the general limitat</w:t>
      </w:r>
      <w:r w:rsidR="00C25ADC" w:rsidRPr="00FF32B9">
        <w:rPr>
          <w:rFonts w:ascii="Arial" w:eastAsia="Calibri" w:hAnsi="Arial" w:cs="Arial"/>
          <w:lang w:eastAsia="en-GB"/>
        </w:rPr>
        <w:t>ion period is six years</w:t>
      </w:r>
      <w:r w:rsidRPr="00FF32B9">
        <w:rPr>
          <w:rFonts w:ascii="Arial" w:eastAsia="Calibri" w:hAnsi="Arial" w:cs="Arial"/>
          <w:lang w:eastAsia="en-GB"/>
        </w:rPr>
        <w:t xml:space="preserve"> </w:t>
      </w:r>
      <w:r w:rsidR="00A47FFC">
        <w:rPr>
          <w:rFonts w:ascii="Arial" w:eastAsia="Calibri" w:hAnsi="Arial" w:cs="Arial"/>
          <w:lang w:eastAsia="en-GB"/>
        </w:rPr>
        <w:t xml:space="preserve">from the date of </w:t>
      </w:r>
      <w:r w:rsidR="00C25ADC" w:rsidRPr="00FF32B9">
        <w:rPr>
          <w:rFonts w:ascii="Arial" w:eastAsia="Calibri" w:hAnsi="Arial" w:cs="Arial"/>
          <w:lang w:eastAsia="en-GB"/>
        </w:rPr>
        <w:t xml:space="preserve">the breach </w:t>
      </w:r>
      <w:r w:rsidRPr="00FF32B9">
        <w:rPr>
          <w:rFonts w:ascii="Arial" w:eastAsia="Calibri" w:hAnsi="Arial" w:cs="Arial"/>
          <w:lang w:eastAsia="en-GB"/>
        </w:rPr>
        <w:t>for claims by a beneficiary</w:t>
      </w:r>
      <w:r w:rsidR="00FF32B9" w:rsidRPr="00FF32B9">
        <w:rPr>
          <w:rFonts w:ascii="Arial" w:eastAsia="Calibri" w:hAnsi="Arial" w:cs="Arial"/>
          <w:lang w:eastAsia="en-GB"/>
        </w:rPr>
        <w:t xml:space="preserve"> (section 21(3))</w:t>
      </w:r>
      <w:r w:rsidRPr="00FF32B9">
        <w:rPr>
          <w:rFonts w:ascii="Arial" w:eastAsia="Calibri" w:hAnsi="Arial" w:cs="Arial"/>
          <w:lang w:eastAsia="en-GB"/>
        </w:rPr>
        <w:t>. However, as section 21</w:t>
      </w:r>
      <w:r w:rsidR="00C25ADC" w:rsidRPr="00FF32B9">
        <w:rPr>
          <w:rFonts w:ascii="Arial" w:eastAsia="Calibri" w:hAnsi="Arial" w:cs="Arial"/>
          <w:lang w:eastAsia="en-GB"/>
        </w:rPr>
        <w:t>(1)</w:t>
      </w:r>
      <w:r w:rsidRPr="00FF32B9">
        <w:rPr>
          <w:rFonts w:ascii="Arial" w:eastAsia="Calibri" w:hAnsi="Arial" w:cs="Arial"/>
          <w:lang w:eastAsia="en-GB"/>
        </w:rPr>
        <w:t xml:space="preserve"> </w:t>
      </w:r>
      <w:r w:rsidR="00C25ADC" w:rsidRPr="00FF32B9">
        <w:rPr>
          <w:rFonts w:ascii="Arial" w:eastAsia="Calibri" w:hAnsi="Arial" w:cs="Arial"/>
          <w:lang w:eastAsia="en-GB"/>
        </w:rPr>
        <w:t>provides, this six-year</w:t>
      </w:r>
      <w:r w:rsidRPr="00FF32B9">
        <w:rPr>
          <w:rFonts w:ascii="Arial" w:eastAsia="Calibri" w:hAnsi="Arial" w:cs="Arial"/>
          <w:lang w:eastAsia="en-GB"/>
        </w:rPr>
        <w:t xml:space="preserve"> time limit will not apply where the breach of trust was fraudulent or where the claim is to recover from the trustee trust property or the proceeds of trust property i</w:t>
      </w:r>
      <w:r w:rsidR="00C25ADC" w:rsidRPr="00FF32B9">
        <w:rPr>
          <w:rFonts w:ascii="Arial" w:eastAsia="Calibri" w:hAnsi="Arial" w:cs="Arial"/>
          <w:lang w:eastAsia="en-GB"/>
        </w:rPr>
        <w:t>n the possession of the trustee. W</w:t>
      </w:r>
      <w:r w:rsidRPr="00FF32B9">
        <w:rPr>
          <w:rFonts w:ascii="Arial" w:eastAsia="Calibri" w:hAnsi="Arial" w:cs="Arial"/>
          <w:lang w:eastAsia="en-GB"/>
        </w:rPr>
        <w:t>here a beneficiary is entitled to a future interest in property, the cause of action does not accrue until the interest has fallen into possession</w:t>
      </w:r>
      <w:r w:rsidR="00FF32B9" w:rsidRPr="00FF32B9">
        <w:rPr>
          <w:rFonts w:ascii="Arial" w:eastAsia="Calibri" w:hAnsi="Arial" w:cs="Arial"/>
          <w:lang w:eastAsia="en-GB"/>
        </w:rPr>
        <w:t xml:space="preserve"> (section 23(1)), and where a trustee deliberately conceals relevant information, the period of limitation does not begin until the claimant has discovered the information or could reasonably have done so (section 32(1)(b)</w:t>
      </w:r>
      <w:r w:rsidRPr="00FF32B9">
        <w:rPr>
          <w:rFonts w:ascii="Arial" w:eastAsia="Calibri" w:hAnsi="Arial" w:cs="Arial"/>
          <w:lang w:eastAsia="en-GB"/>
        </w:rPr>
        <w:t>.</w:t>
      </w:r>
    </w:p>
    <w:p w14:paraId="50B9BD6A" w14:textId="77777777" w:rsidR="00060EE8" w:rsidRDefault="00060EE8" w:rsidP="5DEB91EF">
      <w:pPr>
        <w:spacing w:after="200" w:line="480" w:lineRule="auto"/>
        <w:jc w:val="both"/>
        <w:rPr>
          <w:rFonts w:ascii="Arial" w:eastAsia="Calibri" w:hAnsi="Arial" w:cs="Arial"/>
          <w:lang w:eastAsia="en-GB"/>
        </w:rPr>
      </w:pPr>
    </w:p>
    <w:p w14:paraId="3EB41064" w14:textId="09B6A65B" w:rsidR="00FF19AB" w:rsidRPr="00692CA9" w:rsidRDefault="00FF19AB" w:rsidP="00FF32B9">
      <w:pPr>
        <w:spacing w:after="200" w:line="480" w:lineRule="auto"/>
        <w:jc w:val="both"/>
        <w:rPr>
          <w:rFonts w:ascii="Arial" w:eastAsia="Calibri" w:hAnsi="Arial" w:cs="Arial"/>
          <w:bCs/>
          <w:lang w:eastAsia="en-GB"/>
        </w:rPr>
      </w:pPr>
      <w:r w:rsidRPr="00692CA9">
        <w:rPr>
          <w:rFonts w:ascii="Arial" w:eastAsia="Calibri" w:hAnsi="Arial" w:cs="Arial"/>
          <w:bCs/>
          <w:lang w:eastAsia="en-GB"/>
        </w:rPr>
        <w:t>Laches</w:t>
      </w:r>
    </w:p>
    <w:p w14:paraId="55FE7DC1" w14:textId="4B9F9F8B" w:rsidR="00F76033" w:rsidRPr="00FF32B9" w:rsidRDefault="00FF19AB" w:rsidP="00FF32B9">
      <w:pPr>
        <w:spacing w:after="200" w:line="480" w:lineRule="auto"/>
        <w:jc w:val="both"/>
        <w:rPr>
          <w:rFonts w:ascii="Arial" w:eastAsia="Calibri" w:hAnsi="Arial" w:cs="Arial"/>
          <w:lang w:eastAsia="en-GB"/>
        </w:rPr>
      </w:pPr>
      <w:r w:rsidRPr="00FF32B9">
        <w:rPr>
          <w:rFonts w:ascii="Arial" w:eastAsia="Calibri" w:hAnsi="Arial" w:cs="Arial"/>
          <w:lang w:eastAsia="en-GB"/>
        </w:rPr>
        <w:t>Laches is an equitable doctrine which defeats a claim where there has been an unreasonable delay before the claim has been brought. Laches is, however, only available where there is no prescribed limitation governing the claim under the Limitation Act 1980.</w:t>
      </w:r>
    </w:p>
    <w:sectPr w:rsidR="00F76033" w:rsidRPr="00FF32B9" w:rsidSect="00B869B7">
      <w:headerReference w:type="default" r:id="rId9"/>
      <w:footerReference w:type="default" r:id="rId10"/>
      <w:headerReference w:type="first" r:id="rId11"/>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F83EE" w14:textId="77777777" w:rsidR="00B9163E" w:rsidRDefault="00B9163E" w:rsidP="00177ED8">
      <w:pPr>
        <w:spacing w:after="0" w:line="240" w:lineRule="auto"/>
      </w:pPr>
      <w:r>
        <w:separator/>
      </w:r>
    </w:p>
  </w:endnote>
  <w:endnote w:type="continuationSeparator" w:id="0">
    <w:p w14:paraId="0FD80A85" w14:textId="77777777" w:rsidR="00B9163E" w:rsidRDefault="00B9163E" w:rsidP="00177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05243884"/>
      <w:docPartObj>
        <w:docPartGallery w:val="Page Numbers (Bottom of Page)"/>
        <w:docPartUnique/>
      </w:docPartObj>
    </w:sdtPr>
    <w:sdtContent>
      <w:sdt>
        <w:sdtPr>
          <w:id w:val="1728636285"/>
          <w:docPartObj>
            <w:docPartGallery w:val="Page Numbers (Top of Page)"/>
            <w:docPartUnique/>
          </w:docPartObj>
        </w:sdtPr>
        <w:sdtContent>
          <w:p w14:paraId="5F7A13DA" w14:textId="558F71D1" w:rsidR="00A013BA" w:rsidRDefault="00A013BA">
            <w:pPr>
              <w:pStyle w:val="Footer"/>
              <w:jc w:val="center"/>
            </w:pPr>
            <w:r w:rsidRPr="00B869B7">
              <w:rPr>
                <w:rFonts w:ascii="Arial" w:hAnsi="Arial" w:cs="Arial"/>
                <w:sz w:val="20"/>
                <w:szCs w:val="20"/>
              </w:rPr>
              <w:t xml:space="preserve">Page </w:t>
            </w:r>
            <w:r w:rsidRPr="00B869B7">
              <w:rPr>
                <w:rFonts w:ascii="Arial" w:hAnsi="Arial" w:cs="Arial"/>
                <w:bCs/>
                <w:sz w:val="20"/>
                <w:szCs w:val="20"/>
              </w:rPr>
              <w:fldChar w:fldCharType="begin"/>
            </w:r>
            <w:r w:rsidRPr="00B869B7">
              <w:rPr>
                <w:rFonts w:ascii="Arial" w:hAnsi="Arial" w:cs="Arial"/>
                <w:bCs/>
                <w:sz w:val="20"/>
                <w:szCs w:val="20"/>
              </w:rPr>
              <w:instrText xml:space="preserve"> PAGE </w:instrText>
            </w:r>
            <w:r w:rsidRPr="00B869B7">
              <w:rPr>
                <w:rFonts w:ascii="Arial" w:hAnsi="Arial" w:cs="Arial"/>
                <w:bCs/>
                <w:sz w:val="20"/>
                <w:szCs w:val="20"/>
              </w:rPr>
              <w:fldChar w:fldCharType="separate"/>
            </w:r>
            <w:r w:rsidR="001A2F4D">
              <w:rPr>
                <w:rFonts w:ascii="Arial" w:hAnsi="Arial" w:cs="Arial"/>
                <w:bCs/>
                <w:noProof/>
                <w:sz w:val="20"/>
                <w:szCs w:val="20"/>
              </w:rPr>
              <w:t>15</w:t>
            </w:r>
            <w:r w:rsidRPr="00B869B7">
              <w:rPr>
                <w:rFonts w:ascii="Arial" w:hAnsi="Arial" w:cs="Arial"/>
                <w:bCs/>
                <w:sz w:val="20"/>
                <w:szCs w:val="20"/>
              </w:rPr>
              <w:fldChar w:fldCharType="end"/>
            </w:r>
            <w:r w:rsidRPr="00B869B7">
              <w:rPr>
                <w:rFonts w:ascii="Arial" w:hAnsi="Arial" w:cs="Arial"/>
                <w:sz w:val="20"/>
                <w:szCs w:val="20"/>
              </w:rPr>
              <w:t xml:space="preserve"> of </w:t>
            </w:r>
            <w:r w:rsidRPr="00B869B7">
              <w:rPr>
                <w:rFonts w:ascii="Arial" w:hAnsi="Arial" w:cs="Arial"/>
                <w:bCs/>
                <w:sz w:val="20"/>
                <w:szCs w:val="20"/>
              </w:rPr>
              <w:fldChar w:fldCharType="begin"/>
            </w:r>
            <w:r w:rsidRPr="00B869B7">
              <w:rPr>
                <w:rFonts w:ascii="Arial" w:hAnsi="Arial" w:cs="Arial"/>
                <w:bCs/>
                <w:sz w:val="20"/>
                <w:szCs w:val="20"/>
              </w:rPr>
              <w:instrText xml:space="preserve"> NUMPAGES  </w:instrText>
            </w:r>
            <w:r w:rsidRPr="00B869B7">
              <w:rPr>
                <w:rFonts w:ascii="Arial" w:hAnsi="Arial" w:cs="Arial"/>
                <w:bCs/>
                <w:sz w:val="20"/>
                <w:szCs w:val="20"/>
              </w:rPr>
              <w:fldChar w:fldCharType="separate"/>
            </w:r>
            <w:r w:rsidR="001A2F4D">
              <w:rPr>
                <w:rFonts w:ascii="Arial" w:hAnsi="Arial" w:cs="Arial"/>
                <w:bCs/>
                <w:noProof/>
                <w:sz w:val="20"/>
                <w:szCs w:val="20"/>
              </w:rPr>
              <w:t>15</w:t>
            </w:r>
            <w:r w:rsidRPr="00B869B7">
              <w:rPr>
                <w:rFonts w:ascii="Arial" w:hAnsi="Arial" w:cs="Arial"/>
                <w:bCs/>
                <w:sz w:val="20"/>
                <w:szCs w:val="20"/>
              </w:rPr>
              <w:fldChar w:fldCharType="end"/>
            </w:r>
          </w:p>
        </w:sdtContent>
      </w:sdt>
    </w:sdtContent>
  </w:sdt>
  <w:p w14:paraId="69588BCD" w14:textId="77777777" w:rsidR="00A013BA" w:rsidRDefault="00A01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5C0FC9" w14:textId="77777777" w:rsidR="00B9163E" w:rsidRDefault="00B9163E" w:rsidP="00177ED8">
      <w:pPr>
        <w:spacing w:after="0" w:line="240" w:lineRule="auto"/>
      </w:pPr>
      <w:r>
        <w:separator/>
      </w:r>
    </w:p>
  </w:footnote>
  <w:footnote w:type="continuationSeparator" w:id="0">
    <w:p w14:paraId="1955E1AB" w14:textId="77777777" w:rsidR="00B9163E" w:rsidRDefault="00B9163E" w:rsidP="00177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C5858A" w14:textId="3E33CD10" w:rsidR="00F77345" w:rsidRDefault="003B26F3" w:rsidP="003B26F3">
    <w:pPr>
      <w:pStyle w:val="Header"/>
      <w:jc w:val="right"/>
    </w:pPr>
    <w:r>
      <w:rPr>
        <w:rFonts w:ascii="Arial" w:hAnsi="Arial" w:cs="Arial"/>
      </w:rPr>
      <w:t>Trusts Law Week 1</w:t>
    </w:r>
    <w:r w:rsidR="006F3CCD">
      <w:rPr>
        <w:rFonts w:ascii="Arial" w:hAnsi="Arial" w:cs="Arial"/>
      </w:rPr>
      <w:t>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8888E" w14:textId="6BC1EA10" w:rsidR="003B26F3" w:rsidRDefault="003B26F3">
    <w:pPr>
      <w:pStyle w:val="Header"/>
    </w:pPr>
  </w:p>
  <w:p w14:paraId="405A6695" w14:textId="77777777" w:rsidR="00F77345" w:rsidRDefault="00F77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12F18"/>
    <w:multiLevelType w:val="hybridMultilevel"/>
    <w:tmpl w:val="E7646800"/>
    <w:lvl w:ilvl="0" w:tplc="42B0C558">
      <w:start w:val="1"/>
      <w:numFmt w:val="bullet"/>
      <w:lvlText w:val="•"/>
      <w:lvlJc w:val="left"/>
      <w:pPr>
        <w:tabs>
          <w:tab w:val="num" w:pos="720"/>
        </w:tabs>
        <w:ind w:left="720" w:hanging="360"/>
      </w:pPr>
      <w:rPr>
        <w:rFonts w:ascii="Times New Roman" w:hAnsi="Times New Roman" w:hint="default"/>
      </w:rPr>
    </w:lvl>
    <w:lvl w:ilvl="1" w:tplc="75B630D8" w:tentative="1">
      <w:start w:val="1"/>
      <w:numFmt w:val="bullet"/>
      <w:lvlText w:val="•"/>
      <w:lvlJc w:val="left"/>
      <w:pPr>
        <w:tabs>
          <w:tab w:val="num" w:pos="1440"/>
        </w:tabs>
        <w:ind w:left="1440" w:hanging="360"/>
      </w:pPr>
      <w:rPr>
        <w:rFonts w:ascii="Times New Roman" w:hAnsi="Times New Roman" w:hint="default"/>
      </w:rPr>
    </w:lvl>
    <w:lvl w:ilvl="2" w:tplc="301AA8D0" w:tentative="1">
      <w:start w:val="1"/>
      <w:numFmt w:val="bullet"/>
      <w:lvlText w:val="•"/>
      <w:lvlJc w:val="left"/>
      <w:pPr>
        <w:tabs>
          <w:tab w:val="num" w:pos="2160"/>
        </w:tabs>
        <w:ind w:left="2160" w:hanging="360"/>
      </w:pPr>
      <w:rPr>
        <w:rFonts w:ascii="Times New Roman" w:hAnsi="Times New Roman" w:hint="default"/>
      </w:rPr>
    </w:lvl>
    <w:lvl w:ilvl="3" w:tplc="B3321B90" w:tentative="1">
      <w:start w:val="1"/>
      <w:numFmt w:val="bullet"/>
      <w:lvlText w:val="•"/>
      <w:lvlJc w:val="left"/>
      <w:pPr>
        <w:tabs>
          <w:tab w:val="num" w:pos="2880"/>
        </w:tabs>
        <w:ind w:left="2880" w:hanging="360"/>
      </w:pPr>
      <w:rPr>
        <w:rFonts w:ascii="Times New Roman" w:hAnsi="Times New Roman" w:hint="default"/>
      </w:rPr>
    </w:lvl>
    <w:lvl w:ilvl="4" w:tplc="B6764D16" w:tentative="1">
      <w:start w:val="1"/>
      <w:numFmt w:val="bullet"/>
      <w:lvlText w:val="•"/>
      <w:lvlJc w:val="left"/>
      <w:pPr>
        <w:tabs>
          <w:tab w:val="num" w:pos="3600"/>
        </w:tabs>
        <w:ind w:left="3600" w:hanging="360"/>
      </w:pPr>
      <w:rPr>
        <w:rFonts w:ascii="Times New Roman" w:hAnsi="Times New Roman" w:hint="default"/>
      </w:rPr>
    </w:lvl>
    <w:lvl w:ilvl="5" w:tplc="9D3A260E" w:tentative="1">
      <w:start w:val="1"/>
      <w:numFmt w:val="bullet"/>
      <w:lvlText w:val="•"/>
      <w:lvlJc w:val="left"/>
      <w:pPr>
        <w:tabs>
          <w:tab w:val="num" w:pos="4320"/>
        </w:tabs>
        <w:ind w:left="4320" w:hanging="360"/>
      </w:pPr>
      <w:rPr>
        <w:rFonts w:ascii="Times New Roman" w:hAnsi="Times New Roman" w:hint="default"/>
      </w:rPr>
    </w:lvl>
    <w:lvl w:ilvl="6" w:tplc="6BFC1426" w:tentative="1">
      <w:start w:val="1"/>
      <w:numFmt w:val="bullet"/>
      <w:lvlText w:val="•"/>
      <w:lvlJc w:val="left"/>
      <w:pPr>
        <w:tabs>
          <w:tab w:val="num" w:pos="5040"/>
        </w:tabs>
        <w:ind w:left="5040" w:hanging="360"/>
      </w:pPr>
      <w:rPr>
        <w:rFonts w:ascii="Times New Roman" w:hAnsi="Times New Roman" w:hint="default"/>
      </w:rPr>
    </w:lvl>
    <w:lvl w:ilvl="7" w:tplc="364ED6CA" w:tentative="1">
      <w:start w:val="1"/>
      <w:numFmt w:val="bullet"/>
      <w:lvlText w:val="•"/>
      <w:lvlJc w:val="left"/>
      <w:pPr>
        <w:tabs>
          <w:tab w:val="num" w:pos="5760"/>
        </w:tabs>
        <w:ind w:left="5760" w:hanging="360"/>
      </w:pPr>
      <w:rPr>
        <w:rFonts w:ascii="Times New Roman" w:hAnsi="Times New Roman" w:hint="default"/>
      </w:rPr>
    </w:lvl>
    <w:lvl w:ilvl="8" w:tplc="A986FC8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0DE7AD5"/>
    <w:multiLevelType w:val="multilevel"/>
    <w:tmpl w:val="0A0C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446187"/>
    <w:multiLevelType w:val="multilevel"/>
    <w:tmpl w:val="98D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CB4034"/>
    <w:multiLevelType w:val="hybridMultilevel"/>
    <w:tmpl w:val="A0845D2E"/>
    <w:lvl w:ilvl="0" w:tplc="0910FC5A">
      <w:start w:val="1"/>
      <w:numFmt w:val="bullet"/>
      <w:lvlText w:val="·"/>
      <w:lvlJc w:val="left"/>
      <w:pPr>
        <w:ind w:left="720" w:hanging="360"/>
      </w:pPr>
      <w:rPr>
        <w:rFonts w:ascii="Symbol" w:hAnsi="Symbol" w:hint="default"/>
      </w:rPr>
    </w:lvl>
    <w:lvl w:ilvl="1" w:tplc="9AD8E448">
      <w:start w:val="1"/>
      <w:numFmt w:val="bullet"/>
      <w:lvlText w:val="o"/>
      <w:lvlJc w:val="left"/>
      <w:pPr>
        <w:ind w:left="1440" w:hanging="360"/>
      </w:pPr>
      <w:rPr>
        <w:rFonts w:ascii="Courier New" w:hAnsi="Courier New" w:hint="default"/>
      </w:rPr>
    </w:lvl>
    <w:lvl w:ilvl="2" w:tplc="3A264726">
      <w:start w:val="1"/>
      <w:numFmt w:val="bullet"/>
      <w:lvlText w:val=""/>
      <w:lvlJc w:val="left"/>
      <w:pPr>
        <w:ind w:left="2160" w:hanging="360"/>
      </w:pPr>
      <w:rPr>
        <w:rFonts w:ascii="Wingdings" w:hAnsi="Wingdings" w:hint="default"/>
      </w:rPr>
    </w:lvl>
    <w:lvl w:ilvl="3" w:tplc="04FC888E">
      <w:start w:val="1"/>
      <w:numFmt w:val="bullet"/>
      <w:lvlText w:val=""/>
      <w:lvlJc w:val="left"/>
      <w:pPr>
        <w:ind w:left="2880" w:hanging="360"/>
      </w:pPr>
      <w:rPr>
        <w:rFonts w:ascii="Symbol" w:hAnsi="Symbol" w:hint="default"/>
      </w:rPr>
    </w:lvl>
    <w:lvl w:ilvl="4" w:tplc="25082F2A">
      <w:start w:val="1"/>
      <w:numFmt w:val="bullet"/>
      <w:lvlText w:val="o"/>
      <w:lvlJc w:val="left"/>
      <w:pPr>
        <w:ind w:left="3600" w:hanging="360"/>
      </w:pPr>
      <w:rPr>
        <w:rFonts w:ascii="Courier New" w:hAnsi="Courier New" w:hint="default"/>
      </w:rPr>
    </w:lvl>
    <w:lvl w:ilvl="5" w:tplc="AAC274D4">
      <w:start w:val="1"/>
      <w:numFmt w:val="bullet"/>
      <w:lvlText w:val=""/>
      <w:lvlJc w:val="left"/>
      <w:pPr>
        <w:ind w:left="4320" w:hanging="360"/>
      </w:pPr>
      <w:rPr>
        <w:rFonts w:ascii="Wingdings" w:hAnsi="Wingdings" w:hint="default"/>
      </w:rPr>
    </w:lvl>
    <w:lvl w:ilvl="6" w:tplc="48DC7D56">
      <w:start w:val="1"/>
      <w:numFmt w:val="bullet"/>
      <w:lvlText w:val=""/>
      <w:lvlJc w:val="left"/>
      <w:pPr>
        <w:ind w:left="5040" w:hanging="360"/>
      </w:pPr>
      <w:rPr>
        <w:rFonts w:ascii="Symbol" w:hAnsi="Symbol" w:hint="default"/>
      </w:rPr>
    </w:lvl>
    <w:lvl w:ilvl="7" w:tplc="E11EDD32">
      <w:start w:val="1"/>
      <w:numFmt w:val="bullet"/>
      <w:lvlText w:val="o"/>
      <w:lvlJc w:val="left"/>
      <w:pPr>
        <w:ind w:left="5760" w:hanging="360"/>
      </w:pPr>
      <w:rPr>
        <w:rFonts w:ascii="Courier New" w:hAnsi="Courier New" w:hint="default"/>
      </w:rPr>
    </w:lvl>
    <w:lvl w:ilvl="8" w:tplc="68D6447C">
      <w:start w:val="1"/>
      <w:numFmt w:val="bullet"/>
      <w:lvlText w:val=""/>
      <w:lvlJc w:val="left"/>
      <w:pPr>
        <w:ind w:left="6480" w:hanging="360"/>
      </w:pPr>
      <w:rPr>
        <w:rFonts w:ascii="Wingdings" w:hAnsi="Wingdings" w:hint="default"/>
      </w:rPr>
    </w:lvl>
  </w:abstractNum>
  <w:abstractNum w:abstractNumId="4" w15:restartNumberingAfterBreak="0">
    <w:nsid w:val="1A5D09AC"/>
    <w:multiLevelType w:val="multilevel"/>
    <w:tmpl w:val="84D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31465F"/>
    <w:multiLevelType w:val="multilevel"/>
    <w:tmpl w:val="F368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5E57B4"/>
    <w:multiLevelType w:val="hybridMultilevel"/>
    <w:tmpl w:val="F39AE014"/>
    <w:lvl w:ilvl="0" w:tplc="F3047A7C">
      <w:start w:val="1"/>
      <w:numFmt w:val="decimal"/>
      <w:lvlText w:val="(%1)"/>
      <w:lvlJc w:val="left"/>
      <w:pPr>
        <w:ind w:left="360" w:hanging="360"/>
      </w:pPr>
      <w:rPr>
        <w:rFonts w:asciiTheme="minorHAnsi" w:eastAsia="Times New Roman" w:hAnsiTheme="minorHAnsi" w:cstheme="minorHAnsi"/>
        <w:b/>
        <w:bCs/>
        <w:color w:val="653265"/>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1DE7EA99"/>
    <w:multiLevelType w:val="hybridMultilevel"/>
    <w:tmpl w:val="85BCF3C8"/>
    <w:lvl w:ilvl="0" w:tplc="CECCE5BC">
      <w:start w:val="1"/>
      <w:numFmt w:val="bullet"/>
      <w:lvlText w:val=""/>
      <w:lvlJc w:val="left"/>
      <w:pPr>
        <w:ind w:left="720" w:hanging="360"/>
      </w:pPr>
      <w:rPr>
        <w:rFonts w:ascii="Symbol" w:hAnsi="Symbol" w:hint="default"/>
      </w:rPr>
    </w:lvl>
    <w:lvl w:ilvl="1" w:tplc="169A556A">
      <w:start w:val="1"/>
      <w:numFmt w:val="bullet"/>
      <w:lvlText w:val="o"/>
      <w:lvlJc w:val="left"/>
      <w:pPr>
        <w:ind w:left="1440" w:hanging="360"/>
      </w:pPr>
      <w:rPr>
        <w:rFonts w:ascii="Courier New" w:hAnsi="Courier New" w:hint="default"/>
      </w:rPr>
    </w:lvl>
    <w:lvl w:ilvl="2" w:tplc="2584B7B6">
      <w:start w:val="1"/>
      <w:numFmt w:val="bullet"/>
      <w:lvlText w:val=""/>
      <w:lvlJc w:val="left"/>
      <w:pPr>
        <w:ind w:left="2160" w:hanging="360"/>
      </w:pPr>
      <w:rPr>
        <w:rFonts w:ascii="Wingdings" w:hAnsi="Wingdings" w:hint="default"/>
      </w:rPr>
    </w:lvl>
    <w:lvl w:ilvl="3" w:tplc="44AE193A">
      <w:start w:val="1"/>
      <w:numFmt w:val="bullet"/>
      <w:lvlText w:val=""/>
      <w:lvlJc w:val="left"/>
      <w:pPr>
        <w:ind w:left="2880" w:hanging="360"/>
      </w:pPr>
      <w:rPr>
        <w:rFonts w:ascii="Symbol" w:hAnsi="Symbol" w:hint="default"/>
      </w:rPr>
    </w:lvl>
    <w:lvl w:ilvl="4" w:tplc="2B7462D0">
      <w:start w:val="1"/>
      <w:numFmt w:val="bullet"/>
      <w:lvlText w:val="o"/>
      <w:lvlJc w:val="left"/>
      <w:pPr>
        <w:ind w:left="3600" w:hanging="360"/>
      </w:pPr>
      <w:rPr>
        <w:rFonts w:ascii="Courier New" w:hAnsi="Courier New" w:hint="default"/>
      </w:rPr>
    </w:lvl>
    <w:lvl w:ilvl="5" w:tplc="24A2BC52">
      <w:start w:val="1"/>
      <w:numFmt w:val="bullet"/>
      <w:lvlText w:val=""/>
      <w:lvlJc w:val="left"/>
      <w:pPr>
        <w:ind w:left="4320" w:hanging="360"/>
      </w:pPr>
      <w:rPr>
        <w:rFonts w:ascii="Wingdings" w:hAnsi="Wingdings" w:hint="default"/>
      </w:rPr>
    </w:lvl>
    <w:lvl w:ilvl="6" w:tplc="1062E196">
      <w:start w:val="1"/>
      <w:numFmt w:val="bullet"/>
      <w:lvlText w:val=""/>
      <w:lvlJc w:val="left"/>
      <w:pPr>
        <w:ind w:left="5040" w:hanging="360"/>
      </w:pPr>
      <w:rPr>
        <w:rFonts w:ascii="Symbol" w:hAnsi="Symbol" w:hint="default"/>
      </w:rPr>
    </w:lvl>
    <w:lvl w:ilvl="7" w:tplc="B672CDE0">
      <w:start w:val="1"/>
      <w:numFmt w:val="bullet"/>
      <w:lvlText w:val="o"/>
      <w:lvlJc w:val="left"/>
      <w:pPr>
        <w:ind w:left="5760" w:hanging="360"/>
      </w:pPr>
      <w:rPr>
        <w:rFonts w:ascii="Courier New" w:hAnsi="Courier New" w:hint="default"/>
      </w:rPr>
    </w:lvl>
    <w:lvl w:ilvl="8" w:tplc="A608127C">
      <w:start w:val="1"/>
      <w:numFmt w:val="bullet"/>
      <w:lvlText w:val=""/>
      <w:lvlJc w:val="left"/>
      <w:pPr>
        <w:ind w:left="6480" w:hanging="360"/>
      </w:pPr>
      <w:rPr>
        <w:rFonts w:ascii="Wingdings" w:hAnsi="Wingdings" w:hint="default"/>
      </w:rPr>
    </w:lvl>
  </w:abstractNum>
  <w:abstractNum w:abstractNumId="8" w15:restartNumberingAfterBreak="0">
    <w:nsid w:val="205045B3"/>
    <w:multiLevelType w:val="hybridMultilevel"/>
    <w:tmpl w:val="4FEC7EE2"/>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055020F"/>
    <w:multiLevelType w:val="hybridMultilevel"/>
    <w:tmpl w:val="F1640B2A"/>
    <w:lvl w:ilvl="0" w:tplc="DD7A261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2BC317E6"/>
    <w:multiLevelType w:val="hybridMultilevel"/>
    <w:tmpl w:val="12406DFC"/>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33B2475"/>
    <w:multiLevelType w:val="hybridMultilevel"/>
    <w:tmpl w:val="CF22D054"/>
    <w:lvl w:ilvl="0" w:tplc="D012E180">
      <w:start w:val="1"/>
      <w:numFmt w:val="bullet"/>
      <w:lvlText w:val=""/>
      <w:lvlJc w:val="left"/>
      <w:pPr>
        <w:ind w:left="720" w:hanging="360"/>
      </w:pPr>
      <w:rPr>
        <w:rFonts w:ascii="Symbol" w:hAnsi="Symbol" w:hint="default"/>
      </w:rPr>
    </w:lvl>
    <w:lvl w:ilvl="1" w:tplc="7788287A">
      <w:start w:val="1"/>
      <w:numFmt w:val="bullet"/>
      <w:lvlText w:val="o"/>
      <w:lvlJc w:val="left"/>
      <w:pPr>
        <w:ind w:left="1440" w:hanging="360"/>
      </w:pPr>
      <w:rPr>
        <w:rFonts w:ascii="Courier New" w:hAnsi="Courier New" w:hint="default"/>
      </w:rPr>
    </w:lvl>
    <w:lvl w:ilvl="2" w:tplc="4634AE52">
      <w:start w:val="1"/>
      <w:numFmt w:val="bullet"/>
      <w:lvlText w:val=""/>
      <w:lvlJc w:val="left"/>
      <w:pPr>
        <w:ind w:left="2160" w:hanging="360"/>
      </w:pPr>
      <w:rPr>
        <w:rFonts w:ascii="Wingdings" w:hAnsi="Wingdings" w:hint="default"/>
      </w:rPr>
    </w:lvl>
    <w:lvl w:ilvl="3" w:tplc="18A85298">
      <w:start w:val="1"/>
      <w:numFmt w:val="bullet"/>
      <w:lvlText w:val=""/>
      <w:lvlJc w:val="left"/>
      <w:pPr>
        <w:ind w:left="2880" w:hanging="360"/>
      </w:pPr>
      <w:rPr>
        <w:rFonts w:ascii="Symbol" w:hAnsi="Symbol" w:hint="default"/>
      </w:rPr>
    </w:lvl>
    <w:lvl w:ilvl="4" w:tplc="23F265D4">
      <w:start w:val="1"/>
      <w:numFmt w:val="bullet"/>
      <w:lvlText w:val="o"/>
      <w:lvlJc w:val="left"/>
      <w:pPr>
        <w:ind w:left="3600" w:hanging="360"/>
      </w:pPr>
      <w:rPr>
        <w:rFonts w:ascii="Courier New" w:hAnsi="Courier New" w:hint="default"/>
      </w:rPr>
    </w:lvl>
    <w:lvl w:ilvl="5" w:tplc="DDEC50FC">
      <w:start w:val="1"/>
      <w:numFmt w:val="bullet"/>
      <w:lvlText w:val=""/>
      <w:lvlJc w:val="left"/>
      <w:pPr>
        <w:ind w:left="4320" w:hanging="360"/>
      </w:pPr>
      <w:rPr>
        <w:rFonts w:ascii="Wingdings" w:hAnsi="Wingdings" w:hint="default"/>
      </w:rPr>
    </w:lvl>
    <w:lvl w:ilvl="6" w:tplc="623E53FE">
      <w:start w:val="1"/>
      <w:numFmt w:val="bullet"/>
      <w:lvlText w:val=""/>
      <w:lvlJc w:val="left"/>
      <w:pPr>
        <w:ind w:left="5040" w:hanging="360"/>
      </w:pPr>
      <w:rPr>
        <w:rFonts w:ascii="Symbol" w:hAnsi="Symbol" w:hint="default"/>
      </w:rPr>
    </w:lvl>
    <w:lvl w:ilvl="7" w:tplc="96722F92">
      <w:start w:val="1"/>
      <w:numFmt w:val="bullet"/>
      <w:lvlText w:val="o"/>
      <w:lvlJc w:val="left"/>
      <w:pPr>
        <w:ind w:left="5760" w:hanging="360"/>
      </w:pPr>
      <w:rPr>
        <w:rFonts w:ascii="Courier New" w:hAnsi="Courier New" w:hint="default"/>
      </w:rPr>
    </w:lvl>
    <w:lvl w:ilvl="8" w:tplc="513E0EB8">
      <w:start w:val="1"/>
      <w:numFmt w:val="bullet"/>
      <w:lvlText w:val=""/>
      <w:lvlJc w:val="left"/>
      <w:pPr>
        <w:ind w:left="6480" w:hanging="360"/>
      </w:pPr>
      <w:rPr>
        <w:rFonts w:ascii="Wingdings" w:hAnsi="Wingdings" w:hint="default"/>
      </w:rPr>
    </w:lvl>
  </w:abstractNum>
  <w:abstractNum w:abstractNumId="12" w15:restartNumberingAfterBreak="0">
    <w:nsid w:val="47831ED4"/>
    <w:multiLevelType w:val="multilevel"/>
    <w:tmpl w:val="D37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101B93"/>
    <w:multiLevelType w:val="hybridMultilevel"/>
    <w:tmpl w:val="0B4015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AD806E8"/>
    <w:multiLevelType w:val="hybridMultilevel"/>
    <w:tmpl w:val="25965A24"/>
    <w:lvl w:ilvl="0" w:tplc="865E4104">
      <w:start w:val="1"/>
      <w:numFmt w:val="bullet"/>
      <w:lvlText w:val=""/>
      <w:lvlJc w:val="left"/>
      <w:pPr>
        <w:ind w:left="360" w:hanging="360"/>
      </w:pPr>
      <w:rPr>
        <w:rFonts w:ascii="Wingdings" w:hAnsi="Wingdings" w:hint="default"/>
        <w:color w:val="663366"/>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E2524D5"/>
    <w:multiLevelType w:val="multilevel"/>
    <w:tmpl w:val="5A9A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9A30EE6"/>
    <w:multiLevelType w:val="multilevel"/>
    <w:tmpl w:val="6A36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EE3BA0"/>
    <w:multiLevelType w:val="multilevel"/>
    <w:tmpl w:val="6B48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98F5198"/>
    <w:multiLevelType w:val="hybridMultilevel"/>
    <w:tmpl w:val="3322E7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FBE2272"/>
    <w:multiLevelType w:val="hybridMultilevel"/>
    <w:tmpl w:val="F940BEB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5A332B0"/>
    <w:multiLevelType w:val="multilevel"/>
    <w:tmpl w:val="39C24D42"/>
    <w:lvl w:ilvl="0">
      <w:start w:val="2"/>
      <w:numFmt w:val="decimal"/>
      <w:lvlText w:val="%1."/>
      <w:lvlJc w:val="left"/>
      <w:pPr>
        <w:ind w:left="360" w:hanging="360"/>
      </w:pPr>
      <w:rPr>
        <w:rFonts w:hint="default"/>
        <w:b/>
        <w:bCs/>
        <w:sz w:val="28"/>
        <w:szCs w:val="28"/>
      </w:rPr>
    </w:lvl>
    <w:lvl w:ilvl="1">
      <w:start w:val="1"/>
      <w:numFmt w:val="decimal"/>
      <w:isLgl/>
      <w:lvlText w:val="%1.%2"/>
      <w:lvlJc w:val="left"/>
      <w:pPr>
        <w:ind w:left="360" w:hanging="360"/>
      </w:pPr>
      <w:rPr>
        <w:rFonts w:hint="default"/>
        <w:b/>
        <w:bCs/>
      </w:rPr>
    </w:lvl>
    <w:lvl w:ilvl="2">
      <w:start w:val="1"/>
      <w:numFmt w:val="decimal"/>
      <w:isLgl/>
      <w:lvlText w:val="%1.%2.%3"/>
      <w:lvlJc w:val="left"/>
      <w:pPr>
        <w:ind w:left="720" w:hanging="720"/>
      </w:pPr>
      <w:rPr>
        <w:rFonts w:hint="default"/>
        <w:b/>
        <w:bCs/>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78371BCB"/>
    <w:multiLevelType w:val="hybridMultilevel"/>
    <w:tmpl w:val="F46A4C40"/>
    <w:lvl w:ilvl="0" w:tplc="4A864C6A">
      <w:start w:val="1"/>
      <w:numFmt w:val="decimal"/>
      <w:suff w:val="space"/>
      <w:lvlText w:val="%1)"/>
      <w:lvlJc w:val="left"/>
      <w:pPr>
        <w:ind w:left="0" w:firstLine="0"/>
      </w:pPr>
      <w:rPr>
        <w:rFonts w:hint="default"/>
        <w:b w:val="0"/>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9241C32"/>
    <w:multiLevelType w:val="hybridMultilevel"/>
    <w:tmpl w:val="0810B218"/>
    <w:lvl w:ilvl="0" w:tplc="C744384A">
      <w:start w:val="1"/>
      <w:numFmt w:val="bullet"/>
      <w:lvlText w:val=""/>
      <w:lvlJc w:val="left"/>
      <w:pPr>
        <w:tabs>
          <w:tab w:val="num" w:pos="284"/>
        </w:tabs>
        <w:ind w:left="284" w:hanging="284"/>
      </w:pPr>
      <w:rPr>
        <w:rFonts w:ascii="Symbol" w:hAnsi="Symbol" w:hint="default"/>
        <w:color w:val="000000" w:themeColor="text1"/>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1616F"/>
    <w:multiLevelType w:val="multilevel"/>
    <w:tmpl w:val="319A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E30F1C"/>
    <w:multiLevelType w:val="multilevel"/>
    <w:tmpl w:val="97C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03466671">
    <w:abstractNumId w:val="7"/>
  </w:num>
  <w:num w:numId="2" w16cid:durableId="1969505443">
    <w:abstractNumId w:val="3"/>
  </w:num>
  <w:num w:numId="3" w16cid:durableId="1879586375">
    <w:abstractNumId w:val="11"/>
  </w:num>
  <w:num w:numId="4" w16cid:durableId="1273586982">
    <w:abstractNumId w:val="9"/>
  </w:num>
  <w:num w:numId="5" w16cid:durableId="757870644">
    <w:abstractNumId w:val="18"/>
  </w:num>
  <w:num w:numId="6" w16cid:durableId="1696926043">
    <w:abstractNumId w:val="19"/>
  </w:num>
  <w:num w:numId="7" w16cid:durableId="439835314">
    <w:abstractNumId w:val="20"/>
  </w:num>
  <w:num w:numId="8" w16cid:durableId="359477952">
    <w:abstractNumId w:val="8"/>
  </w:num>
  <w:num w:numId="9" w16cid:durableId="1387796365">
    <w:abstractNumId w:val="21"/>
  </w:num>
  <w:num w:numId="10" w16cid:durableId="1253272700">
    <w:abstractNumId w:val="6"/>
  </w:num>
  <w:num w:numId="11" w16cid:durableId="1411468601">
    <w:abstractNumId w:val="10"/>
  </w:num>
  <w:num w:numId="12" w16cid:durableId="1511945365">
    <w:abstractNumId w:val="14"/>
  </w:num>
  <w:num w:numId="13" w16cid:durableId="672489674">
    <w:abstractNumId w:val="22"/>
  </w:num>
  <w:num w:numId="14" w16cid:durableId="1505514877">
    <w:abstractNumId w:val="0"/>
  </w:num>
  <w:num w:numId="15" w16cid:durableId="2053842998">
    <w:abstractNumId w:val="13"/>
  </w:num>
  <w:num w:numId="16" w16cid:durableId="894856370">
    <w:abstractNumId w:val="12"/>
  </w:num>
  <w:num w:numId="17" w16cid:durableId="128328622">
    <w:abstractNumId w:val="4"/>
  </w:num>
  <w:num w:numId="18" w16cid:durableId="1323387461">
    <w:abstractNumId w:val="15"/>
  </w:num>
  <w:num w:numId="19" w16cid:durableId="54205540">
    <w:abstractNumId w:val="5"/>
  </w:num>
  <w:num w:numId="20" w16cid:durableId="1943873836">
    <w:abstractNumId w:val="2"/>
  </w:num>
  <w:num w:numId="21" w16cid:durableId="1730953289">
    <w:abstractNumId w:val="16"/>
  </w:num>
  <w:num w:numId="22" w16cid:durableId="311570391">
    <w:abstractNumId w:val="1"/>
  </w:num>
  <w:num w:numId="23" w16cid:durableId="872350199">
    <w:abstractNumId w:val="24"/>
  </w:num>
  <w:num w:numId="24" w16cid:durableId="1292205990">
    <w:abstractNumId w:val="23"/>
  </w:num>
  <w:num w:numId="25" w16cid:durableId="186142809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668"/>
    <w:rsid w:val="00006C94"/>
    <w:rsid w:val="00010D99"/>
    <w:rsid w:val="00024CE4"/>
    <w:rsid w:val="0004604C"/>
    <w:rsid w:val="00060EE8"/>
    <w:rsid w:val="00061EC8"/>
    <w:rsid w:val="000843C3"/>
    <w:rsid w:val="000847DC"/>
    <w:rsid w:val="00094462"/>
    <w:rsid w:val="0009637C"/>
    <w:rsid w:val="000A467B"/>
    <w:rsid w:val="000B0EB6"/>
    <w:rsid w:val="000B5A12"/>
    <w:rsid w:val="000B5F20"/>
    <w:rsid w:val="000B787A"/>
    <w:rsid w:val="000D0FA1"/>
    <w:rsid w:val="000D21D2"/>
    <w:rsid w:val="000D2494"/>
    <w:rsid w:val="000E366B"/>
    <w:rsid w:val="000E51DA"/>
    <w:rsid w:val="000F431F"/>
    <w:rsid w:val="001001D8"/>
    <w:rsid w:val="00106594"/>
    <w:rsid w:val="001067E9"/>
    <w:rsid w:val="00124CCB"/>
    <w:rsid w:val="00136955"/>
    <w:rsid w:val="00146F8D"/>
    <w:rsid w:val="00150BC1"/>
    <w:rsid w:val="0015167A"/>
    <w:rsid w:val="00156AC9"/>
    <w:rsid w:val="00163655"/>
    <w:rsid w:val="00164BD7"/>
    <w:rsid w:val="00167D14"/>
    <w:rsid w:val="00170269"/>
    <w:rsid w:val="001772B1"/>
    <w:rsid w:val="00177ED8"/>
    <w:rsid w:val="0018683A"/>
    <w:rsid w:val="001A2F4D"/>
    <w:rsid w:val="001B2FBC"/>
    <w:rsid w:val="001B5B88"/>
    <w:rsid w:val="001C61AE"/>
    <w:rsid w:val="001D239F"/>
    <w:rsid w:val="001D5258"/>
    <w:rsid w:val="001E1A18"/>
    <w:rsid w:val="002034A0"/>
    <w:rsid w:val="00207DC5"/>
    <w:rsid w:val="00220CB2"/>
    <w:rsid w:val="002251D3"/>
    <w:rsid w:val="00225CB1"/>
    <w:rsid w:val="00244323"/>
    <w:rsid w:val="002469EC"/>
    <w:rsid w:val="002513AE"/>
    <w:rsid w:val="00255396"/>
    <w:rsid w:val="002718E3"/>
    <w:rsid w:val="00271DBF"/>
    <w:rsid w:val="00292B26"/>
    <w:rsid w:val="002A2739"/>
    <w:rsid w:val="002B22F9"/>
    <w:rsid w:val="002D2BF1"/>
    <w:rsid w:val="002D5FE8"/>
    <w:rsid w:val="002E738B"/>
    <w:rsid w:val="002F3D51"/>
    <w:rsid w:val="002F5035"/>
    <w:rsid w:val="003020D4"/>
    <w:rsid w:val="00304F02"/>
    <w:rsid w:val="00306ECD"/>
    <w:rsid w:val="00317E77"/>
    <w:rsid w:val="003265E5"/>
    <w:rsid w:val="00332E80"/>
    <w:rsid w:val="00350BF2"/>
    <w:rsid w:val="00384371"/>
    <w:rsid w:val="003A29BD"/>
    <w:rsid w:val="003A5768"/>
    <w:rsid w:val="003B26F3"/>
    <w:rsid w:val="003C1EAF"/>
    <w:rsid w:val="003C5D57"/>
    <w:rsid w:val="00443533"/>
    <w:rsid w:val="004460F4"/>
    <w:rsid w:val="00450CA3"/>
    <w:rsid w:val="00457A76"/>
    <w:rsid w:val="00472839"/>
    <w:rsid w:val="004832AA"/>
    <w:rsid w:val="004A6598"/>
    <w:rsid w:val="004C6AC6"/>
    <w:rsid w:val="004C7BA9"/>
    <w:rsid w:val="004D0DEE"/>
    <w:rsid w:val="004F034A"/>
    <w:rsid w:val="00524CC3"/>
    <w:rsid w:val="005320B4"/>
    <w:rsid w:val="00533545"/>
    <w:rsid w:val="005358E6"/>
    <w:rsid w:val="00544EA6"/>
    <w:rsid w:val="005501DE"/>
    <w:rsid w:val="00566221"/>
    <w:rsid w:val="00575FFF"/>
    <w:rsid w:val="00582160"/>
    <w:rsid w:val="005C18FD"/>
    <w:rsid w:val="005C72A5"/>
    <w:rsid w:val="005D34E5"/>
    <w:rsid w:val="005D4D36"/>
    <w:rsid w:val="005D6410"/>
    <w:rsid w:val="005E5AEF"/>
    <w:rsid w:val="005E7A80"/>
    <w:rsid w:val="005F7DBE"/>
    <w:rsid w:val="00605147"/>
    <w:rsid w:val="0061100D"/>
    <w:rsid w:val="006224EC"/>
    <w:rsid w:val="00625ED1"/>
    <w:rsid w:val="00630854"/>
    <w:rsid w:val="00641DAE"/>
    <w:rsid w:val="0065316C"/>
    <w:rsid w:val="00653CE5"/>
    <w:rsid w:val="00671FB4"/>
    <w:rsid w:val="00692CA9"/>
    <w:rsid w:val="00695FF9"/>
    <w:rsid w:val="006970CE"/>
    <w:rsid w:val="006A18F9"/>
    <w:rsid w:val="006B1AF7"/>
    <w:rsid w:val="006B2727"/>
    <w:rsid w:val="006B6F26"/>
    <w:rsid w:val="006B715F"/>
    <w:rsid w:val="006C48D2"/>
    <w:rsid w:val="006D1D7B"/>
    <w:rsid w:val="006E0B58"/>
    <w:rsid w:val="006F3CCD"/>
    <w:rsid w:val="006F45A7"/>
    <w:rsid w:val="00700E31"/>
    <w:rsid w:val="007063FC"/>
    <w:rsid w:val="007544F0"/>
    <w:rsid w:val="007636C8"/>
    <w:rsid w:val="00766CC2"/>
    <w:rsid w:val="00777A69"/>
    <w:rsid w:val="007A1453"/>
    <w:rsid w:val="007A7136"/>
    <w:rsid w:val="007B3480"/>
    <w:rsid w:val="007C05F8"/>
    <w:rsid w:val="007C40A5"/>
    <w:rsid w:val="007D5F06"/>
    <w:rsid w:val="00800A74"/>
    <w:rsid w:val="008026AE"/>
    <w:rsid w:val="008048D9"/>
    <w:rsid w:val="0081142C"/>
    <w:rsid w:val="008127F0"/>
    <w:rsid w:val="00816ADE"/>
    <w:rsid w:val="0082716A"/>
    <w:rsid w:val="0083495F"/>
    <w:rsid w:val="00841D14"/>
    <w:rsid w:val="00842ED4"/>
    <w:rsid w:val="008532F1"/>
    <w:rsid w:val="00861B37"/>
    <w:rsid w:val="008773FA"/>
    <w:rsid w:val="00877BF2"/>
    <w:rsid w:val="0088171A"/>
    <w:rsid w:val="008A4E69"/>
    <w:rsid w:val="008D247B"/>
    <w:rsid w:val="008D6303"/>
    <w:rsid w:val="008D6D47"/>
    <w:rsid w:val="008E0D88"/>
    <w:rsid w:val="008E4478"/>
    <w:rsid w:val="009005A6"/>
    <w:rsid w:val="009037BD"/>
    <w:rsid w:val="0090747B"/>
    <w:rsid w:val="009137BC"/>
    <w:rsid w:val="00950C07"/>
    <w:rsid w:val="0095680A"/>
    <w:rsid w:val="00962489"/>
    <w:rsid w:val="00974C94"/>
    <w:rsid w:val="0099274E"/>
    <w:rsid w:val="00992FCE"/>
    <w:rsid w:val="009B0C34"/>
    <w:rsid w:val="009D502B"/>
    <w:rsid w:val="009E0C97"/>
    <w:rsid w:val="00A013BA"/>
    <w:rsid w:val="00A034A5"/>
    <w:rsid w:val="00A26234"/>
    <w:rsid w:val="00A32B1C"/>
    <w:rsid w:val="00A47758"/>
    <w:rsid w:val="00A47FFC"/>
    <w:rsid w:val="00A51841"/>
    <w:rsid w:val="00A62C40"/>
    <w:rsid w:val="00A7692A"/>
    <w:rsid w:val="00A77013"/>
    <w:rsid w:val="00AA1B8B"/>
    <w:rsid w:val="00AE2B44"/>
    <w:rsid w:val="00AE6BA4"/>
    <w:rsid w:val="00AE6DBE"/>
    <w:rsid w:val="00B056EE"/>
    <w:rsid w:val="00B1649A"/>
    <w:rsid w:val="00B21883"/>
    <w:rsid w:val="00B244B7"/>
    <w:rsid w:val="00B325F4"/>
    <w:rsid w:val="00B36329"/>
    <w:rsid w:val="00B44AE2"/>
    <w:rsid w:val="00B76068"/>
    <w:rsid w:val="00B815B0"/>
    <w:rsid w:val="00B869B7"/>
    <w:rsid w:val="00B9163E"/>
    <w:rsid w:val="00BA507E"/>
    <w:rsid w:val="00BB64DB"/>
    <w:rsid w:val="00BB76DB"/>
    <w:rsid w:val="00BC022B"/>
    <w:rsid w:val="00BD3E57"/>
    <w:rsid w:val="00BD72E0"/>
    <w:rsid w:val="00BF59B8"/>
    <w:rsid w:val="00C02453"/>
    <w:rsid w:val="00C15B63"/>
    <w:rsid w:val="00C25ADC"/>
    <w:rsid w:val="00C27E13"/>
    <w:rsid w:val="00C3666E"/>
    <w:rsid w:val="00C40819"/>
    <w:rsid w:val="00C54BB1"/>
    <w:rsid w:val="00C558CC"/>
    <w:rsid w:val="00C5661E"/>
    <w:rsid w:val="00C7447F"/>
    <w:rsid w:val="00C80846"/>
    <w:rsid w:val="00C81E8E"/>
    <w:rsid w:val="00C93EA1"/>
    <w:rsid w:val="00C973DA"/>
    <w:rsid w:val="00CA6176"/>
    <w:rsid w:val="00CB4EBC"/>
    <w:rsid w:val="00CB6080"/>
    <w:rsid w:val="00CB7712"/>
    <w:rsid w:val="00CC3D7B"/>
    <w:rsid w:val="00CD04E4"/>
    <w:rsid w:val="00CD2DAA"/>
    <w:rsid w:val="00CD7E72"/>
    <w:rsid w:val="00CE5ADF"/>
    <w:rsid w:val="00CE6067"/>
    <w:rsid w:val="00CF5DB5"/>
    <w:rsid w:val="00D13AFF"/>
    <w:rsid w:val="00D17A04"/>
    <w:rsid w:val="00D34B46"/>
    <w:rsid w:val="00D455B0"/>
    <w:rsid w:val="00D47040"/>
    <w:rsid w:val="00D56668"/>
    <w:rsid w:val="00D63C77"/>
    <w:rsid w:val="00D67617"/>
    <w:rsid w:val="00D70BEB"/>
    <w:rsid w:val="00D75B37"/>
    <w:rsid w:val="00D84B69"/>
    <w:rsid w:val="00DA046D"/>
    <w:rsid w:val="00DA55A2"/>
    <w:rsid w:val="00DF259A"/>
    <w:rsid w:val="00E04EA1"/>
    <w:rsid w:val="00E129CC"/>
    <w:rsid w:val="00E27C9E"/>
    <w:rsid w:val="00E27E74"/>
    <w:rsid w:val="00E360D2"/>
    <w:rsid w:val="00E40AF7"/>
    <w:rsid w:val="00E40BDA"/>
    <w:rsid w:val="00E45042"/>
    <w:rsid w:val="00E4659D"/>
    <w:rsid w:val="00E523F1"/>
    <w:rsid w:val="00E65C1F"/>
    <w:rsid w:val="00E714F5"/>
    <w:rsid w:val="00E75324"/>
    <w:rsid w:val="00E85E65"/>
    <w:rsid w:val="00E960AC"/>
    <w:rsid w:val="00EA7B3B"/>
    <w:rsid w:val="00EC1011"/>
    <w:rsid w:val="00EC68BC"/>
    <w:rsid w:val="00EE2D31"/>
    <w:rsid w:val="00EE766C"/>
    <w:rsid w:val="00EF3C83"/>
    <w:rsid w:val="00F07947"/>
    <w:rsid w:val="00F23F84"/>
    <w:rsid w:val="00F27434"/>
    <w:rsid w:val="00F35670"/>
    <w:rsid w:val="00F5524E"/>
    <w:rsid w:val="00F70D46"/>
    <w:rsid w:val="00F70E24"/>
    <w:rsid w:val="00F76033"/>
    <w:rsid w:val="00F77345"/>
    <w:rsid w:val="00F80F67"/>
    <w:rsid w:val="00F94BB6"/>
    <w:rsid w:val="00F94ECD"/>
    <w:rsid w:val="00F97CBE"/>
    <w:rsid w:val="00FA26DA"/>
    <w:rsid w:val="00FB4D5A"/>
    <w:rsid w:val="00FC014E"/>
    <w:rsid w:val="00FC63E4"/>
    <w:rsid w:val="00FE5683"/>
    <w:rsid w:val="00FF19AB"/>
    <w:rsid w:val="00FF2DBF"/>
    <w:rsid w:val="00FF32B9"/>
    <w:rsid w:val="07F33EA2"/>
    <w:rsid w:val="0899E5DE"/>
    <w:rsid w:val="3F450D8F"/>
    <w:rsid w:val="3FCFBFD5"/>
    <w:rsid w:val="44FD698F"/>
    <w:rsid w:val="4A4EE0C2"/>
    <w:rsid w:val="54440F71"/>
    <w:rsid w:val="568C8280"/>
    <w:rsid w:val="5DEB91EF"/>
    <w:rsid w:val="63F6044B"/>
    <w:rsid w:val="64FC7638"/>
    <w:rsid w:val="69F57826"/>
    <w:rsid w:val="6C9B0034"/>
    <w:rsid w:val="7EAE42F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CEC84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7ED8"/>
    <w:rPr>
      <w:color w:val="0563C1" w:themeColor="hyperlink"/>
      <w:u w:val="single"/>
    </w:rPr>
  </w:style>
  <w:style w:type="paragraph" w:styleId="FootnoteText">
    <w:name w:val="footnote text"/>
    <w:basedOn w:val="Normal"/>
    <w:link w:val="FootnoteTextChar"/>
    <w:uiPriority w:val="99"/>
    <w:semiHidden/>
    <w:unhideWhenUsed/>
    <w:rsid w:val="00177ED8"/>
    <w:pPr>
      <w:spacing w:after="0" w:line="240" w:lineRule="auto"/>
      <w:jc w:val="both"/>
    </w:pPr>
    <w:rPr>
      <w:sz w:val="20"/>
      <w:szCs w:val="20"/>
      <w:lang w:eastAsia="en-GB"/>
    </w:rPr>
  </w:style>
  <w:style w:type="character" w:customStyle="1" w:styleId="FootnoteTextChar">
    <w:name w:val="Footnote Text Char"/>
    <w:basedOn w:val="DefaultParagraphFont"/>
    <w:link w:val="FootnoteText"/>
    <w:uiPriority w:val="99"/>
    <w:semiHidden/>
    <w:rsid w:val="00177ED8"/>
    <w:rPr>
      <w:sz w:val="20"/>
      <w:szCs w:val="20"/>
      <w:lang w:eastAsia="en-GB"/>
    </w:rPr>
  </w:style>
  <w:style w:type="character" w:styleId="FootnoteReference">
    <w:name w:val="footnote reference"/>
    <w:basedOn w:val="DefaultParagraphFont"/>
    <w:uiPriority w:val="99"/>
    <w:semiHidden/>
    <w:unhideWhenUsed/>
    <w:rsid w:val="00177ED8"/>
    <w:rPr>
      <w:vertAlign w:val="superscript"/>
    </w:rPr>
  </w:style>
  <w:style w:type="character" w:styleId="FollowedHyperlink">
    <w:name w:val="FollowedHyperlink"/>
    <w:basedOn w:val="DefaultParagraphFont"/>
    <w:uiPriority w:val="99"/>
    <w:semiHidden/>
    <w:unhideWhenUsed/>
    <w:rsid w:val="00177ED8"/>
    <w:rPr>
      <w:color w:val="954F72" w:themeColor="followedHyperlink"/>
      <w:u w:val="single"/>
    </w:rPr>
  </w:style>
  <w:style w:type="paragraph" w:styleId="ListParagraph">
    <w:name w:val="List Paragraph"/>
    <w:basedOn w:val="Normal"/>
    <w:uiPriority w:val="34"/>
    <w:qFormat/>
    <w:rsid w:val="006B6F26"/>
    <w:pPr>
      <w:ind w:left="720"/>
      <w:contextualSpacing/>
    </w:pPr>
  </w:style>
  <w:style w:type="paragraph" w:styleId="Header">
    <w:name w:val="header"/>
    <w:basedOn w:val="Normal"/>
    <w:link w:val="HeaderChar"/>
    <w:uiPriority w:val="99"/>
    <w:unhideWhenUsed/>
    <w:rsid w:val="00B869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9B7"/>
  </w:style>
  <w:style w:type="paragraph" w:styleId="Footer">
    <w:name w:val="footer"/>
    <w:basedOn w:val="Normal"/>
    <w:link w:val="FooterChar"/>
    <w:uiPriority w:val="99"/>
    <w:unhideWhenUsed/>
    <w:rsid w:val="00B869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9B7"/>
  </w:style>
  <w:style w:type="paragraph" w:styleId="BalloonText">
    <w:name w:val="Balloon Text"/>
    <w:basedOn w:val="Normal"/>
    <w:link w:val="BalloonTextChar"/>
    <w:uiPriority w:val="99"/>
    <w:semiHidden/>
    <w:unhideWhenUsed/>
    <w:rsid w:val="00A013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013BA"/>
    <w:rPr>
      <w:rFonts w:ascii="Segoe UI" w:hAnsi="Segoe UI" w:cs="Segoe UI"/>
      <w:sz w:val="18"/>
      <w:szCs w:val="18"/>
    </w:rPr>
  </w:style>
  <w:style w:type="paragraph" w:customStyle="1" w:styleId="paragraph">
    <w:name w:val="paragraph"/>
    <w:basedOn w:val="Normal"/>
    <w:rsid w:val="004A659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6598"/>
  </w:style>
  <w:style w:type="character" w:customStyle="1" w:styleId="eop">
    <w:name w:val="eop"/>
    <w:basedOn w:val="DefaultParagraphFont"/>
    <w:rsid w:val="004A6598"/>
  </w:style>
  <w:style w:type="paragraph" w:customStyle="1" w:styleId="Default">
    <w:name w:val="Default"/>
    <w:rsid w:val="002B22F9"/>
    <w:pPr>
      <w:autoSpaceDE w:val="0"/>
      <w:autoSpaceDN w:val="0"/>
      <w:adjustRightInd w:val="0"/>
      <w:spacing w:after="0" w:line="240" w:lineRule="auto"/>
    </w:pPr>
    <w:rPr>
      <w:rFonts w:ascii="Times New Roman" w:hAnsi="Times New Roman" w:cs="Times New Roman"/>
      <w:color w:val="000000"/>
      <w:sz w:val="24"/>
      <w:szCs w:val="24"/>
      <w:lang w:eastAsia="en-GB"/>
    </w:rPr>
  </w:style>
  <w:style w:type="paragraph" w:customStyle="1" w:styleId="list-item2">
    <w:name w:val="list-item2"/>
    <w:basedOn w:val="Normal"/>
    <w:rsid w:val="00FF19AB"/>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62164">
      <w:bodyDiv w:val="1"/>
      <w:marLeft w:val="0"/>
      <w:marRight w:val="0"/>
      <w:marTop w:val="0"/>
      <w:marBottom w:val="0"/>
      <w:divBdr>
        <w:top w:val="none" w:sz="0" w:space="0" w:color="auto"/>
        <w:left w:val="none" w:sz="0" w:space="0" w:color="auto"/>
        <w:bottom w:val="none" w:sz="0" w:space="0" w:color="auto"/>
        <w:right w:val="none" w:sz="0" w:space="0" w:color="auto"/>
      </w:divBdr>
      <w:divsChild>
        <w:div w:id="635063973">
          <w:marLeft w:val="907"/>
          <w:marRight w:val="0"/>
          <w:marTop w:val="86"/>
          <w:marBottom w:val="0"/>
          <w:divBdr>
            <w:top w:val="none" w:sz="0" w:space="0" w:color="auto"/>
            <w:left w:val="none" w:sz="0" w:space="0" w:color="auto"/>
            <w:bottom w:val="none" w:sz="0" w:space="0" w:color="auto"/>
            <w:right w:val="none" w:sz="0" w:space="0" w:color="auto"/>
          </w:divBdr>
        </w:div>
        <w:div w:id="2048796159">
          <w:marLeft w:val="907"/>
          <w:marRight w:val="0"/>
          <w:marTop w:val="86"/>
          <w:marBottom w:val="0"/>
          <w:divBdr>
            <w:top w:val="none" w:sz="0" w:space="0" w:color="auto"/>
            <w:left w:val="none" w:sz="0" w:space="0" w:color="auto"/>
            <w:bottom w:val="none" w:sz="0" w:space="0" w:color="auto"/>
            <w:right w:val="none" w:sz="0" w:space="0" w:color="auto"/>
          </w:divBdr>
        </w:div>
        <w:div w:id="1078014713">
          <w:marLeft w:val="907"/>
          <w:marRight w:val="0"/>
          <w:marTop w:val="86"/>
          <w:marBottom w:val="0"/>
          <w:divBdr>
            <w:top w:val="none" w:sz="0" w:space="0" w:color="auto"/>
            <w:left w:val="none" w:sz="0" w:space="0" w:color="auto"/>
            <w:bottom w:val="none" w:sz="0" w:space="0" w:color="auto"/>
            <w:right w:val="none" w:sz="0" w:space="0" w:color="auto"/>
          </w:divBdr>
        </w:div>
        <w:div w:id="671878141">
          <w:marLeft w:val="907"/>
          <w:marRight w:val="0"/>
          <w:marTop w:val="86"/>
          <w:marBottom w:val="0"/>
          <w:divBdr>
            <w:top w:val="none" w:sz="0" w:space="0" w:color="auto"/>
            <w:left w:val="none" w:sz="0" w:space="0" w:color="auto"/>
            <w:bottom w:val="none" w:sz="0" w:space="0" w:color="auto"/>
            <w:right w:val="none" w:sz="0" w:space="0" w:color="auto"/>
          </w:divBdr>
        </w:div>
        <w:div w:id="1515613608">
          <w:marLeft w:val="907"/>
          <w:marRight w:val="0"/>
          <w:marTop w:val="86"/>
          <w:marBottom w:val="0"/>
          <w:divBdr>
            <w:top w:val="none" w:sz="0" w:space="0" w:color="auto"/>
            <w:left w:val="none" w:sz="0" w:space="0" w:color="auto"/>
            <w:bottom w:val="none" w:sz="0" w:space="0" w:color="auto"/>
            <w:right w:val="none" w:sz="0" w:space="0" w:color="auto"/>
          </w:divBdr>
        </w:div>
      </w:divsChild>
    </w:div>
    <w:div w:id="323633517">
      <w:bodyDiv w:val="1"/>
      <w:marLeft w:val="0"/>
      <w:marRight w:val="0"/>
      <w:marTop w:val="0"/>
      <w:marBottom w:val="0"/>
      <w:divBdr>
        <w:top w:val="none" w:sz="0" w:space="0" w:color="auto"/>
        <w:left w:val="none" w:sz="0" w:space="0" w:color="auto"/>
        <w:bottom w:val="none" w:sz="0" w:space="0" w:color="auto"/>
        <w:right w:val="none" w:sz="0" w:space="0" w:color="auto"/>
      </w:divBdr>
      <w:divsChild>
        <w:div w:id="1691637076">
          <w:marLeft w:val="0"/>
          <w:marRight w:val="0"/>
          <w:marTop w:val="0"/>
          <w:marBottom w:val="120"/>
          <w:divBdr>
            <w:top w:val="none" w:sz="0" w:space="0" w:color="auto"/>
            <w:left w:val="none" w:sz="0" w:space="0" w:color="auto"/>
            <w:bottom w:val="none" w:sz="0" w:space="0" w:color="auto"/>
            <w:right w:val="none" w:sz="0" w:space="0" w:color="auto"/>
          </w:divBdr>
          <w:divsChild>
            <w:div w:id="1419016383">
              <w:marLeft w:val="0"/>
              <w:marRight w:val="0"/>
              <w:marTop w:val="0"/>
              <w:marBottom w:val="0"/>
              <w:divBdr>
                <w:top w:val="none" w:sz="0" w:space="0" w:color="auto"/>
                <w:left w:val="none" w:sz="0" w:space="0" w:color="auto"/>
                <w:bottom w:val="none" w:sz="0" w:space="0" w:color="auto"/>
                <w:right w:val="none" w:sz="0" w:space="0" w:color="auto"/>
              </w:divBdr>
              <w:divsChild>
                <w:div w:id="758255513">
                  <w:marLeft w:val="0"/>
                  <w:marRight w:val="0"/>
                  <w:marTop w:val="0"/>
                  <w:marBottom w:val="0"/>
                  <w:divBdr>
                    <w:top w:val="none" w:sz="0" w:space="0" w:color="auto"/>
                    <w:left w:val="none" w:sz="0" w:space="0" w:color="auto"/>
                    <w:bottom w:val="none" w:sz="0" w:space="0" w:color="auto"/>
                    <w:right w:val="none" w:sz="0" w:space="0" w:color="auto"/>
                  </w:divBdr>
                </w:div>
                <w:div w:id="2130590260">
                  <w:marLeft w:val="0"/>
                  <w:marRight w:val="0"/>
                  <w:marTop w:val="0"/>
                  <w:marBottom w:val="0"/>
                  <w:divBdr>
                    <w:top w:val="none" w:sz="0" w:space="0" w:color="auto"/>
                    <w:left w:val="none" w:sz="0" w:space="0" w:color="auto"/>
                    <w:bottom w:val="none" w:sz="0" w:space="0" w:color="auto"/>
                    <w:right w:val="none" w:sz="0" w:space="0" w:color="auto"/>
                  </w:divBdr>
                </w:div>
                <w:div w:id="1676305916">
                  <w:marLeft w:val="0"/>
                  <w:marRight w:val="0"/>
                  <w:marTop w:val="0"/>
                  <w:marBottom w:val="0"/>
                  <w:divBdr>
                    <w:top w:val="none" w:sz="0" w:space="0" w:color="auto"/>
                    <w:left w:val="none" w:sz="0" w:space="0" w:color="auto"/>
                    <w:bottom w:val="none" w:sz="0" w:space="0" w:color="auto"/>
                    <w:right w:val="none" w:sz="0" w:space="0" w:color="auto"/>
                  </w:divBdr>
                </w:div>
                <w:div w:id="763526956">
                  <w:marLeft w:val="0"/>
                  <w:marRight w:val="0"/>
                  <w:marTop w:val="0"/>
                  <w:marBottom w:val="0"/>
                  <w:divBdr>
                    <w:top w:val="none" w:sz="0" w:space="0" w:color="auto"/>
                    <w:left w:val="none" w:sz="0" w:space="0" w:color="auto"/>
                    <w:bottom w:val="none" w:sz="0" w:space="0" w:color="auto"/>
                    <w:right w:val="none" w:sz="0" w:space="0" w:color="auto"/>
                  </w:divBdr>
                </w:div>
                <w:div w:id="1894853095">
                  <w:marLeft w:val="0"/>
                  <w:marRight w:val="0"/>
                  <w:marTop w:val="0"/>
                  <w:marBottom w:val="0"/>
                  <w:divBdr>
                    <w:top w:val="none" w:sz="0" w:space="0" w:color="auto"/>
                    <w:left w:val="none" w:sz="0" w:space="0" w:color="auto"/>
                    <w:bottom w:val="none" w:sz="0" w:space="0" w:color="auto"/>
                    <w:right w:val="none" w:sz="0" w:space="0" w:color="auto"/>
                  </w:divBdr>
                </w:div>
                <w:div w:id="193546077">
                  <w:marLeft w:val="0"/>
                  <w:marRight w:val="0"/>
                  <w:marTop w:val="0"/>
                  <w:marBottom w:val="0"/>
                  <w:divBdr>
                    <w:top w:val="none" w:sz="0" w:space="0" w:color="auto"/>
                    <w:left w:val="none" w:sz="0" w:space="0" w:color="auto"/>
                    <w:bottom w:val="none" w:sz="0" w:space="0" w:color="auto"/>
                    <w:right w:val="none" w:sz="0" w:space="0" w:color="auto"/>
                  </w:divBdr>
                </w:div>
                <w:div w:id="1694651100">
                  <w:marLeft w:val="0"/>
                  <w:marRight w:val="0"/>
                  <w:marTop w:val="0"/>
                  <w:marBottom w:val="0"/>
                  <w:divBdr>
                    <w:top w:val="none" w:sz="0" w:space="0" w:color="auto"/>
                    <w:left w:val="none" w:sz="0" w:space="0" w:color="auto"/>
                    <w:bottom w:val="none" w:sz="0" w:space="0" w:color="auto"/>
                    <w:right w:val="none" w:sz="0" w:space="0" w:color="auto"/>
                  </w:divBdr>
                </w:div>
                <w:div w:id="1871146813">
                  <w:marLeft w:val="0"/>
                  <w:marRight w:val="0"/>
                  <w:marTop w:val="0"/>
                  <w:marBottom w:val="0"/>
                  <w:divBdr>
                    <w:top w:val="none" w:sz="0" w:space="0" w:color="auto"/>
                    <w:left w:val="none" w:sz="0" w:space="0" w:color="auto"/>
                    <w:bottom w:val="none" w:sz="0" w:space="0" w:color="auto"/>
                    <w:right w:val="none" w:sz="0" w:space="0" w:color="auto"/>
                  </w:divBdr>
                </w:div>
                <w:div w:id="292176043">
                  <w:marLeft w:val="0"/>
                  <w:marRight w:val="0"/>
                  <w:marTop w:val="0"/>
                  <w:marBottom w:val="0"/>
                  <w:divBdr>
                    <w:top w:val="none" w:sz="0" w:space="0" w:color="auto"/>
                    <w:left w:val="none" w:sz="0" w:space="0" w:color="auto"/>
                    <w:bottom w:val="none" w:sz="0" w:space="0" w:color="auto"/>
                    <w:right w:val="none" w:sz="0" w:space="0" w:color="auto"/>
                  </w:divBdr>
                </w:div>
                <w:div w:id="61560294">
                  <w:marLeft w:val="0"/>
                  <w:marRight w:val="0"/>
                  <w:marTop w:val="0"/>
                  <w:marBottom w:val="0"/>
                  <w:divBdr>
                    <w:top w:val="none" w:sz="0" w:space="0" w:color="auto"/>
                    <w:left w:val="none" w:sz="0" w:space="0" w:color="auto"/>
                    <w:bottom w:val="none" w:sz="0" w:space="0" w:color="auto"/>
                    <w:right w:val="none" w:sz="0" w:space="0" w:color="auto"/>
                  </w:divBdr>
                </w:div>
                <w:div w:id="1959026659">
                  <w:marLeft w:val="0"/>
                  <w:marRight w:val="0"/>
                  <w:marTop w:val="0"/>
                  <w:marBottom w:val="0"/>
                  <w:divBdr>
                    <w:top w:val="none" w:sz="0" w:space="0" w:color="auto"/>
                    <w:left w:val="none" w:sz="0" w:space="0" w:color="auto"/>
                    <w:bottom w:val="none" w:sz="0" w:space="0" w:color="auto"/>
                    <w:right w:val="none" w:sz="0" w:space="0" w:color="auto"/>
                  </w:divBdr>
                </w:div>
                <w:div w:id="845679058">
                  <w:marLeft w:val="0"/>
                  <w:marRight w:val="0"/>
                  <w:marTop w:val="0"/>
                  <w:marBottom w:val="0"/>
                  <w:divBdr>
                    <w:top w:val="none" w:sz="0" w:space="0" w:color="auto"/>
                    <w:left w:val="none" w:sz="0" w:space="0" w:color="auto"/>
                    <w:bottom w:val="none" w:sz="0" w:space="0" w:color="auto"/>
                    <w:right w:val="none" w:sz="0" w:space="0" w:color="auto"/>
                  </w:divBdr>
                </w:div>
                <w:div w:id="935016222">
                  <w:marLeft w:val="0"/>
                  <w:marRight w:val="0"/>
                  <w:marTop w:val="0"/>
                  <w:marBottom w:val="0"/>
                  <w:divBdr>
                    <w:top w:val="none" w:sz="0" w:space="0" w:color="auto"/>
                    <w:left w:val="none" w:sz="0" w:space="0" w:color="auto"/>
                    <w:bottom w:val="none" w:sz="0" w:space="0" w:color="auto"/>
                    <w:right w:val="none" w:sz="0" w:space="0" w:color="auto"/>
                  </w:divBdr>
                </w:div>
                <w:div w:id="191265842">
                  <w:marLeft w:val="0"/>
                  <w:marRight w:val="0"/>
                  <w:marTop w:val="0"/>
                  <w:marBottom w:val="0"/>
                  <w:divBdr>
                    <w:top w:val="none" w:sz="0" w:space="0" w:color="auto"/>
                    <w:left w:val="none" w:sz="0" w:space="0" w:color="auto"/>
                    <w:bottom w:val="none" w:sz="0" w:space="0" w:color="auto"/>
                    <w:right w:val="none" w:sz="0" w:space="0" w:color="auto"/>
                  </w:divBdr>
                </w:div>
                <w:div w:id="651756740">
                  <w:marLeft w:val="0"/>
                  <w:marRight w:val="0"/>
                  <w:marTop w:val="0"/>
                  <w:marBottom w:val="0"/>
                  <w:divBdr>
                    <w:top w:val="none" w:sz="0" w:space="0" w:color="auto"/>
                    <w:left w:val="none" w:sz="0" w:space="0" w:color="auto"/>
                    <w:bottom w:val="none" w:sz="0" w:space="0" w:color="auto"/>
                    <w:right w:val="none" w:sz="0" w:space="0" w:color="auto"/>
                  </w:divBdr>
                </w:div>
                <w:div w:id="1442728113">
                  <w:marLeft w:val="0"/>
                  <w:marRight w:val="0"/>
                  <w:marTop w:val="0"/>
                  <w:marBottom w:val="0"/>
                  <w:divBdr>
                    <w:top w:val="none" w:sz="0" w:space="0" w:color="auto"/>
                    <w:left w:val="none" w:sz="0" w:space="0" w:color="auto"/>
                    <w:bottom w:val="none" w:sz="0" w:space="0" w:color="auto"/>
                    <w:right w:val="none" w:sz="0" w:space="0" w:color="auto"/>
                  </w:divBdr>
                </w:div>
                <w:div w:id="1506550383">
                  <w:marLeft w:val="0"/>
                  <w:marRight w:val="0"/>
                  <w:marTop w:val="0"/>
                  <w:marBottom w:val="0"/>
                  <w:divBdr>
                    <w:top w:val="none" w:sz="0" w:space="0" w:color="auto"/>
                    <w:left w:val="none" w:sz="0" w:space="0" w:color="auto"/>
                    <w:bottom w:val="none" w:sz="0" w:space="0" w:color="auto"/>
                    <w:right w:val="none" w:sz="0" w:space="0" w:color="auto"/>
                  </w:divBdr>
                </w:div>
                <w:div w:id="292759681">
                  <w:marLeft w:val="0"/>
                  <w:marRight w:val="0"/>
                  <w:marTop w:val="0"/>
                  <w:marBottom w:val="0"/>
                  <w:divBdr>
                    <w:top w:val="none" w:sz="0" w:space="0" w:color="auto"/>
                    <w:left w:val="none" w:sz="0" w:space="0" w:color="auto"/>
                    <w:bottom w:val="none" w:sz="0" w:space="0" w:color="auto"/>
                    <w:right w:val="none" w:sz="0" w:space="0" w:color="auto"/>
                  </w:divBdr>
                </w:div>
                <w:div w:id="2122845457">
                  <w:marLeft w:val="0"/>
                  <w:marRight w:val="0"/>
                  <w:marTop w:val="0"/>
                  <w:marBottom w:val="0"/>
                  <w:divBdr>
                    <w:top w:val="none" w:sz="0" w:space="0" w:color="auto"/>
                    <w:left w:val="none" w:sz="0" w:space="0" w:color="auto"/>
                    <w:bottom w:val="none" w:sz="0" w:space="0" w:color="auto"/>
                    <w:right w:val="none" w:sz="0" w:space="0" w:color="auto"/>
                  </w:divBdr>
                </w:div>
                <w:div w:id="1643382379">
                  <w:marLeft w:val="0"/>
                  <w:marRight w:val="0"/>
                  <w:marTop w:val="0"/>
                  <w:marBottom w:val="0"/>
                  <w:divBdr>
                    <w:top w:val="none" w:sz="0" w:space="0" w:color="auto"/>
                    <w:left w:val="none" w:sz="0" w:space="0" w:color="auto"/>
                    <w:bottom w:val="none" w:sz="0" w:space="0" w:color="auto"/>
                    <w:right w:val="none" w:sz="0" w:space="0" w:color="auto"/>
                  </w:divBdr>
                </w:div>
                <w:div w:id="1139808979">
                  <w:marLeft w:val="0"/>
                  <w:marRight w:val="0"/>
                  <w:marTop w:val="0"/>
                  <w:marBottom w:val="0"/>
                  <w:divBdr>
                    <w:top w:val="none" w:sz="0" w:space="0" w:color="auto"/>
                    <w:left w:val="none" w:sz="0" w:space="0" w:color="auto"/>
                    <w:bottom w:val="none" w:sz="0" w:space="0" w:color="auto"/>
                    <w:right w:val="none" w:sz="0" w:space="0" w:color="auto"/>
                  </w:divBdr>
                </w:div>
                <w:div w:id="376199179">
                  <w:marLeft w:val="0"/>
                  <w:marRight w:val="0"/>
                  <w:marTop w:val="0"/>
                  <w:marBottom w:val="0"/>
                  <w:divBdr>
                    <w:top w:val="none" w:sz="0" w:space="0" w:color="auto"/>
                    <w:left w:val="none" w:sz="0" w:space="0" w:color="auto"/>
                    <w:bottom w:val="none" w:sz="0" w:space="0" w:color="auto"/>
                    <w:right w:val="none" w:sz="0" w:space="0" w:color="auto"/>
                  </w:divBdr>
                </w:div>
                <w:div w:id="877544436">
                  <w:marLeft w:val="0"/>
                  <w:marRight w:val="0"/>
                  <w:marTop w:val="0"/>
                  <w:marBottom w:val="0"/>
                  <w:divBdr>
                    <w:top w:val="none" w:sz="0" w:space="0" w:color="auto"/>
                    <w:left w:val="none" w:sz="0" w:space="0" w:color="auto"/>
                    <w:bottom w:val="none" w:sz="0" w:space="0" w:color="auto"/>
                    <w:right w:val="none" w:sz="0" w:space="0" w:color="auto"/>
                  </w:divBdr>
                </w:div>
                <w:div w:id="190035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84803">
          <w:marLeft w:val="0"/>
          <w:marRight w:val="0"/>
          <w:marTop w:val="0"/>
          <w:marBottom w:val="120"/>
          <w:divBdr>
            <w:top w:val="none" w:sz="0" w:space="0" w:color="auto"/>
            <w:left w:val="none" w:sz="0" w:space="0" w:color="auto"/>
            <w:bottom w:val="none" w:sz="0" w:space="0" w:color="auto"/>
            <w:right w:val="none" w:sz="0" w:space="0" w:color="auto"/>
          </w:divBdr>
          <w:divsChild>
            <w:div w:id="1543788555">
              <w:marLeft w:val="0"/>
              <w:marRight w:val="0"/>
              <w:marTop w:val="0"/>
              <w:marBottom w:val="0"/>
              <w:divBdr>
                <w:top w:val="none" w:sz="0" w:space="0" w:color="auto"/>
                <w:left w:val="none" w:sz="0" w:space="0" w:color="auto"/>
                <w:bottom w:val="none" w:sz="0" w:space="0" w:color="auto"/>
                <w:right w:val="none" w:sz="0" w:space="0" w:color="auto"/>
              </w:divBdr>
              <w:divsChild>
                <w:div w:id="234777781">
                  <w:marLeft w:val="0"/>
                  <w:marRight w:val="0"/>
                  <w:marTop w:val="0"/>
                  <w:marBottom w:val="0"/>
                  <w:divBdr>
                    <w:top w:val="none" w:sz="0" w:space="0" w:color="auto"/>
                    <w:left w:val="none" w:sz="0" w:space="0" w:color="auto"/>
                    <w:bottom w:val="none" w:sz="0" w:space="0" w:color="auto"/>
                    <w:right w:val="none" w:sz="0" w:space="0" w:color="auto"/>
                  </w:divBdr>
                </w:div>
                <w:div w:id="7410053">
                  <w:marLeft w:val="0"/>
                  <w:marRight w:val="0"/>
                  <w:marTop w:val="0"/>
                  <w:marBottom w:val="0"/>
                  <w:divBdr>
                    <w:top w:val="none" w:sz="0" w:space="0" w:color="auto"/>
                    <w:left w:val="none" w:sz="0" w:space="0" w:color="auto"/>
                    <w:bottom w:val="none" w:sz="0" w:space="0" w:color="auto"/>
                    <w:right w:val="none" w:sz="0" w:space="0" w:color="auto"/>
                  </w:divBdr>
                </w:div>
                <w:div w:id="831215116">
                  <w:marLeft w:val="0"/>
                  <w:marRight w:val="0"/>
                  <w:marTop w:val="0"/>
                  <w:marBottom w:val="0"/>
                  <w:divBdr>
                    <w:top w:val="none" w:sz="0" w:space="0" w:color="auto"/>
                    <w:left w:val="none" w:sz="0" w:space="0" w:color="auto"/>
                    <w:bottom w:val="none" w:sz="0" w:space="0" w:color="auto"/>
                    <w:right w:val="none" w:sz="0" w:space="0" w:color="auto"/>
                  </w:divBdr>
                </w:div>
                <w:div w:id="781917483">
                  <w:marLeft w:val="0"/>
                  <w:marRight w:val="0"/>
                  <w:marTop w:val="0"/>
                  <w:marBottom w:val="0"/>
                  <w:divBdr>
                    <w:top w:val="none" w:sz="0" w:space="0" w:color="auto"/>
                    <w:left w:val="none" w:sz="0" w:space="0" w:color="auto"/>
                    <w:bottom w:val="none" w:sz="0" w:space="0" w:color="auto"/>
                    <w:right w:val="none" w:sz="0" w:space="0" w:color="auto"/>
                  </w:divBdr>
                </w:div>
                <w:div w:id="206572285">
                  <w:marLeft w:val="0"/>
                  <w:marRight w:val="0"/>
                  <w:marTop w:val="0"/>
                  <w:marBottom w:val="0"/>
                  <w:divBdr>
                    <w:top w:val="none" w:sz="0" w:space="0" w:color="auto"/>
                    <w:left w:val="none" w:sz="0" w:space="0" w:color="auto"/>
                    <w:bottom w:val="none" w:sz="0" w:space="0" w:color="auto"/>
                    <w:right w:val="none" w:sz="0" w:space="0" w:color="auto"/>
                  </w:divBdr>
                </w:div>
                <w:div w:id="375936836">
                  <w:marLeft w:val="0"/>
                  <w:marRight w:val="0"/>
                  <w:marTop w:val="0"/>
                  <w:marBottom w:val="0"/>
                  <w:divBdr>
                    <w:top w:val="none" w:sz="0" w:space="0" w:color="auto"/>
                    <w:left w:val="none" w:sz="0" w:space="0" w:color="auto"/>
                    <w:bottom w:val="none" w:sz="0" w:space="0" w:color="auto"/>
                    <w:right w:val="none" w:sz="0" w:space="0" w:color="auto"/>
                  </w:divBdr>
                </w:div>
                <w:div w:id="1602833798">
                  <w:marLeft w:val="0"/>
                  <w:marRight w:val="0"/>
                  <w:marTop w:val="0"/>
                  <w:marBottom w:val="0"/>
                  <w:divBdr>
                    <w:top w:val="none" w:sz="0" w:space="0" w:color="auto"/>
                    <w:left w:val="none" w:sz="0" w:space="0" w:color="auto"/>
                    <w:bottom w:val="none" w:sz="0" w:space="0" w:color="auto"/>
                    <w:right w:val="none" w:sz="0" w:space="0" w:color="auto"/>
                  </w:divBdr>
                </w:div>
                <w:div w:id="983126274">
                  <w:marLeft w:val="0"/>
                  <w:marRight w:val="0"/>
                  <w:marTop w:val="0"/>
                  <w:marBottom w:val="0"/>
                  <w:divBdr>
                    <w:top w:val="none" w:sz="0" w:space="0" w:color="auto"/>
                    <w:left w:val="none" w:sz="0" w:space="0" w:color="auto"/>
                    <w:bottom w:val="none" w:sz="0" w:space="0" w:color="auto"/>
                    <w:right w:val="none" w:sz="0" w:space="0" w:color="auto"/>
                  </w:divBdr>
                </w:div>
                <w:div w:id="1559970186">
                  <w:marLeft w:val="0"/>
                  <w:marRight w:val="0"/>
                  <w:marTop w:val="0"/>
                  <w:marBottom w:val="0"/>
                  <w:divBdr>
                    <w:top w:val="none" w:sz="0" w:space="0" w:color="auto"/>
                    <w:left w:val="none" w:sz="0" w:space="0" w:color="auto"/>
                    <w:bottom w:val="none" w:sz="0" w:space="0" w:color="auto"/>
                    <w:right w:val="none" w:sz="0" w:space="0" w:color="auto"/>
                  </w:divBdr>
                </w:div>
                <w:div w:id="1845776296">
                  <w:marLeft w:val="0"/>
                  <w:marRight w:val="0"/>
                  <w:marTop w:val="0"/>
                  <w:marBottom w:val="0"/>
                  <w:divBdr>
                    <w:top w:val="none" w:sz="0" w:space="0" w:color="auto"/>
                    <w:left w:val="none" w:sz="0" w:space="0" w:color="auto"/>
                    <w:bottom w:val="none" w:sz="0" w:space="0" w:color="auto"/>
                    <w:right w:val="none" w:sz="0" w:space="0" w:color="auto"/>
                  </w:divBdr>
                </w:div>
                <w:div w:id="284774668">
                  <w:marLeft w:val="0"/>
                  <w:marRight w:val="0"/>
                  <w:marTop w:val="0"/>
                  <w:marBottom w:val="0"/>
                  <w:divBdr>
                    <w:top w:val="none" w:sz="0" w:space="0" w:color="auto"/>
                    <w:left w:val="none" w:sz="0" w:space="0" w:color="auto"/>
                    <w:bottom w:val="none" w:sz="0" w:space="0" w:color="auto"/>
                    <w:right w:val="none" w:sz="0" w:space="0" w:color="auto"/>
                  </w:divBdr>
                </w:div>
                <w:div w:id="1523007114">
                  <w:marLeft w:val="0"/>
                  <w:marRight w:val="0"/>
                  <w:marTop w:val="0"/>
                  <w:marBottom w:val="0"/>
                  <w:divBdr>
                    <w:top w:val="none" w:sz="0" w:space="0" w:color="auto"/>
                    <w:left w:val="none" w:sz="0" w:space="0" w:color="auto"/>
                    <w:bottom w:val="none" w:sz="0" w:space="0" w:color="auto"/>
                    <w:right w:val="none" w:sz="0" w:space="0" w:color="auto"/>
                  </w:divBdr>
                </w:div>
                <w:div w:id="1062677058">
                  <w:marLeft w:val="0"/>
                  <w:marRight w:val="0"/>
                  <w:marTop w:val="0"/>
                  <w:marBottom w:val="0"/>
                  <w:divBdr>
                    <w:top w:val="none" w:sz="0" w:space="0" w:color="auto"/>
                    <w:left w:val="none" w:sz="0" w:space="0" w:color="auto"/>
                    <w:bottom w:val="none" w:sz="0" w:space="0" w:color="auto"/>
                    <w:right w:val="none" w:sz="0" w:space="0" w:color="auto"/>
                  </w:divBdr>
                </w:div>
                <w:div w:id="1215199748">
                  <w:marLeft w:val="0"/>
                  <w:marRight w:val="0"/>
                  <w:marTop w:val="0"/>
                  <w:marBottom w:val="0"/>
                  <w:divBdr>
                    <w:top w:val="none" w:sz="0" w:space="0" w:color="auto"/>
                    <w:left w:val="none" w:sz="0" w:space="0" w:color="auto"/>
                    <w:bottom w:val="none" w:sz="0" w:space="0" w:color="auto"/>
                    <w:right w:val="none" w:sz="0" w:space="0" w:color="auto"/>
                  </w:divBdr>
                </w:div>
                <w:div w:id="396825111">
                  <w:marLeft w:val="0"/>
                  <w:marRight w:val="0"/>
                  <w:marTop w:val="0"/>
                  <w:marBottom w:val="0"/>
                  <w:divBdr>
                    <w:top w:val="none" w:sz="0" w:space="0" w:color="auto"/>
                    <w:left w:val="none" w:sz="0" w:space="0" w:color="auto"/>
                    <w:bottom w:val="none" w:sz="0" w:space="0" w:color="auto"/>
                    <w:right w:val="none" w:sz="0" w:space="0" w:color="auto"/>
                  </w:divBdr>
                </w:div>
                <w:div w:id="91636037">
                  <w:marLeft w:val="0"/>
                  <w:marRight w:val="0"/>
                  <w:marTop w:val="0"/>
                  <w:marBottom w:val="0"/>
                  <w:divBdr>
                    <w:top w:val="none" w:sz="0" w:space="0" w:color="auto"/>
                    <w:left w:val="none" w:sz="0" w:space="0" w:color="auto"/>
                    <w:bottom w:val="none" w:sz="0" w:space="0" w:color="auto"/>
                    <w:right w:val="none" w:sz="0" w:space="0" w:color="auto"/>
                  </w:divBdr>
                </w:div>
                <w:div w:id="404764430">
                  <w:marLeft w:val="0"/>
                  <w:marRight w:val="0"/>
                  <w:marTop w:val="0"/>
                  <w:marBottom w:val="0"/>
                  <w:divBdr>
                    <w:top w:val="none" w:sz="0" w:space="0" w:color="auto"/>
                    <w:left w:val="none" w:sz="0" w:space="0" w:color="auto"/>
                    <w:bottom w:val="none" w:sz="0" w:space="0" w:color="auto"/>
                    <w:right w:val="none" w:sz="0" w:space="0" w:color="auto"/>
                  </w:divBdr>
                </w:div>
                <w:div w:id="948975459">
                  <w:marLeft w:val="0"/>
                  <w:marRight w:val="0"/>
                  <w:marTop w:val="0"/>
                  <w:marBottom w:val="0"/>
                  <w:divBdr>
                    <w:top w:val="none" w:sz="0" w:space="0" w:color="auto"/>
                    <w:left w:val="none" w:sz="0" w:space="0" w:color="auto"/>
                    <w:bottom w:val="none" w:sz="0" w:space="0" w:color="auto"/>
                    <w:right w:val="none" w:sz="0" w:space="0" w:color="auto"/>
                  </w:divBdr>
                </w:div>
                <w:div w:id="1973365516">
                  <w:marLeft w:val="0"/>
                  <w:marRight w:val="0"/>
                  <w:marTop w:val="0"/>
                  <w:marBottom w:val="0"/>
                  <w:divBdr>
                    <w:top w:val="none" w:sz="0" w:space="0" w:color="auto"/>
                    <w:left w:val="none" w:sz="0" w:space="0" w:color="auto"/>
                    <w:bottom w:val="none" w:sz="0" w:space="0" w:color="auto"/>
                    <w:right w:val="none" w:sz="0" w:space="0" w:color="auto"/>
                  </w:divBdr>
                </w:div>
                <w:div w:id="172115291">
                  <w:marLeft w:val="0"/>
                  <w:marRight w:val="0"/>
                  <w:marTop w:val="0"/>
                  <w:marBottom w:val="0"/>
                  <w:divBdr>
                    <w:top w:val="none" w:sz="0" w:space="0" w:color="auto"/>
                    <w:left w:val="none" w:sz="0" w:space="0" w:color="auto"/>
                    <w:bottom w:val="none" w:sz="0" w:space="0" w:color="auto"/>
                    <w:right w:val="none" w:sz="0" w:space="0" w:color="auto"/>
                  </w:divBdr>
                </w:div>
                <w:div w:id="1245527062">
                  <w:marLeft w:val="0"/>
                  <w:marRight w:val="0"/>
                  <w:marTop w:val="0"/>
                  <w:marBottom w:val="0"/>
                  <w:divBdr>
                    <w:top w:val="none" w:sz="0" w:space="0" w:color="auto"/>
                    <w:left w:val="none" w:sz="0" w:space="0" w:color="auto"/>
                    <w:bottom w:val="none" w:sz="0" w:space="0" w:color="auto"/>
                    <w:right w:val="none" w:sz="0" w:space="0" w:color="auto"/>
                  </w:divBdr>
                </w:div>
                <w:div w:id="515197254">
                  <w:marLeft w:val="0"/>
                  <w:marRight w:val="0"/>
                  <w:marTop w:val="0"/>
                  <w:marBottom w:val="0"/>
                  <w:divBdr>
                    <w:top w:val="none" w:sz="0" w:space="0" w:color="auto"/>
                    <w:left w:val="none" w:sz="0" w:space="0" w:color="auto"/>
                    <w:bottom w:val="none" w:sz="0" w:space="0" w:color="auto"/>
                    <w:right w:val="none" w:sz="0" w:space="0" w:color="auto"/>
                  </w:divBdr>
                </w:div>
                <w:div w:id="381175787">
                  <w:marLeft w:val="0"/>
                  <w:marRight w:val="0"/>
                  <w:marTop w:val="0"/>
                  <w:marBottom w:val="0"/>
                  <w:divBdr>
                    <w:top w:val="none" w:sz="0" w:space="0" w:color="auto"/>
                    <w:left w:val="none" w:sz="0" w:space="0" w:color="auto"/>
                    <w:bottom w:val="none" w:sz="0" w:space="0" w:color="auto"/>
                    <w:right w:val="none" w:sz="0" w:space="0" w:color="auto"/>
                  </w:divBdr>
                </w:div>
                <w:div w:id="686637370">
                  <w:marLeft w:val="0"/>
                  <w:marRight w:val="0"/>
                  <w:marTop w:val="0"/>
                  <w:marBottom w:val="0"/>
                  <w:divBdr>
                    <w:top w:val="none" w:sz="0" w:space="0" w:color="auto"/>
                    <w:left w:val="none" w:sz="0" w:space="0" w:color="auto"/>
                    <w:bottom w:val="none" w:sz="0" w:space="0" w:color="auto"/>
                    <w:right w:val="none" w:sz="0" w:space="0" w:color="auto"/>
                  </w:divBdr>
                </w:div>
                <w:div w:id="2010256539">
                  <w:marLeft w:val="0"/>
                  <w:marRight w:val="0"/>
                  <w:marTop w:val="0"/>
                  <w:marBottom w:val="0"/>
                  <w:divBdr>
                    <w:top w:val="none" w:sz="0" w:space="0" w:color="auto"/>
                    <w:left w:val="none" w:sz="0" w:space="0" w:color="auto"/>
                    <w:bottom w:val="none" w:sz="0" w:space="0" w:color="auto"/>
                    <w:right w:val="none" w:sz="0" w:space="0" w:color="auto"/>
                  </w:divBdr>
                </w:div>
                <w:div w:id="2110343776">
                  <w:marLeft w:val="0"/>
                  <w:marRight w:val="0"/>
                  <w:marTop w:val="0"/>
                  <w:marBottom w:val="0"/>
                  <w:divBdr>
                    <w:top w:val="none" w:sz="0" w:space="0" w:color="auto"/>
                    <w:left w:val="none" w:sz="0" w:space="0" w:color="auto"/>
                    <w:bottom w:val="none" w:sz="0" w:space="0" w:color="auto"/>
                    <w:right w:val="none" w:sz="0" w:space="0" w:color="auto"/>
                  </w:divBdr>
                </w:div>
                <w:div w:id="1702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677691">
      <w:bodyDiv w:val="1"/>
      <w:marLeft w:val="0"/>
      <w:marRight w:val="0"/>
      <w:marTop w:val="0"/>
      <w:marBottom w:val="0"/>
      <w:divBdr>
        <w:top w:val="none" w:sz="0" w:space="0" w:color="auto"/>
        <w:left w:val="none" w:sz="0" w:space="0" w:color="auto"/>
        <w:bottom w:val="none" w:sz="0" w:space="0" w:color="auto"/>
        <w:right w:val="none" w:sz="0" w:space="0" w:color="auto"/>
      </w:divBdr>
    </w:div>
    <w:div w:id="788932827">
      <w:bodyDiv w:val="1"/>
      <w:marLeft w:val="0"/>
      <w:marRight w:val="0"/>
      <w:marTop w:val="0"/>
      <w:marBottom w:val="0"/>
      <w:divBdr>
        <w:top w:val="none" w:sz="0" w:space="0" w:color="auto"/>
        <w:left w:val="none" w:sz="0" w:space="0" w:color="auto"/>
        <w:bottom w:val="none" w:sz="0" w:space="0" w:color="auto"/>
        <w:right w:val="none" w:sz="0" w:space="0" w:color="auto"/>
      </w:divBdr>
      <w:divsChild>
        <w:div w:id="1558281892">
          <w:marLeft w:val="0"/>
          <w:marRight w:val="0"/>
          <w:marTop w:val="0"/>
          <w:marBottom w:val="0"/>
          <w:divBdr>
            <w:top w:val="none" w:sz="0" w:space="0" w:color="auto"/>
            <w:left w:val="none" w:sz="0" w:space="0" w:color="auto"/>
            <w:bottom w:val="none" w:sz="0" w:space="0" w:color="auto"/>
            <w:right w:val="none" w:sz="0" w:space="0" w:color="auto"/>
          </w:divBdr>
        </w:div>
        <w:div w:id="303586350">
          <w:marLeft w:val="0"/>
          <w:marRight w:val="0"/>
          <w:marTop w:val="0"/>
          <w:marBottom w:val="0"/>
          <w:divBdr>
            <w:top w:val="none" w:sz="0" w:space="0" w:color="auto"/>
            <w:left w:val="none" w:sz="0" w:space="0" w:color="auto"/>
            <w:bottom w:val="none" w:sz="0" w:space="0" w:color="auto"/>
            <w:right w:val="none" w:sz="0" w:space="0" w:color="auto"/>
          </w:divBdr>
        </w:div>
        <w:div w:id="1687097185">
          <w:marLeft w:val="0"/>
          <w:marRight w:val="0"/>
          <w:marTop w:val="0"/>
          <w:marBottom w:val="0"/>
          <w:divBdr>
            <w:top w:val="none" w:sz="0" w:space="0" w:color="auto"/>
            <w:left w:val="none" w:sz="0" w:space="0" w:color="auto"/>
            <w:bottom w:val="none" w:sz="0" w:space="0" w:color="auto"/>
            <w:right w:val="none" w:sz="0" w:space="0" w:color="auto"/>
          </w:divBdr>
        </w:div>
        <w:div w:id="362826332">
          <w:marLeft w:val="0"/>
          <w:marRight w:val="0"/>
          <w:marTop w:val="0"/>
          <w:marBottom w:val="0"/>
          <w:divBdr>
            <w:top w:val="none" w:sz="0" w:space="0" w:color="auto"/>
            <w:left w:val="none" w:sz="0" w:space="0" w:color="auto"/>
            <w:bottom w:val="none" w:sz="0" w:space="0" w:color="auto"/>
            <w:right w:val="none" w:sz="0" w:space="0" w:color="auto"/>
          </w:divBdr>
        </w:div>
        <w:div w:id="927347527">
          <w:marLeft w:val="0"/>
          <w:marRight w:val="0"/>
          <w:marTop w:val="0"/>
          <w:marBottom w:val="0"/>
          <w:divBdr>
            <w:top w:val="none" w:sz="0" w:space="0" w:color="auto"/>
            <w:left w:val="none" w:sz="0" w:space="0" w:color="auto"/>
            <w:bottom w:val="none" w:sz="0" w:space="0" w:color="auto"/>
            <w:right w:val="none" w:sz="0" w:space="0" w:color="auto"/>
          </w:divBdr>
        </w:div>
      </w:divsChild>
    </w:div>
    <w:div w:id="1151095869">
      <w:bodyDiv w:val="1"/>
      <w:marLeft w:val="0"/>
      <w:marRight w:val="0"/>
      <w:marTop w:val="0"/>
      <w:marBottom w:val="0"/>
      <w:divBdr>
        <w:top w:val="none" w:sz="0" w:space="0" w:color="auto"/>
        <w:left w:val="none" w:sz="0" w:space="0" w:color="auto"/>
        <w:bottom w:val="none" w:sz="0" w:space="0" w:color="auto"/>
        <w:right w:val="none" w:sz="0" w:space="0" w:color="auto"/>
      </w:divBdr>
      <w:divsChild>
        <w:div w:id="1961522874">
          <w:marLeft w:val="0"/>
          <w:marRight w:val="0"/>
          <w:marTop w:val="0"/>
          <w:marBottom w:val="0"/>
          <w:divBdr>
            <w:top w:val="none" w:sz="0" w:space="0" w:color="auto"/>
            <w:left w:val="none" w:sz="0" w:space="0" w:color="auto"/>
            <w:bottom w:val="none" w:sz="0" w:space="0" w:color="auto"/>
            <w:right w:val="none" w:sz="0" w:space="0" w:color="auto"/>
          </w:divBdr>
        </w:div>
        <w:div w:id="1628197800">
          <w:marLeft w:val="0"/>
          <w:marRight w:val="0"/>
          <w:marTop w:val="0"/>
          <w:marBottom w:val="0"/>
          <w:divBdr>
            <w:top w:val="none" w:sz="0" w:space="0" w:color="auto"/>
            <w:left w:val="none" w:sz="0" w:space="0" w:color="auto"/>
            <w:bottom w:val="none" w:sz="0" w:space="0" w:color="auto"/>
            <w:right w:val="none" w:sz="0" w:space="0" w:color="auto"/>
          </w:divBdr>
        </w:div>
        <w:div w:id="1873615632">
          <w:marLeft w:val="0"/>
          <w:marRight w:val="0"/>
          <w:marTop w:val="0"/>
          <w:marBottom w:val="0"/>
          <w:divBdr>
            <w:top w:val="none" w:sz="0" w:space="0" w:color="auto"/>
            <w:left w:val="none" w:sz="0" w:space="0" w:color="auto"/>
            <w:bottom w:val="none" w:sz="0" w:space="0" w:color="auto"/>
            <w:right w:val="none" w:sz="0" w:space="0" w:color="auto"/>
          </w:divBdr>
        </w:div>
        <w:div w:id="1339696619">
          <w:marLeft w:val="0"/>
          <w:marRight w:val="0"/>
          <w:marTop w:val="0"/>
          <w:marBottom w:val="0"/>
          <w:divBdr>
            <w:top w:val="none" w:sz="0" w:space="0" w:color="auto"/>
            <w:left w:val="none" w:sz="0" w:space="0" w:color="auto"/>
            <w:bottom w:val="none" w:sz="0" w:space="0" w:color="auto"/>
            <w:right w:val="none" w:sz="0" w:space="0" w:color="auto"/>
          </w:divBdr>
        </w:div>
      </w:divsChild>
    </w:div>
    <w:div w:id="1425564448">
      <w:bodyDiv w:val="1"/>
      <w:marLeft w:val="0"/>
      <w:marRight w:val="0"/>
      <w:marTop w:val="0"/>
      <w:marBottom w:val="0"/>
      <w:divBdr>
        <w:top w:val="none" w:sz="0" w:space="0" w:color="auto"/>
        <w:left w:val="none" w:sz="0" w:space="0" w:color="auto"/>
        <w:bottom w:val="none" w:sz="0" w:space="0" w:color="auto"/>
        <w:right w:val="none" w:sz="0" w:space="0" w:color="auto"/>
      </w:divBdr>
    </w:div>
    <w:div w:id="1526603286">
      <w:bodyDiv w:val="1"/>
      <w:marLeft w:val="0"/>
      <w:marRight w:val="0"/>
      <w:marTop w:val="0"/>
      <w:marBottom w:val="0"/>
      <w:divBdr>
        <w:top w:val="none" w:sz="0" w:space="0" w:color="auto"/>
        <w:left w:val="none" w:sz="0" w:space="0" w:color="auto"/>
        <w:bottom w:val="none" w:sz="0" w:space="0" w:color="auto"/>
        <w:right w:val="none" w:sz="0" w:space="0" w:color="auto"/>
      </w:divBdr>
    </w:div>
    <w:div w:id="1690528504">
      <w:bodyDiv w:val="1"/>
      <w:marLeft w:val="0"/>
      <w:marRight w:val="0"/>
      <w:marTop w:val="0"/>
      <w:marBottom w:val="0"/>
      <w:divBdr>
        <w:top w:val="none" w:sz="0" w:space="0" w:color="auto"/>
        <w:left w:val="none" w:sz="0" w:space="0" w:color="auto"/>
        <w:bottom w:val="none" w:sz="0" w:space="0" w:color="auto"/>
        <w:right w:val="none" w:sz="0" w:space="0" w:color="auto"/>
      </w:divBdr>
      <w:divsChild>
        <w:div w:id="258411524">
          <w:marLeft w:val="0"/>
          <w:marRight w:val="0"/>
          <w:marTop w:val="0"/>
          <w:marBottom w:val="0"/>
          <w:divBdr>
            <w:top w:val="none" w:sz="0" w:space="0" w:color="auto"/>
            <w:left w:val="none" w:sz="0" w:space="0" w:color="auto"/>
            <w:bottom w:val="none" w:sz="0" w:space="0" w:color="auto"/>
            <w:right w:val="none" w:sz="0" w:space="0" w:color="auto"/>
          </w:divBdr>
        </w:div>
        <w:div w:id="190190807">
          <w:marLeft w:val="0"/>
          <w:marRight w:val="0"/>
          <w:marTop w:val="0"/>
          <w:marBottom w:val="0"/>
          <w:divBdr>
            <w:top w:val="none" w:sz="0" w:space="0" w:color="auto"/>
            <w:left w:val="none" w:sz="0" w:space="0" w:color="auto"/>
            <w:bottom w:val="none" w:sz="0" w:space="0" w:color="auto"/>
            <w:right w:val="none" w:sz="0" w:space="0" w:color="auto"/>
          </w:divBdr>
        </w:div>
        <w:div w:id="95904020">
          <w:marLeft w:val="0"/>
          <w:marRight w:val="0"/>
          <w:marTop w:val="0"/>
          <w:marBottom w:val="0"/>
          <w:divBdr>
            <w:top w:val="none" w:sz="0" w:space="0" w:color="auto"/>
            <w:left w:val="none" w:sz="0" w:space="0" w:color="auto"/>
            <w:bottom w:val="none" w:sz="0" w:space="0" w:color="auto"/>
            <w:right w:val="none" w:sz="0" w:space="0" w:color="auto"/>
          </w:divBdr>
        </w:div>
        <w:div w:id="1495411716">
          <w:marLeft w:val="0"/>
          <w:marRight w:val="0"/>
          <w:marTop w:val="0"/>
          <w:marBottom w:val="0"/>
          <w:divBdr>
            <w:top w:val="none" w:sz="0" w:space="0" w:color="auto"/>
            <w:left w:val="none" w:sz="0" w:space="0" w:color="auto"/>
            <w:bottom w:val="none" w:sz="0" w:space="0" w:color="auto"/>
            <w:right w:val="none" w:sz="0" w:space="0" w:color="auto"/>
          </w:divBdr>
        </w:div>
        <w:div w:id="282688896">
          <w:marLeft w:val="0"/>
          <w:marRight w:val="0"/>
          <w:marTop w:val="0"/>
          <w:marBottom w:val="0"/>
          <w:divBdr>
            <w:top w:val="none" w:sz="0" w:space="0" w:color="auto"/>
            <w:left w:val="none" w:sz="0" w:space="0" w:color="auto"/>
            <w:bottom w:val="none" w:sz="0" w:space="0" w:color="auto"/>
            <w:right w:val="none" w:sz="0" w:space="0" w:color="auto"/>
          </w:divBdr>
        </w:div>
        <w:div w:id="1939215315">
          <w:marLeft w:val="0"/>
          <w:marRight w:val="0"/>
          <w:marTop w:val="0"/>
          <w:marBottom w:val="0"/>
          <w:divBdr>
            <w:top w:val="none" w:sz="0" w:space="0" w:color="auto"/>
            <w:left w:val="none" w:sz="0" w:space="0" w:color="auto"/>
            <w:bottom w:val="none" w:sz="0" w:space="0" w:color="auto"/>
            <w:right w:val="none" w:sz="0" w:space="0" w:color="auto"/>
          </w:divBdr>
        </w:div>
        <w:div w:id="1284077743">
          <w:marLeft w:val="0"/>
          <w:marRight w:val="0"/>
          <w:marTop w:val="0"/>
          <w:marBottom w:val="0"/>
          <w:divBdr>
            <w:top w:val="none" w:sz="0" w:space="0" w:color="auto"/>
            <w:left w:val="none" w:sz="0" w:space="0" w:color="auto"/>
            <w:bottom w:val="none" w:sz="0" w:space="0" w:color="auto"/>
            <w:right w:val="none" w:sz="0" w:space="0" w:color="auto"/>
          </w:divBdr>
        </w:div>
        <w:div w:id="1095054252">
          <w:marLeft w:val="0"/>
          <w:marRight w:val="0"/>
          <w:marTop w:val="0"/>
          <w:marBottom w:val="0"/>
          <w:divBdr>
            <w:top w:val="none" w:sz="0" w:space="0" w:color="auto"/>
            <w:left w:val="none" w:sz="0" w:space="0" w:color="auto"/>
            <w:bottom w:val="none" w:sz="0" w:space="0" w:color="auto"/>
            <w:right w:val="none" w:sz="0" w:space="0" w:color="auto"/>
          </w:divBdr>
        </w:div>
        <w:div w:id="1797068625">
          <w:marLeft w:val="0"/>
          <w:marRight w:val="0"/>
          <w:marTop w:val="0"/>
          <w:marBottom w:val="0"/>
          <w:divBdr>
            <w:top w:val="none" w:sz="0" w:space="0" w:color="auto"/>
            <w:left w:val="none" w:sz="0" w:space="0" w:color="auto"/>
            <w:bottom w:val="none" w:sz="0" w:space="0" w:color="auto"/>
            <w:right w:val="none" w:sz="0" w:space="0" w:color="auto"/>
          </w:divBdr>
        </w:div>
        <w:div w:id="422803014">
          <w:marLeft w:val="0"/>
          <w:marRight w:val="0"/>
          <w:marTop w:val="0"/>
          <w:marBottom w:val="0"/>
          <w:divBdr>
            <w:top w:val="none" w:sz="0" w:space="0" w:color="auto"/>
            <w:left w:val="none" w:sz="0" w:space="0" w:color="auto"/>
            <w:bottom w:val="none" w:sz="0" w:space="0" w:color="auto"/>
            <w:right w:val="none" w:sz="0" w:space="0" w:color="auto"/>
          </w:divBdr>
        </w:div>
        <w:div w:id="2097703506">
          <w:marLeft w:val="0"/>
          <w:marRight w:val="0"/>
          <w:marTop w:val="0"/>
          <w:marBottom w:val="0"/>
          <w:divBdr>
            <w:top w:val="none" w:sz="0" w:space="0" w:color="auto"/>
            <w:left w:val="none" w:sz="0" w:space="0" w:color="auto"/>
            <w:bottom w:val="none" w:sz="0" w:space="0" w:color="auto"/>
            <w:right w:val="none" w:sz="0" w:space="0" w:color="auto"/>
          </w:divBdr>
        </w:div>
        <w:div w:id="1704480709">
          <w:marLeft w:val="0"/>
          <w:marRight w:val="0"/>
          <w:marTop w:val="0"/>
          <w:marBottom w:val="0"/>
          <w:divBdr>
            <w:top w:val="none" w:sz="0" w:space="0" w:color="auto"/>
            <w:left w:val="none" w:sz="0" w:space="0" w:color="auto"/>
            <w:bottom w:val="none" w:sz="0" w:space="0" w:color="auto"/>
            <w:right w:val="none" w:sz="0" w:space="0" w:color="auto"/>
          </w:divBdr>
        </w:div>
        <w:div w:id="1569801997">
          <w:marLeft w:val="0"/>
          <w:marRight w:val="0"/>
          <w:marTop w:val="0"/>
          <w:marBottom w:val="0"/>
          <w:divBdr>
            <w:top w:val="none" w:sz="0" w:space="0" w:color="auto"/>
            <w:left w:val="none" w:sz="0" w:space="0" w:color="auto"/>
            <w:bottom w:val="none" w:sz="0" w:space="0" w:color="auto"/>
            <w:right w:val="none" w:sz="0" w:space="0" w:color="auto"/>
          </w:divBdr>
        </w:div>
      </w:divsChild>
    </w:div>
    <w:div w:id="1845170201">
      <w:bodyDiv w:val="1"/>
      <w:marLeft w:val="0"/>
      <w:marRight w:val="0"/>
      <w:marTop w:val="0"/>
      <w:marBottom w:val="0"/>
      <w:divBdr>
        <w:top w:val="none" w:sz="0" w:space="0" w:color="auto"/>
        <w:left w:val="none" w:sz="0" w:space="0" w:color="auto"/>
        <w:bottom w:val="none" w:sz="0" w:space="0" w:color="auto"/>
        <w:right w:val="none" w:sz="0" w:space="0" w:color="auto"/>
      </w:divBdr>
      <w:divsChild>
        <w:div w:id="298993194">
          <w:marLeft w:val="0"/>
          <w:marRight w:val="0"/>
          <w:marTop w:val="0"/>
          <w:marBottom w:val="0"/>
          <w:divBdr>
            <w:top w:val="none" w:sz="0" w:space="0" w:color="auto"/>
            <w:left w:val="none" w:sz="0" w:space="0" w:color="auto"/>
            <w:bottom w:val="none" w:sz="0" w:space="0" w:color="auto"/>
            <w:right w:val="none" w:sz="0" w:space="0" w:color="auto"/>
          </w:divBdr>
        </w:div>
        <w:div w:id="336077172">
          <w:marLeft w:val="0"/>
          <w:marRight w:val="0"/>
          <w:marTop w:val="0"/>
          <w:marBottom w:val="0"/>
          <w:divBdr>
            <w:top w:val="none" w:sz="0" w:space="0" w:color="auto"/>
            <w:left w:val="none" w:sz="0" w:space="0" w:color="auto"/>
            <w:bottom w:val="none" w:sz="0" w:space="0" w:color="auto"/>
            <w:right w:val="none" w:sz="0" w:space="0" w:color="auto"/>
          </w:divBdr>
          <w:divsChild>
            <w:div w:id="212523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1DF767-1656-40F6-A335-4DFEB767E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3948</Words>
  <Characters>22505</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2025-01-27T15:11:00Z</dcterms:created>
  <dcterms:modified xsi:type="dcterms:W3CDTF">2025-02-19T15:22:00Z</dcterms:modified>
</cp:coreProperties>
</file>