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1B01F" w14:textId="2158C0A2" w:rsidR="00D56668" w:rsidRDefault="00345BB4" w:rsidP="00186571">
      <w:pPr>
        <w:spacing w:line="480" w:lineRule="auto"/>
        <w:rPr>
          <w:sz w:val="48"/>
          <w:szCs w:val="48"/>
        </w:rPr>
      </w:pPr>
      <w:r>
        <w:rPr>
          <w:noProof/>
        </w:rPr>
        <w:drawing>
          <wp:inline distT="0" distB="0" distL="0" distR="0" wp14:anchorId="37926C4D" wp14:editId="07519CF8">
            <wp:extent cx="2531745" cy="1320800"/>
            <wp:effectExtent l="0" t="0" r="1905" b="0"/>
            <wp:docPr id="2"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31745" cy="1320800"/>
                    </a:xfrm>
                    <a:prstGeom prst="rect">
                      <a:avLst/>
                    </a:prstGeom>
                  </pic:spPr>
                </pic:pic>
              </a:graphicData>
            </a:graphic>
          </wp:inline>
        </w:drawing>
      </w:r>
    </w:p>
    <w:p w14:paraId="493E9038" w14:textId="77777777" w:rsidR="00D56668" w:rsidRDefault="00D56668" w:rsidP="00186571">
      <w:pPr>
        <w:spacing w:line="480" w:lineRule="auto"/>
        <w:jc w:val="center"/>
        <w:rPr>
          <w:sz w:val="48"/>
          <w:szCs w:val="48"/>
        </w:rPr>
      </w:pPr>
    </w:p>
    <w:p w14:paraId="002F9109" w14:textId="77777777" w:rsidR="000E366B" w:rsidRPr="00524CC3" w:rsidRDefault="000E366B" w:rsidP="00186571">
      <w:pPr>
        <w:spacing w:line="480" w:lineRule="auto"/>
        <w:jc w:val="center"/>
        <w:rPr>
          <w:rFonts w:ascii="Arial" w:hAnsi="Arial" w:cs="Arial"/>
          <w:sz w:val="52"/>
          <w:szCs w:val="52"/>
        </w:rPr>
      </w:pPr>
      <w:r w:rsidRPr="00524CC3">
        <w:rPr>
          <w:rFonts w:ascii="Arial" w:hAnsi="Arial" w:cs="Arial"/>
          <w:sz w:val="52"/>
          <w:szCs w:val="52"/>
        </w:rPr>
        <w:t>Trusts Law</w:t>
      </w:r>
    </w:p>
    <w:p w14:paraId="3BDBADD5" w14:textId="77777777" w:rsidR="00B056EE" w:rsidRPr="00345BB4" w:rsidRDefault="00C558CC" w:rsidP="00186571">
      <w:pPr>
        <w:spacing w:line="480" w:lineRule="auto"/>
        <w:jc w:val="center"/>
        <w:rPr>
          <w:rFonts w:ascii="Arial" w:hAnsi="Arial" w:cs="Arial"/>
          <w:bCs/>
          <w:sz w:val="52"/>
          <w:szCs w:val="52"/>
        </w:rPr>
      </w:pPr>
      <w:r w:rsidRPr="00345BB4">
        <w:rPr>
          <w:rFonts w:ascii="Arial" w:hAnsi="Arial" w:cs="Arial"/>
          <w:bCs/>
          <w:sz w:val="52"/>
          <w:szCs w:val="52"/>
        </w:rPr>
        <w:t xml:space="preserve">Lecture Handout </w:t>
      </w:r>
    </w:p>
    <w:p w14:paraId="75A89A9F" w14:textId="6B603FAC" w:rsidR="00FA26DA" w:rsidRDefault="00E714F5" w:rsidP="00186571">
      <w:pPr>
        <w:spacing w:line="480" w:lineRule="auto"/>
        <w:jc w:val="center"/>
        <w:rPr>
          <w:rFonts w:ascii="Arial" w:hAnsi="Arial" w:cs="Arial"/>
          <w:bCs/>
          <w:sz w:val="52"/>
          <w:szCs w:val="52"/>
        </w:rPr>
      </w:pPr>
      <w:r w:rsidRPr="00345BB4">
        <w:rPr>
          <w:rFonts w:ascii="Arial" w:hAnsi="Arial" w:cs="Arial"/>
          <w:bCs/>
          <w:sz w:val="52"/>
          <w:szCs w:val="52"/>
        </w:rPr>
        <w:t>Epiphany</w:t>
      </w:r>
      <w:r w:rsidR="00B056EE" w:rsidRPr="00345BB4">
        <w:rPr>
          <w:rFonts w:ascii="Arial" w:hAnsi="Arial" w:cs="Arial"/>
          <w:bCs/>
          <w:sz w:val="52"/>
          <w:szCs w:val="52"/>
        </w:rPr>
        <w:t xml:space="preserve"> Term </w:t>
      </w:r>
      <w:r w:rsidR="000D2494" w:rsidRPr="00345BB4">
        <w:rPr>
          <w:rFonts w:ascii="Arial" w:hAnsi="Arial" w:cs="Arial"/>
          <w:bCs/>
          <w:sz w:val="52"/>
          <w:szCs w:val="52"/>
        </w:rPr>
        <w:t xml:space="preserve">Week </w:t>
      </w:r>
      <w:r w:rsidR="00670B4F" w:rsidRPr="00345BB4">
        <w:rPr>
          <w:rFonts w:ascii="Arial" w:hAnsi="Arial" w:cs="Arial"/>
          <w:bCs/>
          <w:sz w:val="52"/>
          <w:szCs w:val="52"/>
        </w:rPr>
        <w:t>1</w:t>
      </w:r>
      <w:r w:rsidR="00345BB4" w:rsidRPr="00345BB4">
        <w:rPr>
          <w:rFonts w:ascii="Arial" w:hAnsi="Arial" w:cs="Arial"/>
          <w:bCs/>
          <w:sz w:val="52"/>
          <w:szCs w:val="52"/>
        </w:rPr>
        <w:t>5</w:t>
      </w:r>
    </w:p>
    <w:p w14:paraId="4EDD6CEE" w14:textId="56A6DEF7" w:rsidR="00345BB4" w:rsidRPr="00345BB4" w:rsidRDefault="00345BB4" w:rsidP="00186571">
      <w:pPr>
        <w:spacing w:line="480" w:lineRule="auto"/>
        <w:jc w:val="center"/>
        <w:rPr>
          <w:rFonts w:ascii="Arial" w:hAnsi="Arial" w:cs="Arial"/>
          <w:b/>
          <w:sz w:val="52"/>
          <w:szCs w:val="52"/>
        </w:rPr>
      </w:pPr>
      <w:r w:rsidRPr="00345BB4">
        <w:rPr>
          <w:rFonts w:ascii="Arial" w:hAnsi="Arial" w:cs="Arial"/>
          <w:b/>
          <w:sz w:val="52"/>
          <w:szCs w:val="52"/>
        </w:rPr>
        <w:t>Tracing (I)</w:t>
      </w:r>
    </w:p>
    <w:p w14:paraId="75D37567" w14:textId="1EACDA8F" w:rsidR="00345BB4" w:rsidRDefault="00345BB4" w:rsidP="00345BB4">
      <w:pPr>
        <w:spacing w:line="480" w:lineRule="auto"/>
        <w:jc w:val="center"/>
        <w:rPr>
          <w:rFonts w:ascii="Arial" w:hAnsi="Arial" w:cs="Arial"/>
          <w:sz w:val="52"/>
          <w:szCs w:val="52"/>
        </w:rPr>
      </w:pPr>
      <w:r>
        <w:rPr>
          <w:rFonts w:ascii="Arial" w:hAnsi="Arial" w:cs="Arial"/>
          <w:sz w:val="52"/>
          <w:szCs w:val="52"/>
        </w:rPr>
        <w:t>202</w:t>
      </w:r>
      <w:r w:rsidR="00D8798A">
        <w:rPr>
          <w:rFonts w:ascii="Arial" w:hAnsi="Arial" w:cs="Arial"/>
          <w:sz w:val="52"/>
          <w:szCs w:val="52"/>
        </w:rPr>
        <w:t>4</w:t>
      </w:r>
      <w:r>
        <w:rPr>
          <w:rFonts w:ascii="Arial" w:hAnsi="Arial" w:cs="Arial"/>
          <w:sz w:val="52"/>
          <w:szCs w:val="52"/>
        </w:rPr>
        <w:t>/2</w:t>
      </w:r>
      <w:r w:rsidR="00D8798A">
        <w:rPr>
          <w:rFonts w:ascii="Arial" w:hAnsi="Arial" w:cs="Arial"/>
          <w:sz w:val="52"/>
          <w:szCs w:val="52"/>
        </w:rPr>
        <w:t>5</w:t>
      </w:r>
    </w:p>
    <w:p w14:paraId="4C4BF6FD" w14:textId="77777777" w:rsidR="00345BB4" w:rsidRDefault="00345BB4" w:rsidP="00345BB4">
      <w:pPr>
        <w:spacing w:line="480" w:lineRule="auto"/>
        <w:jc w:val="center"/>
        <w:rPr>
          <w:rFonts w:ascii="Arial" w:hAnsi="Arial" w:cs="Arial"/>
          <w:sz w:val="52"/>
          <w:szCs w:val="52"/>
        </w:rPr>
      </w:pPr>
      <w:r w:rsidRPr="44FD698F">
        <w:rPr>
          <w:rFonts w:ascii="Arial" w:hAnsi="Arial" w:cs="Arial"/>
          <w:sz w:val="52"/>
          <w:szCs w:val="52"/>
        </w:rPr>
        <w:t>Dr Johanna Jacques</w:t>
      </w:r>
    </w:p>
    <w:p w14:paraId="343D5D9F" w14:textId="77777777" w:rsidR="00345BB4" w:rsidRDefault="00345BB4" w:rsidP="048DB87F">
      <w:pPr>
        <w:spacing w:line="480" w:lineRule="auto"/>
        <w:jc w:val="center"/>
        <w:rPr>
          <w:rFonts w:ascii="Arial" w:hAnsi="Arial" w:cs="Arial"/>
          <w:sz w:val="52"/>
          <w:szCs w:val="52"/>
        </w:rPr>
      </w:pPr>
    </w:p>
    <w:p w14:paraId="452CC547" w14:textId="684974D7" w:rsidR="00E714F5" w:rsidRDefault="00E714F5" w:rsidP="7C1F4E7F">
      <w:pPr>
        <w:spacing w:after="200" w:line="276" w:lineRule="auto"/>
        <w:rPr>
          <w:rFonts w:ascii="Arial" w:eastAsia="Arial" w:hAnsi="Arial" w:cs="Arial"/>
          <w:sz w:val="24"/>
          <w:szCs w:val="24"/>
        </w:rPr>
      </w:pPr>
      <w:r w:rsidRPr="7C1F4E7F">
        <w:rPr>
          <w:rFonts w:ascii="Arial" w:hAnsi="Arial" w:cs="Arial"/>
          <w:b/>
          <w:bCs/>
          <w:sz w:val="24"/>
          <w:szCs w:val="24"/>
        </w:rPr>
        <w:br w:type="page"/>
      </w:r>
    </w:p>
    <w:p w14:paraId="41469B6B" w14:textId="098695BF" w:rsidR="00177ED8" w:rsidRPr="00630854" w:rsidRDefault="00B056EE" w:rsidP="00186571">
      <w:pPr>
        <w:pStyle w:val="ListParagraph"/>
        <w:numPr>
          <w:ilvl w:val="0"/>
          <w:numId w:val="2"/>
        </w:numPr>
        <w:spacing w:line="480" w:lineRule="auto"/>
        <w:jc w:val="both"/>
        <w:rPr>
          <w:rFonts w:ascii="Arial" w:hAnsi="Arial" w:cs="Arial"/>
          <w:b/>
          <w:sz w:val="24"/>
          <w:szCs w:val="24"/>
        </w:rPr>
      </w:pPr>
      <w:r>
        <w:rPr>
          <w:rFonts w:ascii="Arial" w:hAnsi="Arial" w:cs="Arial"/>
          <w:b/>
          <w:sz w:val="24"/>
          <w:szCs w:val="24"/>
        </w:rPr>
        <w:lastRenderedPageBreak/>
        <w:t>Reading</w:t>
      </w:r>
    </w:p>
    <w:p w14:paraId="58D684BF" w14:textId="77777777" w:rsidR="00012F82" w:rsidRDefault="00012F82" w:rsidP="00012F82">
      <w:pPr>
        <w:pStyle w:val="paragraph"/>
        <w:spacing w:before="0" w:beforeAutospacing="0" w:after="0" w:afterAutospacing="0" w:line="480" w:lineRule="auto"/>
        <w:jc w:val="both"/>
        <w:textAlignment w:val="baseline"/>
        <w:rPr>
          <w:rFonts w:ascii="Calibri" w:hAnsi="Calibri" w:cs="Calibri"/>
          <w:sz w:val="22"/>
          <w:szCs w:val="22"/>
        </w:rPr>
      </w:pPr>
      <w:r>
        <w:rPr>
          <w:rStyle w:val="normaltextrun"/>
          <w:rFonts w:ascii="Arial" w:hAnsi="Arial" w:cs="Arial"/>
          <w:sz w:val="22"/>
          <w:szCs w:val="22"/>
          <w:u w:val="single"/>
        </w:rPr>
        <w:t>I – Essential and further reading</w:t>
      </w:r>
      <w:r>
        <w:rPr>
          <w:rStyle w:val="eop"/>
          <w:rFonts w:ascii="Arial" w:hAnsi="Arial" w:cs="Arial"/>
          <w:sz w:val="22"/>
          <w:szCs w:val="22"/>
        </w:rPr>
        <w:t> </w:t>
      </w:r>
    </w:p>
    <w:p w14:paraId="38AF65E2" w14:textId="77777777" w:rsidR="00012F82" w:rsidRDefault="00012F82" w:rsidP="00012F82">
      <w:pPr>
        <w:pStyle w:val="paragraph"/>
        <w:spacing w:before="0" w:beforeAutospacing="0" w:after="0" w:afterAutospacing="0" w:line="480" w:lineRule="auto"/>
        <w:jc w:val="both"/>
        <w:textAlignment w:val="baseline"/>
        <w:rPr>
          <w:rFonts w:ascii="Calibri" w:hAnsi="Calibri" w:cs="Calibri"/>
          <w:sz w:val="22"/>
          <w:szCs w:val="22"/>
        </w:rPr>
      </w:pPr>
      <w:r>
        <w:rPr>
          <w:rStyle w:val="normaltextrun"/>
          <w:rFonts w:ascii="Arial" w:hAnsi="Arial" w:cs="Arial"/>
          <w:sz w:val="22"/>
          <w:szCs w:val="22"/>
        </w:rPr>
        <w:t>For essential and further (‘seminar’) reading, please see the Reading List feature on Learn Ultra.</w:t>
      </w:r>
      <w:r>
        <w:rPr>
          <w:rStyle w:val="eop"/>
          <w:rFonts w:ascii="Arial" w:hAnsi="Arial" w:cs="Arial"/>
          <w:sz w:val="22"/>
          <w:szCs w:val="22"/>
        </w:rPr>
        <w:t> </w:t>
      </w:r>
    </w:p>
    <w:p w14:paraId="3BE4686B" w14:textId="1FD3C128" w:rsidR="00012F82" w:rsidRDefault="00012F82" w:rsidP="00012F82">
      <w:pPr>
        <w:pStyle w:val="paragraph"/>
        <w:spacing w:before="0" w:beforeAutospacing="0" w:after="0" w:afterAutospacing="0" w:line="480" w:lineRule="auto"/>
        <w:jc w:val="both"/>
        <w:textAlignment w:val="baseline"/>
        <w:rPr>
          <w:rFonts w:ascii="Calibri" w:hAnsi="Calibri" w:cs="Calibri"/>
          <w:sz w:val="22"/>
          <w:szCs w:val="22"/>
        </w:rPr>
      </w:pPr>
    </w:p>
    <w:p w14:paraId="44869821" w14:textId="77777777" w:rsidR="00012F82" w:rsidRDefault="00012F82" w:rsidP="00012F82">
      <w:pPr>
        <w:pStyle w:val="paragraph"/>
        <w:spacing w:before="0" w:beforeAutospacing="0" w:after="0" w:afterAutospacing="0" w:line="480" w:lineRule="auto"/>
        <w:jc w:val="both"/>
        <w:textAlignment w:val="baseline"/>
        <w:rPr>
          <w:rFonts w:ascii="Calibri" w:hAnsi="Calibri" w:cs="Calibri"/>
          <w:sz w:val="22"/>
          <w:szCs w:val="22"/>
        </w:rPr>
      </w:pPr>
      <w:r>
        <w:rPr>
          <w:rStyle w:val="normaltextrun"/>
          <w:rFonts w:ascii="Arial" w:hAnsi="Arial" w:cs="Arial"/>
          <w:sz w:val="22"/>
          <w:szCs w:val="22"/>
          <w:u w:val="single"/>
        </w:rPr>
        <w:t>II - Cases</w:t>
      </w:r>
      <w:r>
        <w:rPr>
          <w:rStyle w:val="eop"/>
          <w:rFonts w:ascii="Arial" w:hAnsi="Arial" w:cs="Arial"/>
          <w:sz w:val="22"/>
          <w:szCs w:val="22"/>
        </w:rPr>
        <w:t> </w:t>
      </w:r>
    </w:p>
    <w:p w14:paraId="4A1FFFAF" w14:textId="6F836CD7" w:rsidR="6C9B0034" w:rsidRPr="00012F82" w:rsidRDefault="00AB107B" w:rsidP="00186571">
      <w:pPr>
        <w:pStyle w:val="ListParagraph"/>
        <w:numPr>
          <w:ilvl w:val="0"/>
          <w:numId w:val="3"/>
        </w:numPr>
        <w:spacing w:after="120" w:line="480" w:lineRule="auto"/>
        <w:jc w:val="both"/>
      </w:pPr>
      <w:r w:rsidRPr="00012F82">
        <w:rPr>
          <w:rFonts w:ascii="Arial" w:eastAsia="Calibri" w:hAnsi="Arial" w:cs="Arial"/>
          <w:i/>
          <w:lang w:eastAsia="en-GB"/>
        </w:rPr>
        <w:t>Foskett v McKeown</w:t>
      </w:r>
      <w:r w:rsidRPr="00012F82">
        <w:rPr>
          <w:rFonts w:ascii="Arial" w:eastAsia="Calibri" w:hAnsi="Arial" w:cs="Arial"/>
          <w:lang w:eastAsia="en-GB"/>
        </w:rPr>
        <w:t xml:space="preserve"> [2001] 1 AC 102</w:t>
      </w:r>
    </w:p>
    <w:p w14:paraId="3CB840E2" w14:textId="255940B5" w:rsidR="6C9B0034" w:rsidRPr="00012F82" w:rsidRDefault="00254B89" w:rsidP="00254B89">
      <w:pPr>
        <w:pStyle w:val="ListParagraph"/>
        <w:numPr>
          <w:ilvl w:val="0"/>
          <w:numId w:val="3"/>
        </w:numPr>
        <w:spacing w:line="480" w:lineRule="auto"/>
        <w:jc w:val="both"/>
        <w:rPr>
          <w:rFonts w:ascii="Arial" w:eastAsia="Calibri" w:hAnsi="Arial" w:cs="Arial"/>
          <w:lang w:bidi="en-US"/>
        </w:rPr>
      </w:pPr>
      <w:r w:rsidRPr="00012F82">
        <w:rPr>
          <w:rFonts w:ascii="Arial" w:eastAsia="Calibri" w:hAnsi="Arial" w:cs="Arial"/>
          <w:i/>
          <w:lang w:bidi="en-US"/>
        </w:rPr>
        <w:t>Bishopsgate Investment Management Ltd (BIM) v Homan</w:t>
      </w:r>
      <w:r w:rsidRPr="00012F82">
        <w:rPr>
          <w:rFonts w:ascii="Arial" w:eastAsia="Calibri" w:hAnsi="Arial" w:cs="Arial"/>
          <w:lang w:bidi="en-US"/>
        </w:rPr>
        <w:t xml:space="preserve"> [1995] Ch 211</w:t>
      </w:r>
    </w:p>
    <w:p w14:paraId="6C142942" w14:textId="57871F16" w:rsidR="00254B89" w:rsidRPr="00012F82" w:rsidRDefault="00254B89" w:rsidP="00254B89">
      <w:pPr>
        <w:pStyle w:val="ListParagraph"/>
        <w:numPr>
          <w:ilvl w:val="0"/>
          <w:numId w:val="3"/>
        </w:numPr>
        <w:spacing w:line="480" w:lineRule="auto"/>
        <w:jc w:val="both"/>
        <w:rPr>
          <w:rFonts w:ascii="Arial" w:eastAsia="Calibri" w:hAnsi="Arial" w:cs="Arial"/>
          <w:lang w:bidi="en-US"/>
        </w:rPr>
      </w:pPr>
      <w:r w:rsidRPr="00012F82">
        <w:rPr>
          <w:rFonts w:ascii="Arial" w:eastAsia="Calibri" w:hAnsi="Arial" w:cs="Arial"/>
          <w:i/>
          <w:lang w:bidi="en-US"/>
        </w:rPr>
        <w:t>Federal Republic of Brazil v Durant International Corp</w:t>
      </w:r>
      <w:r w:rsidRPr="00012F82">
        <w:rPr>
          <w:rFonts w:ascii="Arial" w:eastAsia="Calibri" w:hAnsi="Arial" w:cs="Arial"/>
          <w:lang w:bidi="en-US"/>
        </w:rPr>
        <w:t xml:space="preserve"> [2015] UKPC 35</w:t>
      </w:r>
    </w:p>
    <w:p w14:paraId="75C07258" w14:textId="73A47A87" w:rsidR="00254B89" w:rsidRPr="00012F82" w:rsidRDefault="00254B89" w:rsidP="00254B89">
      <w:pPr>
        <w:pStyle w:val="ListParagraph"/>
        <w:numPr>
          <w:ilvl w:val="0"/>
          <w:numId w:val="3"/>
        </w:numPr>
        <w:spacing w:line="480" w:lineRule="auto"/>
        <w:jc w:val="both"/>
        <w:rPr>
          <w:rFonts w:ascii="Arial" w:eastAsia="Calibri" w:hAnsi="Arial" w:cs="Arial"/>
          <w:lang w:eastAsia="en-GB"/>
        </w:rPr>
      </w:pPr>
      <w:r w:rsidRPr="00012F82">
        <w:rPr>
          <w:rFonts w:ascii="Arial" w:eastAsia="Calibri" w:hAnsi="Arial" w:cs="Arial"/>
          <w:i/>
          <w:lang w:eastAsia="en-GB"/>
        </w:rPr>
        <w:t xml:space="preserve">Re Diplock </w:t>
      </w:r>
      <w:r w:rsidRPr="00012F82">
        <w:rPr>
          <w:rFonts w:ascii="Arial" w:eastAsia="Calibri" w:hAnsi="Arial" w:cs="Arial"/>
          <w:lang w:eastAsia="en-GB"/>
        </w:rPr>
        <w:t>[1948] 3 All ER 215</w:t>
      </w:r>
    </w:p>
    <w:p w14:paraId="07FD7EF0" w14:textId="77777777" w:rsidR="00254B89" w:rsidRPr="00FB76C1" w:rsidRDefault="00254B89" w:rsidP="00186571">
      <w:pPr>
        <w:spacing w:line="480" w:lineRule="auto"/>
        <w:jc w:val="both"/>
        <w:rPr>
          <w:rFonts w:ascii="Arial" w:hAnsi="Arial" w:cs="Arial"/>
          <w:u w:val="single"/>
        </w:rPr>
      </w:pPr>
    </w:p>
    <w:p w14:paraId="04DDF4E2" w14:textId="758D9152" w:rsidR="69F57826" w:rsidRPr="00670B4F" w:rsidRDefault="69F57826" w:rsidP="00345BB4">
      <w:pPr>
        <w:spacing w:line="480" w:lineRule="auto"/>
        <w:jc w:val="both"/>
        <w:rPr>
          <w:rFonts w:ascii="Arial" w:hAnsi="Arial" w:cs="Arial"/>
          <w:highlight w:val="green"/>
        </w:rPr>
      </w:pPr>
    </w:p>
    <w:p w14:paraId="02264E40" w14:textId="77777777" w:rsidR="00155607" w:rsidRDefault="00155607" w:rsidP="00186571">
      <w:pPr>
        <w:spacing w:line="480" w:lineRule="auto"/>
        <w:rPr>
          <w:rFonts w:ascii="Calibri" w:eastAsia="Times New Roman" w:hAnsi="Calibri" w:cs="Arial"/>
          <w:b/>
          <w:bCs/>
          <w:iCs/>
          <w:sz w:val="28"/>
          <w:szCs w:val="28"/>
          <w:highlight w:val="green"/>
          <w:lang w:bidi="en-US"/>
        </w:rPr>
      </w:pPr>
      <w:bookmarkStart w:id="0" w:name="_Toc367975301"/>
      <w:bookmarkStart w:id="1" w:name="_Toc431462977"/>
      <w:r>
        <w:rPr>
          <w:rFonts w:ascii="Calibri" w:eastAsia="Times New Roman" w:hAnsi="Calibri" w:cs="Arial"/>
          <w:b/>
          <w:bCs/>
          <w:iCs/>
          <w:sz w:val="28"/>
          <w:szCs w:val="28"/>
          <w:highlight w:val="green"/>
          <w:lang w:bidi="en-US"/>
        </w:rPr>
        <w:br w:type="page"/>
      </w:r>
    </w:p>
    <w:p w14:paraId="1A570B97" w14:textId="66F87934" w:rsidR="00670B4F" w:rsidRPr="00D136BD" w:rsidRDefault="00345BB4" w:rsidP="00D136BD">
      <w:pPr>
        <w:pStyle w:val="ListParagraph"/>
        <w:numPr>
          <w:ilvl w:val="0"/>
          <w:numId w:val="2"/>
        </w:numPr>
        <w:spacing w:line="480" w:lineRule="auto"/>
        <w:jc w:val="both"/>
        <w:rPr>
          <w:rFonts w:ascii="Arial" w:hAnsi="Arial" w:cs="Arial"/>
          <w:b/>
          <w:sz w:val="24"/>
          <w:szCs w:val="24"/>
        </w:rPr>
      </w:pPr>
      <w:r>
        <w:rPr>
          <w:rFonts w:ascii="Arial" w:hAnsi="Arial" w:cs="Arial"/>
          <w:b/>
          <w:sz w:val="24"/>
          <w:szCs w:val="24"/>
        </w:rPr>
        <w:lastRenderedPageBreak/>
        <w:t>Tracing (I)</w:t>
      </w:r>
    </w:p>
    <w:p w14:paraId="04FD98FF" w14:textId="1A7203C0" w:rsidR="00F14151" w:rsidRPr="00F14151" w:rsidRDefault="00F14151" w:rsidP="3197FF2D">
      <w:pPr>
        <w:spacing w:after="120" w:line="480" w:lineRule="auto"/>
        <w:jc w:val="both"/>
        <w:rPr>
          <w:rFonts w:ascii="Arial" w:eastAsia="Times New Roman" w:hAnsi="Arial" w:cs="Arial"/>
          <w:u w:val="single"/>
          <w:lang w:bidi="en-US"/>
        </w:rPr>
      </w:pPr>
      <w:r w:rsidRPr="00F14151">
        <w:rPr>
          <w:rFonts w:ascii="Arial" w:eastAsia="Times New Roman" w:hAnsi="Arial" w:cs="Arial"/>
          <w:u w:val="single"/>
          <w:lang w:bidi="en-US"/>
        </w:rPr>
        <w:t>I – Introduction</w:t>
      </w:r>
    </w:p>
    <w:p w14:paraId="186459A1" w14:textId="51AD6B63" w:rsidR="00670B4F" w:rsidRPr="008E0CFD" w:rsidRDefault="3197FF2D" w:rsidP="3197FF2D">
      <w:pPr>
        <w:spacing w:after="120" w:line="480" w:lineRule="auto"/>
        <w:jc w:val="both"/>
        <w:rPr>
          <w:rFonts w:ascii="Arial" w:eastAsia="Times New Roman" w:hAnsi="Arial" w:cs="Arial"/>
          <w:lang w:bidi="en-US"/>
        </w:rPr>
      </w:pPr>
      <w:r w:rsidRPr="3197FF2D">
        <w:rPr>
          <w:rFonts w:ascii="Arial" w:eastAsia="Times New Roman" w:hAnsi="Arial" w:cs="Arial"/>
          <w:lang w:bidi="en-US"/>
        </w:rPr>
        <w:t xml:space="preserve">As we established last week, a breach of trust may be remedied in a number of ways, depending on the type of breach, its consequences, the nature of the property in question and the solvency of the parties involved. </w:t>
      </w:r>
      <w:r w:rsidR="00D53729">
        <w:rPr>
          <w:rFonts w:ascii="Arial" w:eastAsia="Times New Roman" w:hAnsi="Arial" w:cs="Arial"/>
          <w:lang w:bidi="en-US"/>
        </w:rPr>
        <w:t>Claims can be</w:t>
      </w:r>
      <w:r w:rsidRPr="3197FF2D">
        <w:rPr>
          <w:rFonts w:ascii="Arial" w:eastAsia="Times New Roman" w:hAnsi="Arial" w:cs="Arial"/>
          <w:lang w:bidi="en-US"/>
        </w:rPr>
        <w:t xml:space="preserve"> broadly grouped into three categories:</w:t>
      </w:r>
    </w:p>
    <w:p w14:paraId="5CCF2AB0" w14:textId="6B371D79" w:rsidR="00670B4F" w:rsidRPr="008E0CFD" w:rsidRDefault="00670B4F" w:rsidP="00186571">
      <w:pPr>
        <w:numPr>
          <w:ilvl w:val="0"/>
          <w:numId w:val="11"/>
        </w:numPr>
        <w:spacing w:after="120" w:line="480" w:lineRule="auto"/>
        <w:contextualSpacing/>
        <w:jc w:val="both"/>
        <w:rPr>
          <w:rFonts w:ascii="Arial" w:eastAsia="Times New Roman" w:hAnsi="Arial" w:cs="Arial"/>
          <w:bCs/>
          <w:iCs/>
          <w:lang w:bidi="en-US"/>
        </w:rPr>
      </w:pPr>
      <w:r w:rsidRPr="008E0CFD">
        <w:rPr>
          <w:rFonts w:ascii="Arial" w:eastAsia="Times New Roman" w:hAnsi="Arial" w:cs="Arial"/>
          <w:bCs/>
          <w:iCs/>
          <w:lang w:bidi="en-US"/>
        </w:rPr>
        <w:t>Personal claims against the trustee (</w:t>
      </w:r>
      <w:r w:rsidR="00D53729">
        <w:rPr>
          <w:rFonts w:ascii="Arial" w:eastAsia="Times New Roman" w:hAnsi="Arial" w:cs="Arial"/>
          <w:bCs/>
          <w:iCs/>
          <w:lang w:bidi="en-US"/>
        </w:rPr>
        <w:t xml:space="preserve">covered </w:t>
      </w:r>
      <w:r w:rsidRPr="008E0CFD">
        <w:rPr>
          <w:rFonts w:ascii="Arial" w:eastAsia="Times New Roman" w:hAnsi="Arial" w:cs="Arial"/>
          <w:bCs/>
          <w:iCs/>
          <w:lang w:bidi="en-US"/>
        </w:rPr>
        <w:t>last week</w:t>
      </w:r>
      <w:r w:rsidR="00D53729">
        <w:rPr>
          <w:rFonts w:ascii="Arial" w:eastAsia="Times New Roman" w:hAnsi="Arial" w:cs="Arial"/>
          <w:bCs/>
          <w:iCs/>
          <w:lang w:bidi="en-US"/>
        </w:rPr>
        <w:t xml:space="preserve"> – ‘Remedies for breach of non-fiduciary duties’</w:t>
      </w:r>
      <w:r w:rsidRPr="008E0CFD">
        <w:rPr>
          <w:rFonts w:ascii="Arial" w:eastAsia="Times New Roman" w:hAnsi="Arial" w:cs="Arial"/>
          <w:bCs/>
          <w:iCs/>
          <w:lang w:bidi="en-US"/>
        </w:rPr>
        <w:t>)</w:t>
      </w:r>
      <w:r w:rsidR="00D53729">
        <w:rPr>
          <w:rFonts w:ascii="Arial" w:eastAsia="Times New Roman" w:hAnsi="Arial" w:cs="Arial"/>
          <w:bCs/>
          <w:iCs/>
          <w:lang w:bidi="en-US"/>
        </w:rPr>
        <w:t>;</w:t>
      </w:r>
    </w:p>
    <w:p w14:paraId="12A57A6E" w14:textId="4EEB7FB6" w:rsidR="00670B4F" w:rsidRPr="008E0CFD" w:rsidRDefault="00670B4F" w:rsidP="00186571">
      <w:pPr>
        <w:numPr>
          <w:ilvl w:val="0"/>
          <w:numId w:val="11"/>
        </w:numPr>
        <w:spacing w:after="120" w:line="480" w:lineRule="auto"/>
        <w:contextualSpacing/>
        <w:jc w:val="both"/>
        <w:rPr>
          <w:rFonts w:ascii="Arial" w:eastAsia="Times New Roman" w:hAnsi="Arial" w:cs="Arial"/>
          <w:bCs/>
          <w:iCs/>
          <w:lang w:bidi="en-US"/>
        </w:rPr>
      </w:pPr>
      <w:r w:rsidRPr="008E0CFD">
        <w:rPr>
          <w:rFonts w:ascii="Arial" w:eastAsia="Times New Roman" w:hAnsi="Arial" w:cs="Arial"/>
          <w:bCs/>
          <w:iCs/>
          <w:lang w:bidi="en-US"/>
        </w:rPr>
        <w:t>Proprietary claims (this week and next</w:t>
      </w:r>
      <w:r w:rsidR="00D53729">
        <w:rPr>
          <w:rFonts w:ascii="Arial" w:eastAsia="Times New Roman" w:hAnsi="Arial" w:cs="Arial"/>
          <w:bCs/>
          <w:iCs/>
          <w:lang w:bidi="en-US"/>
        </w:rPr>
        <w:t xml:space="preserve"> – ‘Tracing (I)’ and ‘Tracing (II)’</w:t>
      </w:r>
      <w:r w:rsidRPr="008E0CFD">
        <w:rPr>
          <w:rFonts w:ascii="Arial" w:eastAsia="Times New Roman" w:hAnsi="Arial" w:cs="Arial"/>
          <w:bCs/>
          <w:iCs/>
          <w:lang w:bidi="en-US"/>
        </w:rPr>
        <w:t>)</w:t>
      </w:r>
      <w:r w:rsidR="00D53729">
        <w:rPr>
          <w:rFonts w:ascii="Arial" w:eastAsia="Times New Roman" w:hAnsi="Arial" w:cs="Arial"/>
          <w:bCs/>
          <w:iCs/>
          <w:lang w:bidi="en-US"/>
        </w:rPr>
        <w:t>;</w:t>
      </w:r>
    </w:p>
    <w:p w14:paraId="7156954A" w14:textId="3B8F54F1" w:rsidR="00670B4F" w:rsidRPr="008E0CFD" w:rsidRDefault="00670B4F" w:rsidP="00186571">
      <w:pPr>
        <w:numPr>
          <w:ilvl w:val="0"/>
          <w:numId w:val="11"/>
        </w:numPr>
        <w:spacing w:after="120" w:line="480" w:lineRule="auto"/>
        <w:contextualSpacing/>
        <w:jc w:val="both"/>
        <w:rPr>
          <w:rFonts w:ascii="Arial" w:eastAsia="Times New Roman" w:hAnsi="Arial" w:cs="Arial"/>
          <w:bCs/>
          <w:iCs/>
          <w:lang w:bidi="en-US"/>
        </w:rPr>
      </w:pPr>
      <w:r w:rsidRPr="008E0CFD">
        <w:rPr>
          <w:rFonts w:ascii="Arial" w:eastAsia="Times New Roman" w:hAnsi="Arial" w:cs="Arial"/>
          <w:bCs/>
          <w:iCs/>
          <w:lang w:bidi="en-US"/>
        </w:rPr>
        <w:t>Personal claim</w:t>
      </w:r>
      <w:r w:rsidR="006A57D3">
        <w:rPr>
          <w:rFonts w:ascii="Arial" w:eastAsia="Times New Roman" w:hAnsi="Arial" w:cs="Arial"/>
          <w:bCs/>
          <w:iCs/>
          <w:lang w:bidi="en-US"/>
        </w:rPr>
        <w:t>s against a third party (week</w:t>
      </w:r>
      <w:r w:rsidR="00D53729">
        <w:rPr>
          <w:rFonts w:ascii="Arial" w:eastAsia="Times New Roman" w:hAnsi="Arial" w:cs="Arial"/>
          <w:bCs/>
          <w:iCs/>
          <w:lang w:bidi="en-US"/>
        </w:rPr>
        <w:t>s 17 and 18 – ‘Dishonest Assistance’ and ‘Knowing Receipt’</w:t>
      </w:r>
      <w:r w:rsidRPr="008E0CFD">
        <w:rPr>
          <w:rFonts w:ascii="Arial" w:eastAsia="Times New Roman" w:hAnsi="Arial" w:cs="Arial"/>
          <w:bCs/>
          <w:iCs/>
          <w:lang w:bidi="en-US"/>
        </w:rPr>
        <w:t>)</w:t>
      </w:r>
      <w:r w:rsidR="00D53729">
        <w:rPr>
          <w:rFonts w:ascii="Arial" w:eastAsia="Times New Roman" w:hAnsi="Arial" w:cs="Arial"/>
          <w:bCs/>
          <w:iCs/>
          <w:lang w:bidi="en-US"/>
        </w:rPr>
        <w:t>.</w:t>
      </w:r>
    </w:p>
    <w:bookmarkEnd w:id="0"/>
    <w:bookmarkEnd w:id="1"/>
    <w:p w14:paraId="21AA3517" w14:textId="77777777" w:rsidR="00670B4F" w:rsidRPr="008E0CFD" w:rsidRDefault="00670B4F" w:rsidP="00186571">
      <w:pPr>
        <w:spacing w:after="120" w:line="480" w:lineRule="auto"/>
        <w:jc w:val="both"/>
        <w:rPr>
          <w:rFonts w:ascii="Arial" w:eastAsia="Calibri" w:hAnsi="Arial" w:cs="Arial"/>
          <w:b/>
          <w:lang w:eastAsia="en-GB"/>
        </w:rPr>
      </w:pPr>
    </w:p>
    <w:p w14:paraId="62551386" w14:textId="0733F990" w:rsidR="00790662" w:rsidRDefault="00790662" w:rsidP="00186571">
      <w:pPr>
        <w:spacing w:after="120" w:line="480" w:lineRule="auto"/>
        <w:jc w:val="both"/>
        <w:rPr>
          <w:rFonts w:ascii="Arial" w:eastAsia="Times New Roman" w:hAnsi="Arial" w:cs="Arial"/>
          <w:bCs/>
          <w:iCs/>
          <w:lang w:bidi="en-US"/>
        </w:rPr>
      </w:pPr>
      <w:r>
        <w:rPr>
          <w:rFonts w:ascii="Arial" w:eastAsia="Times New Roman" w:hAnsi="Arial" w:cs="Arial"/>
          <w:bCs/>
          <w:iCs/>
          <w:lang w:bidi="en-US"/>
        </w:rPr>
        <w:t>In contrast to a personal claim, a</w:t>
      </w:r>
      <w:r w:rsidR="00670B4F" w:rsidRPr="008E0CFD">
        <w:rPr>
          <w:rFonts w:ascii="Arial" w:eastAsia="Times New Roman" w:hAnsi="Arial" w:cs="Arial"/>
          <w:bCs/>
          <w:iCs/>
          <w:lang w:bidi="en-US"/>
        </w:rPr>
        <w:t xml:space="preserve"> proprietary claim asserts an ownership right against </w:t>
      </w:r>
      <w:r>
        <w:rPr>
          <w:rFonts w:ascii="Arial" w:eastAsia="Times New Roman" w:hAnsi="Arial" w:cs="Arial"/>
          <w:bCs/>
          <w:iCs/>
          <w:lang w:bidi="en-US"/>
        </w:rPr>
        <w:t xml:space="preserve">a </w:t>
      </w:r>
      <w:r w:rsidR="00670B4F" w:rsidRPr="008E0CFD">
        <w:rPr>
          <w:rFonts w:ascii="Arial" w:eastAsia="Times New Roman" w:hAnsi="Arial" w:cs="Arial"/>
          <w:bCs/>
          <w:iCs/>
          <w:lang w:bidi="en-US"/>
        </w:rPr>
        <w:t xml:space="preserve">specific </w:t>
      </w:r>
      <w:r>
        <w:rPr>
          <w:rFonts w:ascii="Arial" w:eastAsia="Times New Roman" w:hAnsi="Arial" w:cs="Arial"/>
          <w:bCs/>
          <w:iCs/>
          <w:lang w:bidi="en-US"/>
        </w:rPr>
        <w:t xml:space="preserve">object of </w:t>
      </w:r>
      <w:r w:rsidR="00670B4F" w:rsidRPr="008E0CFD">
        <w:rPr>
          <w:rFonts w:ascii="Arial" w:eastAsia="Times New Roman" w:hAnsi="Arial" w:cs="Arial"/>
          <w:bCs/>
          <w:iCs/>
          <w:lang w:bidi="en-US"/>
        </w:rPr>
        <w:t xml:space="preserve">property in the hands of another person. This does not have to be the same </w:t>
      </w:r>
      <w:r>
        <w:rPr>
          <w:rFonts w:ascii="Arial" w:eastAsia="Times New Roman" w:hAnsi="Arial" w:cs="Arial"/>
          <w:bCs/>
          <w:iCs/>
          <w:lang w:bidi="en-US"/>
        </w:rPr>
        <w:t>object</w:t>
      </w:r>
      <w:r w:rsidR="00670B4F" w:rsidRPr="008E0CFD">
        <w:rPr>
          <w:rFonts w:ascii="Arial" w:eastAsia="Times New Roman" w:hAnsi="Arial" w:cs="Arial"/>
          <w:bCs/>
          <w:iCs/>
          <w:lang w:bidi="en-US"/>
        </w:rPr>
        <w:t xml:space="preserve"> </w:t>
      </w:r>
      <w:r>
        <w:rPr>
          <w:rFonts w:ascii="Arial" w:eastAsia="Times New Roman" w:hAnsi="Arial" w:cs="Arial"/>
          <w:bCs/>
          <w:iCs/>
          <w:lang w:bidi="en-US"/>
        </w:rPr>
        <w:t xml:space="preserve">as that which </w:t>
      </w:r>
      <w:r w:rsidR="00670B4F" w:rsidRPr="008E0CFD">
        <w:rPr>
          <w:rFonts w:ascii="Arial" w:eastAsia="Times New Roman" w:hAnsi="Arial" w:cs="Arial"/>
          <w:bCs/>
          <w:iCs/>
          <w:lang w:bidi="en-US"/>
        </w:rPr>
        <w:t xml:space="preserve">the claimant owned originally, but </w:t>
      </w:r>
      <w:r>
        <w:rPr>
          <w:rFonts w:ascii="Arial" w:eastAsia="Times New Roman" w:hAnsi="Arial" w:cs="Arial"/>
          <w:bCs/>
          <w:iCs/>
          <w:lang w:bidi="en-US"/>
        </w:rPr>
        <w:t>it must be derivative of it</w:t>
      </w:r>
      <w:r w:rsidR="00670B4F" w:rsidRPr="008E0CFD">
        <w:rPr>
          <w:rFonts w:ascii="Arial" w:eastAsia="Times New Roman" w:hAnsi="Arial" w:cs="Arial"/>
          <w:bCs/>
          <w:iCs/>
          <w:lang w:bidi="en-US"/>
        </w:rPr>
        <w:t>.</w:t>
      </w:r>
      <w:r>
        <w:rPr>
          <w:rFonts w:ascii="Arial" w:eastAsia="Times New Roman" w:hAnsi="Arial" w:cs="Arial"/>
          <w:bCs/>
          <w:iCs/>
          <w:lang w:bidi="en-US"/>
        </w:rPr>
        <w:t xml:space="preserve"> Therefore, it is necessary to have a mechanism that establishes a link between the original object of property and that against which the claim is made. ‘Tracing’ as an area of law refers to the</w:t>
      </w:r>
      <w:r w:rsidRPr="00790662">
        <w:rPr>
          <w:rFonts w:ascii="Arial" w:eastAsia="Times New Roman" w:hAnsi="Arial" w:cs="Arial"/>
          <w:bCs/>
          <w:iCs/>
          <w:lang w:bidi="en-US"/>
        </w:rPr>
        <w:t xml:space="preserve"> evidential rules </w:t>
      </w:r>
      <w:r>
        <w:rPr>
          <w:rFonts w:ascii="Arial" w:eastAsia="Times New Roman" w:hAnsi="Arial" w:cs="Arial"/>
          <w:bCs/>
          <w:iCs/>
          <w:lang w:bidi="en-US"/>
        </w:rPr>
        <w:t xml:space="preserve">by which (the same or derivative) objects of property rights are identified through a series </w:t>
      </w:r>
      <w:r w:rsidR="00D253B0">
        <w:rPr>
          <w:rFonts w:ascii="Arial" w:eastAsia="Times New Roman" w:hAnsi="Arial" w:cs="Arial"/>
          <w:bCs/>
          <w:iCs/>
          <w:lang w:bidi="en-US"/>
        </w:rPr>
        <w:t xml:space="preserve">or chain </w:t>
      </w:r>
      <w:r>
        <w:rPr>
          <w:rFonts w:ascii="Arial" w:eastAsia="Times New Roman" w:hAnsi="Arial" w:cs="Arial"/>
          <w:bCs/>
          <w:iCs/>
          <w:lang w:bidi="en-US"/>
        </w:rPr>
        <w:t>of transactions</w:t>
      </w:r>
      <w:r w:rsidR="00D253B0">
        <w:rPr>
          <w:rFonts w:ascii="Arial" w:eastAsia="Times New Roman" w:hAnsi="Arial" w:cs="Arial"/>
          <w:bCs/>
          <w:iCs/>
          <w:lang w:bidi="en-US"/>
        </w:rPr>
        <w:t>, with the aim of enabling the claimant to claim property rights in these objects</w:t>
      </w:r>
      <w:r w:rsidRPr="00790662">
        <w:rPr>
          <w:rFonts w:ascii="Arial" w:eastAsia="Times New Roman" w:hAnsi="Arial" w:cs="Arial"/>
          <w:bCs/>
          <w:iCs/>
          <w:lang w:bidi="en-US"/>
        </w:rPr>
        <w:t>.</w:t>
      </w:r>
      <w:r w:rsidR="00D253B0">
        <w:rPr>
          <w:rFonts w:ascii="Arial" w:eastAsia="Times New Roman" w:hAnsi="Arial" w:cs="Arial"/>
          <w:bCs/>
          <w:iCs/>
          <w:lang w:bidi="en-US"/>
        </w:rPr>
        <w:t xml:space="preserve"> Note that the remedy associated with a property claim can either be personal (e.g., requiring the holder of the identified property to pay the claimant an amount of money equivalent to the value of the property) or proprietary (e.g., requiring the holder to transfer the property itself to the claimant).</w:t>
      </w:r>
    </w:p>
    <w:p w14:paraId="0F938390" w14:textId="77777777" w:rsidR="00790662" w:rsidRDefault="00790662" w:rsidP="00186571">
      <w:pPr>
        <w:spacing w:after="120" w:line="480" w:lineRule="auto"/>
        <w:jc w:val="both"/>
        <w:rPr>
          <w:rFonts w:ascii="Arial" w:eastAsia="Times New Roman" w:hAnsi="Arial" w:cs="Arial"/>
          <w:bCs/>
          <w:iCs/>
          <w:lang w:bidi="en-US"/>
        </w:rPr>
      </w:pPr>
    </w:p>
    <w:p w14:paraId="48A54F34" w14:textId="0E145DDD" w:rsidR="006A57D3" w:rsidRPr="006A57D3" w:rsidRDefault="006A57D3" w:rsidP="00186571">
      <w:pPr>
        <w:spacing w:after="120" w:line="480" w:lineRule="auto"/>
        <w:jc w:val="both"/>
        <w:rPr>
          <w:rFonts w:ascii="Arial" w:eastAsia="Times New Roman" w:hAnsi="Arial" w:cs="Arial"/>
          <w:bCs/>
          <w:iCs/>
          <w:lang w:bidi="en-US"/>
        </w:rPr>
      </w:pPr>
      <w:r w:rsidRPr="006A57D3">
        <w:rPr>
          <w:rFonts w:ascii="Arial" w:eastAsia="Times New Roman" w:hAnsi="Arial" w:cs="Arial"/>
          <w:bCs/>
          <w:iCs/>
          <w:lang w:bidi="en-US"/>
        </w:rPr>
        <w:t>What are the advantages of a proprietary</w:t>
      </w:r>
      <w:r>
        <w:rPr>
          <w:rFonts w:ascii="Arial" w:eastAsia="Times New Roman" w:hAnsi="Arial" w:cs="Arial"/>
          <w:bCs/>
          <w:iCs/>
          <w:lang w:bidi="en-US"/>
        </w:rPr>
        <w:t xml:space="preserve"> over a personal </w:t>
      </w:r>
      <w:r w:rsidR="00183760">
        <w:rPr>
          <w:rFonts w:ascii="Arial" w:eastAsia="Times New Roman" w:hAnsi="Arial" w:cs="Arial"/>
          <w:bCs/>
          <w:iCs/>
          <w:lang w:bidi="en-US"/>
        </w:rPr>
        <w:t>claim</w:t>
      </w:r>
      <w:r>
        <w:rPr>
          <w:rFonts w:ascii="Arial" w:eastAsia="Times New Roman" w:hAnsi="Arial" w:cs="Arial"/>
          <w:bCs/>
          <w:iCs/>
          <w:lang w:bidi="en-US"/>
        </w:rPr>
        <w:t>?</w:t>
      </w:r>
    </w:p>
    <w:p w14:paraId="14A204AA" w14:textId="43AC2FF0" w:rsidR="00183760" w:rsidRPr="00183760" w:rsidRDefault="00183760" w:rsidP="00186571">
      <w:pPr>
        <w:numPr>
          <w:ilvl w:val="0"/>
          <w:numId w:val="11"/>
        </w:numPr>
        <w:spacing w:after="120" w:line="480" w:lineRule="auto"/>
        <w:contextualSpacing/>
        <w:jc w:val="both"/>
        <w:rPr>
          <w:rFonts w:ascii="Arial" w:eastAsia="Times New Roman" w:hAnsi="Arial" w:cs="Arial"/>
          <w:bCs/>
          <w:iCs/>
          <w:lang w:bidi="en-US"/>
        </w:rPr>
      </w:pPr>
      <w:r w:rsidRPr="00183760">
        <w:rPr>
          <w:rFonts w:ascii="Arial" w:eastAsia="Times New Roman" w:hAnsi="Arial" w:cs="Arial"/>
          <w:b/>
          <w:iCs/>
          <w:lang w:bidi="en-US"/>
        </w:rPr>
        <w:t>No wrongdoing needs to be proved</w:t>
      </w:r>
      <w:r>
        <w:rPr>
          <w:rFonts w:ascii="Arial" w:eastAsia="Times New Roman" w:hAnsi="Arial" w:cs="Arial"/>
          <w:bCs/>
          <w:iCs/>
          <w:lang w:bidi="en-US"/>
        </w:rPr>
        <w:t xml:space="preserve">: The party against which a claim is made is often an innocent recipient of the property, but this does not </w:t>
      </w:r>
      <w:r w:rsidR="005B399E">
        <w:rPr>
          <w:rFonts w:ascii="Arial" w:eastAsia="Times New Roman" w:hAnsi="Arial" w:cs="Arial"/>
          <w:bCs/>
          <w:iCs/>
          <w:lang w:bidi="en-US"/>
        </w:rPr>
        <w:t xml:space="preserve">necessarily </w:t>
      </w:r>
      <w:r>
        <w:rPr>
          <w:rFonts w:ascii="Arial" w:eastAsia="Times New Roman" w:hAnsi="Arial" w:cs="Arial"/>
          <w:bCs/>
          <w:iCs/>
          <w:lang w:bidi="en-US"/>
        </w:rPr>
        <w:t xml:space="preserve">preclude a claim. </w:t>
      </w:r>
    </w:p>
    <w:p w14:paraId="4526454E" w14:textId="5EF484D4" w:rsidR="00B15B34" w:rsidRPr="00B15B34" w:rsidRDefault="00B15B34" w:rsidP="00186571">
      <w:pPr>
        <w:numPr>
          <w:ilvl w:val="0"/>
          <w:numId w:val="11"/>
        </w:numPr>
        <w:spacing w:after="120" w:line="480" w:lineRule="auto"/>
        <w:contextualSpacing/>
        <w:jc w:val="both"/>
        <w:rPr>
          <w:rFonts w:ascii="Arial" w:eastAsia="Times New Roman" w:hAnsi="Arial" w:cs="Arial"/>
          <w:bCs/>
          <w:iCs/>
          <w:lang w:bidi="en-US"/>
        </w:rPr>
      </w:pPr>
      <w:r w:rsidRPr="00B15B34">
        <w:rPr>
          <w:rFonts w:ascii="Arial" w:eastAsia="Times New Roman" w:hAnsi="Arial" w:cs="Arial"/>
          <w:b/>
          <w:iCs/>
          <w:lang w:bidi="en-US"/>
        </w:rPr>
        <w:lastRenderedPageBreak/>
        <w:t>A higher likelihood of successful recovery</w:t>
      </w:r>
      <w:r>
        <w:rPr>
          <w:rFonts w:ascii="Arial" w:eastAsia="Times New Roman" w:hAnsi="Arial" w:cs="Arial"/>
          <w:bCs/>
          <w:iCs/>
          <w:lang w:bidi="en-US"/>
        </w:rPr>
        <w:t>: Following the property or tracing its proceeds means it is more likely that a loss can be recovered.</w:t>
      </w:r>
    </w:p>
    <w:p w14:paraId="08DC4706" w14:textId="246B5846" w:rsidR="006A57D3" w:rsidRDefault="006A57D3" w:rsidP="00186571">
      <w:pPr>
        <w:numPr>
          <w:ilvl w:val="0"/>
          <w:numId w:val="11"/>
        </w:numPr>
        <w:spacing w:after="120" w:line="480" w:lineRule="auto"/>
        <w:contextualSpacing/>
        <w:jc w:val="both"/>
        <w:rPr>
          <w:rFonts w:ascii="Arial" w:eastAsia="Times New Roman" w:hAnsi="Arial" w:cs="Arial"/>
          <w:bCs/>
          <w:iCs/>
          <w:lang w:bidi="en-US"/>
        </w:rPr>
      </w:pPr>
      <w:r w:rsidRPr="006A57D3">
        <w:rPr>
          <w:rFonts w:ascii="Arial" w:eastAsia="Times New Roman" w:hAnsi="Arial" w:cs="Arial"/>
          <w:b/>
          <w:bCs/>
          <w:iCs/>
          <w:lang w:bidi="en-US"/>
        </w:rPr>
        <w:t>Recovering the specific property itself</w:t>
      </w:r>
      <w:r>
        <w:rPr>
          <w:rFonts w:ascii="Arial" w:eastAsia="Times New Roman" w:hAnsi="Arial" w:cs="Arial"/>
          <w:bCs/>
          <w:iCs/>
          <w:lang w:bidi="en-US"/>
        </w:rPr>
        <w:t>: I</w:t>
      </w:r>
      <w:r w:rsidRPr="006A57D3">
        <w:rPr>
          <w:rFonts w:ascii="Arial" w:eastAsia="Times New Roman" w:hAnsi="Arial" w:cs="Arial"/>
          <w:bCs/>
          <w:iCs/>
          <w:lang w:bidi="en-US"/>
        </w:rPr>
        <w:t xml:space="preserve">f the specific property still exists, a proprietary remedy can lead to </w:t>
      </w:r>
      <w:r>
        <w:rPr>
          <w:rFonts w:ascii="Arial" w:eastAsia="Times New Roman" w:hAnsi="Arial" w:cs="Arial"/>
          <w:bCs/>
          <w:iCs/>
          <w:lang w:bidi="en-US"/>
        </w:rPr>
        <w:t>its return.</w:t>
      </w:r>
    </w:p>
    <w:p w14:paraId="5E57B080" w14:textId="44DCE175" w:rsidR="00E826F4" w:rsidRPr="006A57D3" w:rsidRDefault="00E826F4" w:rsidP="00186571">
      <w:pPr>
        <w:numPr>
          <w:ilvl w:val="0"/>
          <w:numId w:val="11"/>
        </w:numPr>
        <w:spacing w:after="120" w:line="480" w:lineRule="auto"/>
        <w:contextualSpacing/>
        <w:jc w:val="both"/>
        <w:rPr>
          <w:rFonts w:ascii="Arial" w:eastAsia="Times New Roman" w:hAnsi="Arial" w:cs="Arial"/>
          <w:bCs/>
          <w:iCs/>
          <w:lang w:bidi="en-US"/>
        </w:rPr>
      </w:pPr>
      <w:r>
        <w:rPr>
          <w:rFonts w:ascii="Arial" w:eastAsia="Times New Roman" w:hAnsi="Arial" w:cs="Arial"/>
          <w:b/>
          <w:bCs/>
          <w:iCs/>
          <w:lang w:bidi="en-US"/>
        </w:rPr>
        <w:t>Availability of injunctions</w:t>
      </w:r>
      <w:r w:rsidRPr="00E826F4">
        <w:rPr>
          <w:rFonts w:ascii="Arial" w:eastAsia="Times New Roman" w:hAnsi="Arial" w:cs="Arial"/>
          <w:bCs/>
          <w:iCs/>
          <w:lang w:bidi="en-US"/>
        </w:rPr>
        <w:t>:</w:t>
      </w:r>
      <w:r>
        <w:rPr>
          <w:rFonts w:ascii="Arial" w:eastAsia="Times New Roman" w:hAnsi="Arial" w:cs="Arial"/>
          <w:bCs/>
          <w:iCs/>
          <w:lang w:bidi="en-US"/>
        </w:rPr>
        <w:t xml:space="preserve"> Claimants can apply to the court to have the assets frozen prior to the court hearing.</w:t>
      </w:r>
    </w:p>
    <w:p w14:paraId="03C94016" w14:textId="7126A33C" w:rsidR="006A57D3" w:rsidRPr="006A57D3" w:rsidRDefault="00BA7B6D" w:rsidP="00186571">
      <w:pPr>
        <w:numPr>
          <w:ilvl w:val="0"/>
          <w:numId w:val="11"/>
        </w:numPr>
        <w:spacing w:after="120" w:line="480" w:lineRule="auto"/>
        <w:contextualSpacing/>
        <w:jc w:val="both"/>
        <w:rPr>
          <w:rFonts w:ascii="Arial" w:eastAsia="Times New Roman" w:hAnsi="Arial" w:cs="Arial"/>
          <w:bCs/>
          <w:iCs/>
          <w:lang w:bidi="en-US"/>
        </w:rPr>
      </w:pPr>
      <w:r>
        <w:rPr>
          <w:rFonts w:ascii="Arial" w:eastAsia="Times New Roman" w:hAnsi="Arial" w:cs="Arial"/>
          <w:b/>
          <w:bCs/>
          <w:iCs/>
          <w:lang w:bidi="en-US"/>
        </w:rPr>
        <w:t>Priority on i</w:t>
      </w:r>
      <w:r w:rsidR="006A57D3" w:rsidRPr="006A57D3">
        <w:rPr>
          <w:rFonts w:ascii="Arial" w:eastAsia="Times New Roman" w:hAnsi="Arial" w:cs="Arial"/>
          <w:b/>
          <w:bCs/>
          <w:iCs/>
          <w:lang w:bidi="en-US"/>
        </w:rPr>
        <w:t>nsolvency</w:t>
      </w:r>
      <w:r w:rsidR="006A57D3">
        <w:rPr>
          <w:rFonts w:ascii="Arial" w:eastAsia="Times New Roman" w:hAnsi="Arial" w:cs="Arial"/>
          <w:bCs/>
          <w:iCs/>
          <w:lang w:bidi="en-US"/>
        </w:rPr>
        <w:t>: A</w:t>
      </w:r>
      <w:r w:rsidR="006A57D3" w:rsidRPr="006A57D3">
        <w:rPr>
          <w:rFonts w:ascii="Arial" w:eastAsia="Times New Roman" w:hAnsi="Arial" w:cs="Arial"/>
          <w:bCs/>
          <w:iCs/>
          <w:lang w:bidi="en-US"/>
        </w:rPr>
        <w:t xml:space="preserve"> proprietary remedy gives the claimant priority over general creditors if the </w:t>
      </w:r>
      <w:r w:rsidR="00022707">
        <w:rPr>
          <w:rFonts w:ascii="Arial" w:eastAsia="Times New Roman" w:hAnsi="Arial" w:cs="Arial"/>
          <w:bCs/>
          <w:iCs/>
          <w:lang w:bidi="en-US"/>
        </w:rPr>
        <w:t>person claimed against</w:t>
      </w:r>
      <w:r w:rsidR="006A57D3" w:rsidRPr="006A57D3">
        <w:rPr>
          <w:rFonts w:ascii="Arial" w:eastAsia="Times New Roman" w:hAnsi="Arial" w:cs="Arial"/>
          <w:bCs/>
          <w:iCs/>
          <w:lang w:bidi="en-US"/>
        </w:rPr>
        <w:t xml:space="preserve"> becomes insolvent (as the claim is against the property</w:t>
      </w:r>
      <w:r w:rsidR="006A57D3">
        <w:rPr>
          <w:rFonts w:ascii="Arial" w:eastAsia="Times New Roman" w:hAnsi="Arial" w:cs="Arial"/>
          <w:bCs/>
          <w:iCs/>
          <w:lang w:bidi="en-US"/>
        </w:rPr>
        <w:t>,</w:t>
      </w:r>
      <w:r w:rsidR="006A57D3" w:rsidRPr="006A57D3">
        <w:rPr>
          <w:rFonts w:ascii="Arial" w:eastAsia="Times New Roman" w:hAnsi="Arial" w:cs="Arial"/>
          <w:bCs/>
          <w:iCs/>
          <w:lang w:bidi="en-US"/>
        </w:rPr>
        <w:t xml:space="preserve"> not the person)</w:t>
      </w:r>
      <w:r w:rsidR="006A57D3">
        <w:rPr>
          <w:rFonts w:ascii="Arial" w:eastAsia="Times New Roman" w:hAnsi="Arial" w:cs="Arial"/>
          <w:bCs/>
          <w:iCs/>
          <w:lang w:bidi="en-US"/>
        </w:rPr>
        <w:t>.</w:t>
      </w:r>
    </w:p>
    <w:p w14:paraId="7ABD7EB0" w14:textId="218B4957" w:rsidR="00E826F4" w:rsidRPr="006F5F35" w:rsidRDefault="006A57D3" w:rsidP="00E826F4">
      <w:pPr>
        <w:numPr>
          <w:ilvl w:val="0"/>
          <w:numId w:val="11"/>
        </w:numPr>
        <w:spacing w:after="120" w:line="480" w:lineRule="auto"/>
        <w:contextualSpacing/>
        <w:jc w:val="both"/>
        <w:rPr>
          <w:rFonts w:ascii="Arial" w:eastAsia="Times New Roman" w:hAnsi="Arial" w:cs="Arial"/>
          <w:bCs/>
          <w:iCs/>
          <w:u w:val="single"/>
          <w:lang w:bidi="en-US"/>
        </w:rPr>
      </w:pPr>
      <w:r w:rsidRPr="006F5F35">
        <w:rPr>
          <w:rFonts w:ascii="Arial" w:eastAsia="Times New Roman" w:hAnsi="Arial" w:cs="Arial"/>
          <w:b/>
          <w:bCs/>
          <w:iCs/>
          <w:u w:val="single"/>
          <w:lang w:bidi="en-US"/>
        </w:rPr>
        <w:t>Increase in value and profits made</w:t>
      </w:r>
      <w:r w:rsidRPr="006F5F35">
        <w:rPr>
          <w:rFonts w:ascii="Arial" w:eastAsia="Times New Roman" w:hAnsi="Arial" w:cs="Arial"/>
          <w:bCs/>
          <w:iCs/>
          <w:u w:val="single"/>
          <w:lang w:bidi="en-US"/>
        </w:rPr>
        <w:t xml:space="preserve"> </w:t>
      </w:r>
      <w:r w:rsidR="00BA7B6D" w:rsidRPr="006F5F35">
        <w:rPr>
          <w:rFonts w:ascii="Arial" w:eastAsia="Times New Roman" w:hAnsi="Arial" w:cs="Arial"/>
          <w:b/>
          <w:iCs/>
          <w:u w:val="single"/>
          <w:lang w:bidi="en-US"/>
        </w:rPr>
        <w:t>can be recovered</w:t>
      </w:r>
      <w:r w:rsidRPr="006F5F35">
        <w:rPr>
          <w:rFonts w:ascii="Arial" w:eastAsia="Times New Roman" w:hAnsi="Arial" w:cs="Arial"/>
          <w:bCs/>
          <w:iCs/>
          <w:u w:val="single"/>
          <w:lang w:bidi="en-US"/>
        </w:rPr>
        <w:t>: If the trust asset misappropriated increases in value or was sold and generated profits, a proprietary remedy can access this increase in value.</w:t>
      </w:r>
    </w:p>
    <w:p w14:paraId="4FB7CC22" w14:textId="77777777" w:rsidR="00B15B34" w:rsidRDefault="00B15B34" w:rsidP="00186571">
      <w:pPr>
        <w:spacing w:after="120" w:line="480" w:lineRule="auto"/>
        <w:jc w:val="both"/>
        <w:rPr>
          <w:rFonts w:ascii="Arial" w:eastAsia="Times New Roman" w:hAnsi="Arial" w:cs="Arial"/>
          <w:bCs/>
          <w:iCs/>
          <w:lang w:bidi="en-US"/>
        </w:rPr>
      </w:pPr>
    </w:p>
    <w:p w14:paraId="319D4567" w14:textId="62F0BB41" w:rsidR="00D025CC" w:rsidRPr="00D025CC" w:rsidRDefault="00F14151" w:rsidP="00186571">
      <w:pPr>
        <w:spacing w:after="120" w:line="480" w:lineRule="auto"/>
        <w:jc w:val="both"/>
        <w:rPr>
          <w:rFonts w:ascii="Arial" w:eastAsia="Times New Roman" w:hAnsi="Arial" w:cs="Arial"/>
          <w:bCs/>
          <w:iCs/>
          <w:u w:val="single"/>
          <w:lang w:bidi="en-US"/>
        </w:rPr>
      </w:pPr>
      <w:r>
        <w:rPr>
          <w:rFonts w:ascii="Arial" w:eastAsia="Times New Roman" w:hAnsi="Arial" w:cs="Arial"/>
          <w:bCs/>
          <w:iCs/>
          <w:u w:val="single"/>
          <w:lang w:bidi="en-US"/>
        </w:rPr>
        <w:t xml:space="preserve">II – </w:t>
      </w:r>
      <w:r w:rsidR="00D025CC" w:rsidRPr="00D025CC">
        <w:rPr>
          <w:rFonts w:ascii="Arial" w:eastAsia="Times New Roman" w:hAnsi="Arial" w:cs="Arial"/>
          <w:bCs/>
          <w:iCs/>
          <w:u w:val="single"/>
          <w:lang w:bidi="en-US"/>
        </w:rPr>
        <w:t>The</w:t>
      </w:r>
      <w:r>
        <w:rPr>
          <w:rFonts w:ascii="Arial" w:eastAsia="Times New Roman" w:hAnsi="Arial" w:cs="Arial"/>
          <w:bCs/>
          <w:iCs/>
          <w:u w:val="single"/>
          <w:lang w:bidi="en-US"/>
        </w:rPr>
        <w:t xml:space="preserve"> </w:t>
      </w:r>
      <w:r w:rsidR="00D025CC" w:rsidRPr="00D025CC">
        <w:rPr>
          <w:rFonts w:ascii="Arial" w:eastAsia="Times New Roman" w:hAnsi="Arial" w:cs="Arial"/>
          <w:bCs/>
          <w:iCs/>
          <w:u w:val="single"/>
          <w:lang w:bidi="en-US"/>
        </w:rPr>
        <w:t>Structure</w:t>
      </w:r>
      <w:r>
        <w:rPr>
          <w:rFonts w:ascii="Arial" w:eastAsia="Times New Roman" w:hAnsi="Arial" w:cs="Arial"/>
          <w:bCs/>
          <w:iCs/>
          <w:u w:val="single"/>
          <w:lang w:bidi="en-US"/>
        </w:rPr>
        <w:t xml:space="preserve"> </w:t>
      </w:r>
      <w:r w:rsidR="00D025CC" w:rsidRPr="00D025CC">
        <w:rPr>
          <w:rFonts w:ascii="Arial" w:eastAsia="Times New Roman" w:hAnsi="Arial" w:cs="Arial"/>
          <w:bCs/>
          <w:iCs/>
          <w:u w:val="single"/>
          <w:lang w:bidi="en-US"/>
        </w:rPr>
        <w:t>of a proprietary claim</w:t>
      </w:r>
    </w:p>
    <w:p w14:paraId="5A5319B9" w14:textId="1AC5C314" w:rsidR="006A57D3" w:rsidRPr="006A57D3" w:rsidRDefault="6DE15883" w:rsidP="00186571">
      <w:pPr>
        <w:spacing w:after="120" w:line="480" w:lineRule="auto"/>
        <w:jc w:val="both"/>
        <w:rPr>
          <w:rFonts w:ascii="Arial" w:eastAsia="Times New Roman" w:hAnsi="Arial" w:cs="Arial"/>
          <w:bCs/>
          <w:iCs/>
          <w:lang w:bidi="en-US"/>
        </w:rPr>
      </w:pPr>
      <w:r w:rsidRPr="6DE15883">
        <w:rPr>
          <w:rFonts w:ascii="Arial" w:eastAsia="Times New Roman" w:hAnsi="Arial" w:cs="Arial"/>
          <w:lang w:bidi="en-US"/>
        </w:rPr>
        <w:t xml:space="preserve">How do you analyse a proprietary claim? The following framework may be helpful. It comprises four elements: </w:t>
      </w:r>
      <w:r w:rsidRPr="6DE15883">
        <w:rPr>
          <w:rFonts w:ascii="Arial" w:eastAsia="Times New Roman" w:hAnsi="Arial" w:cs="Arial"/>
          <w:b/>
          <w:bCs/>
          <w:lang w:bidi="en-US"/>
        </w:rPr>
        <w:t xml:space="preserve">Proprietary base </w:t>
      </w:r>
      <w:r w:rsidRPr="6DE15883">
        <w:rPr>
          <w:rFonts w:ascii="Wingdings" w:eastAsia="Wingdings" w:hAnsi="Wingdings" w:cs="Wingdings"/>
          <w:b/>
          <w:bCs/>
          <w:lang w:bidi="en-US"/>
        </w:rPr>
        <w:t></w:t>
      </w:r>
      <w:r w:rsidRPr="6DE15883">
        <w:rPr>
          <w:rFonts w:ascii="Arial" w:eastAsia="Times New Roman" w:hAnsi="Arial" w:cs="Arial"/>
          <w:b/>
          <w:bCs/>
          <w:lang w:bidi="en-US"/>
        </w:rPr>
        <w:t xml:space="preserve"> following or tracing </w:t>
      </w:r>
      <w:r w:rsidRPr="6DE15883">
        <w:rPr>
          <w:rFonts w:ascii="Wingdings" w:eastAsia="Wingdings" w:hAnsi="Wingdings" w:cs="Wingdings"/>
          <w:b/>
          <w:bCs/>
          <w:lang w:bidi="en-US"/>
        </w:rPr>
        <w:t></w:t>
      </w:r>
      <w:r w:rsidRPr="6DE15883">
        <w:rPr>
          <w:rFonts w:ascii="Arial" w:eastAsia="Times New Roman" w:hAnsi="Arial" w:cs="Arial"/>
          <w:b/>
          <w:bCs/>
          <w:lang w:bidi="en-US"/>
        </w:rPr>
        <w:t xml:space="preserve"> claiming and remedies </w:t>
      </w:r>
      <w:r w:rsidRPr="6DE15883">
        <w:rPr>
          <w:rFonts w:ascii="Wingdings" w:eastAsia="Wingdings" w:hAnsi="Wingdings" w:cs="Wingdings"/>
          <w:b/>
          <w:bCs/>
          <w:lang w:bidi="en-US"/>
        </w:rPr>
        <w:t></w:t>
      </w:r>
      <w:r w:rsidRPr="6DE15883">
        <w:rPr>
          <w:rFonts w:ascii="Arial" w:eastAsia="Times New Roman" w:hAnsi="Arial" w:cs="Arial"/>
          <w:b/>
          <w:bCs/>
          <w:lang w:bidi="en-US"/>
        </w:rPr>
        <w:t xml:space="preserve"> defences.</w:t>
      </w:r>
      <w:r w:rsidRPr="6DE15883">
        <w:rPr>
          <w:rFonts w:ascii="Arial" w:eastAsia="Times New Roman" w:hAnsi="Arial" w:cs="Arial"/>
          <w:lang w:bidi="en-US"/>
        </w:rPr>
        <w:t xml:space="preserve"> We will discuss these elements now, before turning to some specific tracing rules next week.</w:t>
      </w:r>
    </w:p>
    <w:p w14:paraId="284D2DF2" w14:textId="33148C24" w:rsidR="6DE15883" w:rsidRDefault="6DE15883" w:rsidP="6DE15883">
      <w:pPr>
        <w:spacing w:after="120" w:line="480" w:lineRule="auto"/>
        <w:jc w:val="both"/>
        <w:rPr>
          <w:rFonts w:ascii="Arial" w:eastAsia="Times New Roman" w:hAnsi="Arial" w:cs="Arial"/>
          <w:lang w:bidi="en-US"/>
        </w:rPr>
      </w:pPr>
    </w:p>
    <w:p w14:paraId="6B48DAE8" w14:textId="4358F579" w:rsidR="006A57D3" w:rsidRPr="00F14151" w:rsidRDefault="00F14151" w:rsidP="00186571">
      <w:pPr>
        <w:pStyle w:val="ListParagraph"/>
        <w:spacing w:after="120" w:line="480" w:lineRule="auto"/>
        <w:ind w:left="0"/>
        <w:jc w:val="both"/>
        <w:rPr>
          <w:rFonts w:ascii="Arial" w:eastAsia="Times New Roman" w:hAnsi="Arial" w:cs="Arial"/>
          <w:iCs/>
          <w:lang w:bidi="en-US"/>
        </w:rPr>
      </w:pPr>
      <w:r w:rsidRPr="00F14151">
        <w:rPr>
          <w:rFonts w:ascii="Arial" w:eastAsia="Times New Roman" w:hAnsi="Arial" w:cs="Arial"/>
          <w:iCs/>
          <w:lang w:bidi="en-US"/>
        </w:rPr>
        <w:t xml:space="preserve">a) </w:t>
      </w:r>
      <w:r w:rsidR="006A57D3" w:rsidRPr="00F14151">
        <w:rPr>
          <w:rFonts w:ascii="Arial" w:eastAsia="Times New Roman" w:hAnsi="Arial" w:cs="Arial"/>
          <w:iCs/>
          <w:lang w:bidi="en-US"/>
        </w:rPr>
        <w:t>Proprietary base</w:t>
      </w:r>
    </w:p>
    <w:p w14:paraId="3C46D559" w14:textId="467CD825" w:rsidR="006A57D3" w:rsidRPr="006A57D3" w:rsidRDefault="006A57D3" w:rsidP="00186571">
      <w:pPr>
        <w:spacing w:after="120" w:line="480" w:lineRule="auto"/>
        <w:jc w:val="both"/>
        <w:rPr>
          <w:rFonts w:ascii="Arial" w:eastAsia="Times New Roman" w:hAnsi="Arial" w:cs="Arial"/>
          <w:bCs/>
          <w:iCs/>
          <w:lang w:bidi="en-US"/>
        </w:rPr>
      </w:pPr>
      <w:r w:rsidRPr="006A57D3">
        <w:rPr>
          <w:rFonts w:ascii="Arial" w:eastAsia="Times New Roman" w:hAnsi="Arial" w:cs="Arial"/>
          <w:bCs/>
          <w:iCs/>
          <w:lang w:bidi="en-US"/>
        </w:rPr>
        <w:t>The claimant (party bringing the claim) must show that they have a proprietary interest in the misappropriated property if they want</w:t>
      </w:r>
      <w:r w:rsidR="00D025CC">
        <w:rPr>
          <w:rFonts w:ascii="Arial" w:eastAsia="Times New Roman" w:hAnsi="Arial" w:cs="Arial"/>
          <w:bCs/>
          <w:iCs/>
          <w:lang w:bidi="en-US"/>
        </w:rPr>
        <w:t xml:space="preserve"> to bring a proprietary claim. </w:t>
      </w:r>
      <w:r w:rsidR="004C486E">
        <w:rPr>
          <w:rFonts w:ascii="Arial" w:eastAsia="Times New Roman" w:hAnsi="Arial" w:cs="Arial"/>
          <w:bCs/>
          <w:iCs/>
          <w:lang w:bidi="en-US"/>
        </w:rPr>
        <w:t xml:space="preserve">This means that they must start off with a right in the property that prevails against </w:t>
      </w:r>
      <w:r w:rsidR="003B44BA">
        <w:rPr>
          <w:rFonts w:ascii="Arial" w:eastAsia="Times New Roman" w:hAnsi="Arial" w:cs="Arial"/>
          <w:bCs/>
          <w:iCs/>
          <w:lang w:bidi="en-US"/>
        </w:rPr>
        <w:t>the world at large rather than merely against specific persons</w:t>
      </w:r>
      <w:r w:rsidR="004C486E">
        <w:rPr>
          <w:rFonts w:ascii="Arial" w:eastAsia="Times New Roman" w:hAnsi="Arial" w:cs="Arial"/>
          <w:bCs/>
          <w:iCs/>
          <w:lang w:bidi="en-US"/>
        </w:rPr>
        <w:t xml:space="preserve"> (for example, my ownership of </w:t>
      </w:r>
      <w:r w:rsidR="003B44BA">
        <w:rPr>
          <w:rFonts w:ascii="Arial" w:eastAsia="Times New Roman" w:hAnsi="Arial" w:cs="Arial"/>
          <w:bCs/>
          <w:iCs/>
          <w:lang w:bidi="en-US"/>
        </w:rPr>
        <w:t>my car</w:t>
      </w:r>
      <w:r w:rsidR="004C486E">
        <w:rPr>
          <w:rFonts w:ascii="Arial" w:eastAsia="Times New Roman" w:hAnsi="Arial" w:cs="Arial"/>
          <w:bCs/>
          <w:iCs/>
          <w:lang w:bidi="en-US"/>
        </w:rPr>
        <w:t xml:space="preserve"> prevails against any person seeking to interfere with its use). </w:t>
      </w:r>
      <w:r w:rsidR="003B44BA">
        <w:rPr>
          <w:rFonts w:ascii="Arial" w:eastAsia="Times New Roman" w:hAnsi="Arial" w:cs="Arial"/>
          <w:bCs/>
          <w:iCs/>
          <w:lang w:bidi="en-US"/>
        </w:rPr>
        <w:t xml:space="preserve">At common law, </w:t>
      </w:r>
      <w:r w:rsidR="003B44BA" w:rsidRPr="2872CA33">
        <w:rPr>
          <w:rFonts w:ascii="Arial" w:eastAsia="Times New Roman" w:hAnsi="Arial" w:cs="Arial"/>
          <w:lang w:bidi="en-US"/>
        </w:rPr>
        <w:t>the proprietary bas</w:t>
      </w:r>
      <w:r w:rsidR="002E6511">
        <w:rPr>
          <w:rFonts w:ascii="Arial" w:eastAsia="Times New Roman" w:hAnsi="Arial" w:cs="Arial"/>
          <w:lang w:bidi="en-US"/>
        </w:rPr>
        <w:t>e</w:t>
      </w:r>
      <w:r w:rsidR="003B44BA" w:rsidRPr="2872CA33">
        <w:rPr>
          <w:rFonts w:ascii="Arial" w:eastAsia="Times New Roman" w:hAnsi="Arial" w:cs="Arial"/>
          <w:lang w:bidi="en-US"/>
        </w:rPr>
        <w:t xml:space="preserve"> for the tracing process </w:t>
      </w:r>
      <w:r w:rsidR="003B44BA" w:rsidRPr="2872CA33">
        <w:rPr>
          <w:rFonts w:ascii="Arial" w:eastAsia="Times New Roman" w:hAnsi="Arial" w:cs="Arial"/>
          <w:lang w:bidi="en-US"/>
        </w:rPr>
        <w:lastRenderedPageBreak/>
        <w:t xml:space="preserve">is holding the legal title to the property. </w:t>
      </w:r>
      <w:r w:rsidR="003B44BA">
        <w:rPr>
          <w:rFonts w:ascii="Arial" w:eastAsia="Times New Roman" w:hAnsi="Arial" w:cs="Arial"/>
          <w:lang w:bidi="en-US"/>
        </w:rPr>
        <w:t>In equity, it is holding a beneficial interest, as</w:t>
      </w:r>
      <w:r w:rsidR="004C486E">
        <w:rPr>
          <w:rFonts w:ascii="Arial" w:eastAsia="Times New Roman" w:hAnsi="Arial" w:cs="Arial"/>
          <w:bCs/>
          <w:iCs/>
          <w:lang w:bidi="en-US"/>
        </w:rPr>
        <w:t xml:space="preserve"> </w:t>
      </w:r>
      <w:r w:rsidR="003B44BA">
        <w:rPr>
          <w:rFonts w:ascii="Arial" w:eastAsia="Times New Roman" w:hAnsi="Arial" w:cs="Arial"/>
          <w:bCs/>
          <w:iCs/>
          <w:lang w:bidi="en-US"/>
        </w:rPr>
        <w:t>this is also</w:t>
      </w:r>
      <w:r w:rsidR="004C486E">
        <w:rPr>
          <w:rFonts w:ascii="Arial" w:eastAsia="Times New Roman" w:hAnsi="Arial" w:cs="Arial"/>
          <w:bCs/>
          <w:iCs/>
          <w:lang w:bidi="en-US"/>
        </w:rPr>
        <w:t xml:space="preserve"> a type of ownership.</w:t>
      </w:r>
    </w:p>
    <w:p w14:paraId="6EAC7EC5" w14:textId="77777777" w:rsidR="00F82196" w:rsidRDefault="00F82196" w:rsidP="00186571">
      <w:pPr>
        <w:pStyle w:val="ListParagraph"/>
        <w:spacing w:after="120" w:line="480" w:lineRule="auto"/>
        <w:ind w:left="0"/>
        <w:jc w:val="both"/>
        <w:rPr>
          <w:rFonts w:ascii="Arial" w:eastAsia="Times New Roman" w:hAnsi="Arial" w:cs="Arial"/>
          <w:bCs/>
          <w:iCs/>
          <w:lang w:bidi="en-US"/>
        </w:rPr>
      </w:pPr>
    </w:p>
    <w:p w14:paraId="294C0EE8" w14:textId="640A1890" w:rsidR="006A57D3" w:rsidRPr="00F14151" w:rsidRDefault="00F14151" w:rsidP="00186571">
      <w:pPr>
        <w:pStyle w:val="ListParagraph"/>
        <w:spacing w:after="120" w:line="480" w:lineRule="auto"/>
        <w:ind w:left="0"/>
        <w:jc w:val="both"/>
        <w:rPr>
          <w:rFonts w:ascii="Arial" w:eastAsia="Times New Roman" w:hAnsi="Arial" w:cs="Arial"/>
          <w:iCs/>
          <w:lang w:bidi="en-US"/>
        </w:rPr>
      </w:pPr>
      <w:r>
        <w:rPr>
          <w:rFonts w:ascii="Arial" w:eastAsia="Times New Roman" w:hAnsi="Arial" w:cs="Arial"/>
          <w:iCs/>
          <w:lang w:bidi="en-US"/>
        </w:rPr>
        <w:t xml:space="preserve">b) </w:t>
      </w:r>
      <w:r w:rsidR="006A57D3" w:rsidRPr="00F14151">
        <w:rPr>
          <w:rFonts w:ascii="Arial" w:eastAsia="Times New Roman" w:hAnsi="Arial" w:cs="Arial"/>
          <w:iCs/>
          <w:lang w:bidi="en-US"/>
        </w:rPr>
        <w:t xml:space="preserve">Following or tracing </w:t>
      </w:r>
    </w:p>
    <w:p w14:paraId="7DB4F82A" w14:textId="6FC08E6E" w:rsidR="006A57D3" w:rsidRDefault="006A57D3" w:rsidP="00186571">
      <w:pPr>
        <w:spacing w:after="120" w:line="480" w:lineRule="auto"/>
        <w:jc w:val="both"/>
        <w:rPr>
          <w:rFonts w:ascii="Arial" w:eastAsia="Times New Roman" w:hAnsi="Arial" w:cs="Arial"/>
          <w:bCs/>
          <w:iCs/>
          <w:lang w:bidi="en-US"/>
        </w:rPr>
      </w:pPr>
      <w:r w:rsidRPr="006A57D3">
        <w:rPr>
          <w:rFonts w:ascii="Arial" w:eastAsia="Times New Roman" w:hAnsi="Arial" w:cs="Arial"/>
          <w:bCs/>
          <w:iCs/>
          <w:lang w:bidi="en-US"/>
        </w:rPr>
        <w:t xml:space="preserve">The claimant must be able to </w:t>
      </w:r>
      <w:r w:rsidR="00D025CC" w:rsidRPr="006A57D3">
        <w:rPr>
          <w:rFonts w:ascii="Arial" w:eastAsia="Times New Roman" w:hAnsi="Arial" w:cs="Arial"/>
          <w:bCs/>
          <w:iCs/>
          <w:lang w:bidi="en-US"/>
        </w:rPr>
        <w:t xml:space="preserve">either </w:t>
      </w:r>
      <w:r w:rsidRPr="00D9588A">
        <w:rPr>
          <w:rFonts w:ascii="Arial" w:eastAsia="Times New Roman" w:hAnsi="Arial" w:cs="Arial"/>
          <w:bCs/>
          <w:i/>
          <w:lang w:bidi="en-US"/>
        </w:rPr>
        <w:t xml:space="preserve">follow the </w:t>
      </w:r>
      <w:r w:rsidR="00D9588A" w:rsidRPr="00D9588A">
        <w:rPr>
          <w:rFonts w:ascii="Arial" w:eastAsia="Times New Roman" w:hAnsi="Arial" w:cs="Arial"/>
          <w:bCs/>
          <w:i/>
          <w:lang w:bidi="en-US"/>
        </w:rPr>
        <w:t>object</w:t>
      </w:r>
      <w:r w:rsidRPr="006A57D3">
        <w:rPr>
          <w:rFonts w:ascii="Arial" w:eastAsia="Times New Roman" w:hAnsi="Arial" w:cs="Arial"/>
          <w:bCs/>
          <w:iCs/>
          <w:lang w:bidi="en-US"/>
        </w:rPr>
        <w:t xml:space="preserve"> into the hands of the defendant or </w:t>
      </w:r>
      <w:r w:rsidRPr="00D9588A">
        <w:rPr>
          <w:rFonts w:ascii="Arial" w:eastAsia="Times New Roman" w:hAnsi="Arial" w:cs="Arial"/>
          <w:bCs/>
          <w:i/>
          <w:lang w:bidi="en-US"/>
        </w:rPr>
        <w:t>trace</w:t>
      </w:r>
      <w:r w:rsidRPr="006A57D3">
        <w:rPr>
          <w:rFonts w:ascii="Arial" w:eastAsia="Times New Roman" w:hAnsi="Arial" w:cs="Arial"/>
          <w:bCs/>
          <w:iCs/>
          <w:lang w:bidi="en-US"/>
        </w:rPr>
        <w:t xml:space="preserve"> </w:t>
      </w:r>
      <w:r w:rsidRPr="00D9588A">
        <w:rPr>
          <w:rFonts w:ascii="Arial" w:eastAsia="Times New Roman" w:hAnsi="Arial" w:cs="Arial"/>
          <w:bCs/>
          <w:i/>
          <w:lang w:bidi="en-US"/>
        </w:rPr>
        <w:t>the value</w:t>
      </w:r>
      <w:r w:rsidRPr="006A57D3">
        <w:rPr>
          <w:rFonts w:ascii="Arial" w:eastAsia="Times New Roman" w:hAnsi="Arial" w:cs="Arial"/>
          <w:bCs/>
          <w:iCs/>
          <w:lang w:bidi="en-US"/>
        </w:rPr>
        <w:t xml:space="preserve"> into a substitute asset received or retained by that defendant.</w:t>
      </w:r>
      <w:r w:rsidR="00080262" w:rsidRPr="00080262">
        <w:t xml:space="preserve"> </w:t>
      </w:r>
      <w:r w:rsidR="00080262" w:rsidRPr="00080262">
        <w:rPr>
          <w:rFonts w:ascii="Arial" w:eastAsia="Times New Roman" w:hAnsi="Arial" w:cs="Arial"/>
          <w:bCs/>
          <w:iCs/>
          <w:lang w:bidi="en-US"/>
        </w:rPr>
        <w:t xml:space="preserve">Following is no longer possible when the </w:t>
      </w:r>
      <w:r w:rsidR="00D9588A">
        <w:rPr>
          <w:rFonts w:ascii="Arial" w:eastAsia="Times New Roman" w:hAnsi="Arial" w:cs="Arial"/>
          <w:bCs/>
          <w:iCs/>
          <w:lang w:bidi="en-US"/>
        </w:rPr>
        <w:t xml:space="preserve">object of </w:t>
      </w:r>
      <w:r w:rsidR="00080262" w:rsidRPr="00080262">
        <w:rPr>
          <w:rFonts w:ascii="Arial" w:eastAsia="Times New Roman" w:hAnsi="Arial" w:cs="Arial"/>
          <w:bCs/>
          <w:iCs/>
          <w:lang w:bidi="en-US"/>
        </w:rPr>
        <w:t>property has been destroyed or incorporated</w:t>
      </w:r>
      <w:r w:rsidR="00381078">
        <w:rPr>
          <w:rFonts w:ascii="Arial" w:eastAsia="Times New Roman" w:hAnsi="Arial" w:cs="Arial"/>
          <w:bCs/>
          <w:iCs/>
          <w:lang w:bidi="en-US"/>
        </w:rPr>
        <w:t xml:space="preserve"> in new property in such a way</w:t>
      </w:r>
      <w:r w:rsidR="00080262" w:rsidRPr="00080262">
        <w:rPr>
          <w:rFonts w:ascii="Arial" w:eastAsia="Times New Roman" w:hAnsi="Arial" w:cs="Arial"/>
          <w:bCs/>
          <w:iCs/>
          <w:lang w:bidi="en-US"/>
        </w:rPr>
        <w:t xml:space="preserve"> as to lose its identity. In that case, the claimant needs to trace its value into a substitute asset. </w:t>
      </w:r>
      <w:r w:rsidR="00D025CC">
        <w:rPr>
          <w:rFonts w:ascii="Arial" w:eastAsia="Times New Roman" w:hAnsi="Arial" w:cs="Arial"/>
          <w:bCs/>
          <w:iCs/>
          <w:lang w:bidi="en-US"/>
        </w:rPr>
        <w:t>Note</w:t>
      </w:r>
      <w:r w:rsidRPr="006A57D3">
        <w:rPr>
          <w:rFonts w:ascii="Arial" w:eastAsia="Times New Roman" w:hAnsi="Arial" w:cs="Arial"/>
          <w:bCs/>
          <w:iCs/>
          <w:lang w:bidi="en-US"/>
        </w:rPr>
        <w:t xml:space="preserve"> the distinction</w:t>
      </w:r>
      <w:r w:rsidR="00D025CC">
        <w:rPr>
          <w:rFonts w:ascii="Arial" w:eastAsia="Times New Roman" w:hAnsi="Arial" w:cs="Arial"/>
          <w:bCs/>
          <w:iCs/>
          <w:lang w:bidi="en-US"/>
        </w:rPr>
        <w:t xml:space="preserve"> between following and tracing: </w:t>
      </w:r>
      <w:r w:rsidRPr="006A57D3">
        <w:rPr>
          <w:rFonts w:ascii="Arial" w:eastAsia="Times New Roman" w:hAnsi="Arial" w:cs="Arial"/>
          <w:bCs/>
          <w:iCs/>
          <w:lang w:bidi="en-US"/>
        </w:rPr>
        <w:t xml:space="preserve">Following involves locating the original </w:t>
      </w:r>
      <w:r w:rsidR="00D9588A">
        <w:rPr>
          <w:rFonts w:ascii="Arial" w:eastAsia="Times New Roman" w:hAnsi="Arial" w:cs="Arial"/>
          <w:bCs/>
          <w:iCs/>
          <w:lang w:bidi="en-US"/>
        </w:rPr>
        <w:t>object</w:t>
      </w:r>
      <w:r w:rsidRPr="006A57D3">
        <w:rPr>
          <w:rFonts w:ascii="Arial" w:eastAsia="Times New Roman" w:hAnsi="Arial" w:cs="Arial"/>
          <w:bCs/>
          <w:iCs/>
          <w:lang w:bidi="en-US"/>
        </w:rPr>
        <w:t>; tracing involves identifying the value of the proprietary interest in a new, substitute asset.</w:t>
      </w:r>
    </w:p>
    <w:p w14:paraId="7822A41E" w14:textId="3A27D99B" w:rsidR="00C31E62" w:rsidRDefault="00C31E62" w:rsidP="00186571">
      <w:pPr>
        <w:spacing w:after="120" w:line="480" w:lineRule="auto"/>
        <w:jc w:val="both"/>
        <w:rPr>
          <w:rFonts w:ascii="Arial" w:eastAsia="Times New Roman" w:hAnsi="Arial" w:cs="Arial"/>
          <w:bCs/>
          <w:iCs/>
          <w:lang w:bidi="en-US"/>
        </w:rPr>
      </w:pPr>
      <w:r w:rsidRPr="008E0CFD">
        <w:rPr>
          <w:rFonts w:ascii="Arial" w:eastAsia="Calibri" w:hAnsi="Arial" w:cs="Arial"/>
          <w:lang w:eastAsia="en-GB"/>
        </w:rPr>
        <w:t xml:space="preserve">Millett </w:t>
      </w:r>
      <w:r w:rsidR="0013256C">
        <w:rPr>
          <w:rFonts w:ascii="Arial" w:eastAsia="Calibri" w:hAnsi="Arial" w:cs="Arial"/>
          <w:lang w:eastAsia="en-GB"/>
        </w:rPr>
        <w:t xml:space="preserve">LJ </w:t>
      </w:r>
      <w:r w:rsidRPr="008E0CFD">
        <w:rPr>
          <w:rFonts w:ascii="Arial" w:eastAsia="Calibri" w:hAnsi="Arial" w:cs="Arial"/>
          <w:lang w:eastAsia="en-GB"/>
        </w:rPr>
        <w:t xml:space="preserve">in </w:t>
      </w:r>
      <w:r w:rsidRPr="008E0CFD">
        <w:rPr>
          <w:rFonts w:ascii="Arial" w:eastAsia="Calibri" w:hAnsi="Arial" w:cs="Arial"/>
          <w:i/>
          <w:u w:val="single"/>
          <w:lang w:eastAsia="en-GB"/>
        </w:rPr>
        <w:t>Foskett v McKeown</w:t>
      </w:r>
      <w:r w:rsidRPr="008E0CFD">
        <w:rPr>
          <w:rFonts w:ascii="Arial" w:eastAsia="Calibri" w:hAnsi="Arial" w:cs="Arial"/>
          <w:u w:val="single"/>
          <w:lang w:eastAsia="en-GB"/>
        </w:rPr>
        <w:t xml:space="preserve"> [2001] 1 AC 102</w:t>
      </w:r>
      <w:r w:rsidRPr="008E0CFD">
        <w:rPr>
          <w:rFonts w:ascii="Arial" w:eastAsia="Calibri" w:hAnsi="Arial" w:cs="Arial"/>
          <w:lang w:eastAsia="en-GB"/>
        </w:rPr>
        <w:t>, at 127</w:t>
      </w:r>
      <w:r>
        <w:rPr>
          <w:rFonts w:ascii="Arial" w:eastAsia="Calibri" w:hAnsi="Arial" w:cs="Arial"/>
          <w:lang w:eastAsia="en-GB"/>
        </w:rPr>
        <w:t>, explains the difference</w:t>
      </w:r>
      <w:r w:rsidRPr="008E0CFD">
        <w:rPr>
          <w:rFonts w:ascii="Arial" w:eastAsia="Times New Roman" w:hAnsi="Arial" w:cs="Arial"/>
          <w:bCs/>
          <w:iCs/>
          <w:lang w:bidi="en-US"/>
        </w:rPr>
        <w:t>:</w:t>
      </w:r>
    </w:p>
    <w:p w14:paraId="4130ABC4" w14:textId="10D4569F" w:rsidR="00C8287E" w:rsidRDefault="7728179B" w:rsidP="00186571">
      <w:pPr>
        <w:spacing w:after="120" w:line="480" w:lineRule="auto"/>
        <w:ind w:left="720"/>
        <w:jc w:val="both"/>
        <w:rPr>
          <w:rFonts w:ascii="Arial" w:eastAsia="MS Mincho" w:hAnsi="Arial" w:cs="Arial"/>
          <w:lang w:bidi="en-US"/>
        </w:rPr>
      </w:pPr>
      <w:r w:rsidRPr="7728179B">
        <w:rPr>
          <w:rFonts w:ascii="Arial" w:eastAsia="Times New Roman" w:hAnsi="Arial" w:cs="Arial"/>
          <w:lang w:bidi="en-US"/>
        </w:rPr>
        <w:t>“Following is the process of following the same asset as it moves from hand to hand. Tracing is the process of identifying a new asset as the substitute for the old. Where one asset is exchanged for another, a claimant can elect whether to follow the original asset into the hands of the new owner or to trace its value into the new asset in the hands of the same owner. In practice his choice is often dictated by the circumstances.”</w:t>
      </w:r>
    </w:p>
    <w:p w14:paraId="503B990C" w14:textId="57BCA649" w:rsidR="00FC2CF2" w:rsidRPr="006A57D3" w:rsidRDefault="0CB9C828" w:rsidP="0CB9C828">
      <w:pPr>
        <w:spacing w:after="120" w:line="480" w:lineRule="auto"/>
        <w:jc w:val="both"/>
        <w:rPr>
          <w:rFonts w:ascii="Arial" w:eastAsia="Times New Roman" w:hAnsi="Arial" w:cs="Arial"/>
          <w:lang w:bidi="en-US"/>
        </w:rPr>
      </w:pPr>
      <w:r w:rsidRPr="0CB9C828">
        <w:rPr>
          <w:rFonts w:ascii="Arial" w:eastAsia="Times New Roman" w:hAnsi="Arial" w:cs="Arial"/>
          <w:lang w:bidi="en-US"/>
        </w:rPr>
        <w:t xml:space="preserve">Tracing and following are not a claim or remedy, but merely the means to gather the required evidence to bring a </w:t>
      </w:r>
      <w:r w:rsidR="00D9588A">
        <w:rPr>
          <w:rFonts w:ascii="Arial" w:eastAsia="Times New Roman" w:hAnsi="Arial" w:cs="Arial"/>
          <w:lang w:bidi="en-US"/>
        </w:rPr>
        <w:t xml:space="preserve">proprietary </w:t>
      </w:r>
      <w:r w:rsidRPr="0CB9C828">
        <w:rPr>
          <w:rFonts w:ascii="Arial" w:eastAsia="Times New Roman" w:hAnsi="Arial" w:cs="Arial"/>
          <w:lang w:bidi="en-US"/>
        </w:rPr>
        <w:t xml:space="preserve">claim. As Steyn </w:t>
      </w:r>
      <w:r w:rsidR="0013256C">
        <w:rPr>
          <w:rFonts w:ascii="Arial" w:eastAsia="Times New Roman" w:hAnsi="Arial" w:cs="Arial"/>
          <w:lang w:bidi="en-US"/>
        </w:rPr>
        <w:t xml:space="preserve">LJ </w:t>
      </w:r>
      <w:r w:rsidRPr="0CB9C828">
        <w:rPr>
          <w:rFonts w:ascii="Arial" w:eastAsia="Times New Roman" w:hAnsi="Arial" w:cs="Arial"/>
          <w:lang w:bidi="en-US"/>
        </w:rPr>
        <w:t xml:space="preserve">explained in </w:t>
      </w:r>
      <w:r w:rsidRPr="0CB9C828">
        <w:rPr>
          <w:rFonts w:ascii="Arial" w:eastAsia="Times New Roman" w:hAnsi="Arial" w:cs="Arial"/>
          <w:i/>
          <w:iCs/>
          <w:u w:val="single"/>
          <w:lang w:bidi="en-US"/>
        </w:rPr>
        <w:t>Foskett</w:t>
      </w:r>
      <w:r>
        <w:t xml:space="preserve">, </w:t>
      </w:r>
      <w:r w:rsidRPr="0CB9C828">
        <w:rPr>
          <w:rFonts w:ascii="Arial" w:eastAsia="Times New Roman" w:hAnsi="Arial" w:cs="Arial"/>
          <w:lang w:bidi="en-US"/>
        </w:rPr>
        <w:t>at 112: “In truth tracing is a process of identifying assets: it belongs to the realm of evidence. It tells us nothing about legal or equitable rights to the assets traced.”</w:t>
      </w:r>
    </w:p>
    <w:p w14:paraId="3EA07DB8" w14:textId="77777777" w:rsidR="00A91AF8" w:rsidRDefault="00A91AF8" w:rsidP="00186571">
      <w:pPr>
        <w:spacing w:after="200" w:line="480" w:lineRule="auto"/>
        <w:jc w:val="both"/>
        <w:rPr>
          <w:rFonts w:ascii="Arial" w:eastAsia="Calibri" w:hAnsi="Arial" w:cs="Arial"/>
          <w:lang w:eastAsia="en-GB"/>
        </w:rPr>
      </w:pPr>
    </w:p>
    <w:p w14:paraId="46FF22CE" w14:textId="3D569BB7" w:rsidR="00A91AF8" w:rsidRDefault="00A91AF8" w:rsidP="00186571">
      <w:pPr>
        <w:spacing w:after="200" w:line="480" w:lineRule="auto"/>
        <w:jc w:val="both"/>
        <w:rPr>
          <w:rFonts w:ascii="Arial" w:eastAsia="Calibri" w:hAnsi="Arial" w:cs="Arial"/>
          <w:lang w:eastAsia="en-GB"/>
        </w:rPr>
      </w:pPr>
      <w:r>
        <w:rPr>
          <w:rFonts w:ascii="Arial" w:eastAsia="Calibri" w:hAnsi="Arial" w:cs="Arial"/>
          <w:lang w:eastAsia="en-GB"/>
        </w:rPr>
        <w:t>Why two sets of rules?</w:t>
      </w:r>
    </w:p>
    <w:p w14:paraId="476A4307" w14:textId="71F87EB1" w:rsidR="00FC2CF2" w:rsidRPr="008E0CFD" w:rsidRDefault="00FC2CF2" w:rsidP="00186571">
      <w:pPr>
        <w:spacing w:after="200" w:line="480" w:lineRule="auto"/>
        <w:jc w:val="both"/>
        <w:rPr>
          <w:rFonts w:ascii="Arial" w:eastAsia="Calibri" w:hAnsi="Arial" w:cs="Arial"/>
          <w:lang w:eastAsia="en-GB"/>
        </w:rPr>
      </w:pPr>
      <w:r w:rsidRPr="008E0CFD">
        <w:rPr>
          <w:rFonts w:ascii="Arial" w:eastAsia="Calibri" w:hAnsi="Arial" w:cs="Arial"/>
          <w:lang w:eastAsia="en-GB"/>
        </w:rPr>
        <w:t>There are two distinct processes, tracing at common law and tracing in equity. Common law tracing is more restrictive than equitable tracing</w:t>
      </w:r>
      <w:r w:rsidR="00080262">
        <w:rPr>
          <w:rFonts w:ascii="Arial" w:eastAsia="Calibri" w:hAnsi="Arial" w:cs="Arial"/>
          <w:lang w:eastAsia="en-GB"/>
        </w:rPr>
        <w:t>,</w:t>
      </w:r>
      <w:r w:rsidRPr="008E0CFD">
        <w:rPr>
          <w:rFonts w:ascii="Arial" w:eastAsia="Calibri" w:hAnsi="Arial" w:cs="Arial"/>
          <w:lang w:eastAsia="en-GB"/>
        </w:rPr>
        <w:t xml:space="preserve"> </w:t>
      </w:r>
      <w:r w:rsidR="00080262">
        <w:rPr>
          <w:rFonts w:ascii="Arial" w:eastAsia="Calibri" w:hAnsi="Arial" w:cs="Arial"/>
          <w:lang w:eastAsia="en-GB"/>
        </w:rPr>
        <w:t>as</w:t>
      </w:r>
      <w:r w:rsidRPr="008E0CFD">
        <w:rPr>
          <w:rFonts w:ascii="Arial" w:eastAsia="Calibri" w:hAnsi="Arial" w:cs="Arial"/>
          <w:lang w:eastAsia="en-GB"/>
        </w:rPr>
        <w:t xml:space="preserve"> </w:t>
      </w:r>
      <w:r w:rsidR="002E6511">
        <w:rPr>
          <w:rFonts w:ascii="Arial" w:eastAsia="Calibri" w:hAnsi="Arial" w:cs="Arial"/>
          <w:lang w:eastAsia="en-GB"/>
        </w:rPr>
        <w:t xml:space="preserve">equitable </w:t>
      </w:r>
      <w:r w:rsidRPr="008E0CFD">
        <w:rPr>
          <w:rFonts w:ascii="Arial" w:eastAsia="Calibri" w:hAnsi="Arial" w:cs="Arial"/>
          <w:lang w:eastAsia="en-GB"/>
        </w:rPr>
        <w:t xml:space="preserve">tracing allows tracing through </w:t>
      </w:r>
      <w:r w:rsidRPr="008E0CFD">
        <w:rPr>
          <w:rFonts w:ascii="Arial" w:eastAsia="Calibri" w:hAnsi="Arial" w:cs="Arial"/>
          <w:lang w:eastAsia="en-GB"/>
        </w:rPr>
        <w:lastRenderedPageBreak/>
        <w:t>mixed funds, which is not possible at common law. However, tracing in equity is limited to situations where there is a fiduciary relationship and an equitable proprietary interest and is therefore of use only to certain claimants.</w:t>
      </w:r>
    </w:p>
    <w:p w14:paraId="529A4B65" w14:textId="284D5AC9" w:rsidR="00FC2CF2" w:rsidRDefault="7728179B" w:rsidP="00186571">
      <w:pPr>
        <w:spacing w:after="200" w:line="480" w:lineRule="auto"/>
        <w:jc w:val="both"/>
        <w:rPr>
          <w:rFonts w:ascii="Arial" w:eastAsia="Calibri" w:hAnsi="Arial" w:cs="Arial"/>
          <w:lang w:eastAsia="en-GB"/>
        </w:rPr>
      </w:pPr>
      <w:r w:rsidRPr="7728179B">
        <w:rPr>
          <w:rFonts w:ascii="Arial" w:eastAsia="Calibri" w:hAnsi="Arial" w:cs="Arial"/>
          <w:lang w:eastAsia="en-GB"/>
        </w:rPr>
        <w:t xml:space="preserve">Millett </w:t>
      </w:r>
      <w:r w:rsidR="0013256C">
        <w:rPr>
          <w:rFonts w:ascii="Arial" w:eastAsia="Calibri" w:hAnsi="Arial" w:cs="Arial"/>
          <w:lang w:eastAsia="en-GB"/>
        </w:rPr>
        <w:t xml:space="preserve">LJ </w:t>
      </w:r>
      <w:r w:rsidRPr="7728179B">
        <w:rPr>
          <w:rFonts w:ascii="Arial" w:eastAsia="Calibri" w:hAnsi="Arial" w:cs="Arial"/>
          <w:lang w:eastAsia="en-GB"/>
        </w:rPr>
        <w:t xml:space="preserve">(in </w:t>
      </w:r>
      <w:r w:rsidRPr="7728179B">
        <w:rPr>
          <w:rFonts w:ascii="Arial" w:eastAsia="Calibri" w:hAnsi="Arial" w:cs="Arial"/>
          <w:i/>
          <w:iCs/>
          <w:u w:val="single"/>
          <w:lang w:eastAsia="en-GB"/>
        </w:rPr>
        <w:t>Foskett</w:t>
      </w:r>
      <w:r w:rsidRPr="7728179B">
        <w:rPr>
          <w:rFonts w:ascii="Arial" w:eastAsia="Calibri" w:hAnsi="Arial" w:cs="Arial"/>
          <w:lang w:eastAsia="en-GB"/>
        </w:rPr>
        <w:t>, at 128), amongst others, has been very critical of the distinction between tracing at common law and in equity:</w:t>
      </w:r>
    </w:p>
    <w:p w14:paraId="044B3218" w14:textId="08E9EED2" w:rsidR="00FC2CF2" w:rsidRPr="008E0CFD" w:rsidRDefault="00080262" w:rsidP="00186571">
      <w:pPr>
        <w:spacing w:after="200" w:line="480" w:lineRule="auto"/>
        <w:ind w:left="720"/>
        <w:jc w:val="both"/>
        <w:rPr>
          <w:rFonts w:ascii="Arial" w:eastAsia="Calibri" w:hAnsi="Arial" w:cs="Arial"/>
          <w:lang w:eastAsia="en-GB"/>
        </w:rPr>
      </w:pPr>
      <w:r>
        <w:rPr>
          <w:rFonts w:ascii="Arial" w:eastAsia="Calibri" w:hAnsi="Arial" w:cs="Arial"/>
          <w:lang w:eastAsia="en-GB"/>
        </w:rPr>
        <w:t>“</w:t>
      </w:r>
      <w:r w:rsidRPr="00080262">
        <w:rPr>
          <w:rFonts w:ascii="Arial" w:eastAsia="Calibri" w:hAnsi="Arial" w:cs="Arial"/>
          <w:lang w:eastAsia="en-GB"/>
        </w:rPr>
        <w:t>Given its nature, there is nothing inherently legal or equitable about the tracing exercise. There is thus no sense in maintaining different rules for tracing at law and in equity. One set of tracing rules is enough. The existence of two has never formed part of the law in the United States . . .. There is certainly no logical justification for allowing any distinction between them to produce capricious results in cases of mixed substitutions by insisting on the existence of a fiduciary relationship as a precondition for applying equity’s tracing rules. The existence of such a relationship may be relevant to the nature of the claim which the plaintiff can maintain, whether personal or proprietary, but that is a different matter.</w:t>
      </w:r>
      <w:r>
        <w:rPr>
          <w:rFonts w:ascii="Arial" w:eastAsia="Calibri" w:hAnsi="Arial" w:cs="Arial"/>
          <w:lang w:eastAsia="en-GB"/>
        </w:rPr>
        <w:t>”</w:t>
      </w:r>
      <w:r w:rsidR="00FC2CF2" w:rsidRPr="008E0CFD">
        <w:rPr>
          <w:rFonts w:ascii="Arial" w:eastAsia="Calibri" w:hAnsi="Arial" w:cs="Arial"/>
          <w:lang w:eastAsia="en-GB"/>
        </w:rPr>
        <w:t xml:space="preserve"> </w:t>
      </w:r>
    </w:p>
    <w:p w14:paraId="53CD725F" w14:textId="77777777" w:rsidR="00FC2CF2" w:rsidRPr="008E0CFD" w:rsidRDefault="7728179B" w:rsidP="00186571">
      <w:pPr>
        <w:spacing w:after="200" w:line="480" w:lineRule="auto"/>
        <w:jc w:val="both"/>
        <w:rPr>
          <w:rFonts w:ascii="Arial" w:eastAsia="Calibri" w:hAnsi="Arial" w:cs="Arial"/>
          <w:lang w:eastAsia="en-GB"/>
        </w:rPr>
      </w:pPr>
      <w:r w:rsidRPr="7728179B">
        <w:rPr>
          <w:rFonts w:ascii="Arial" w:eastAsia="Calibri" w:hAnsi="Arial" w:cs="Arial"/>
          <w:lang w:eastAsia="en-GB"/>
        </w:rPr>
        <w:t>However, Lord Millet’s comments were made obiter, and the distinction between common law and equitable tracing therefore remains for the time being.</w:t>
      </w:r>
    </w:p>
    <w:p w14:paraId="4A8A0630" w14:textId="3079BE86" w:rsidR="00523E38" w:rsidRDefault="00523E38" w:rsidP="7728179B">
      <w:pPr>
        <w:spacing w:after="120" w:line="480" w:lineRule="auto"/>
        <w:jc w:val="both"/>
        <w:rPr>
          <w:rFonts w:ascii="Arial" w:eastAsia="Times New Roman" w:hAnsi="Arial" w:cs="Arial"/>
          <w:lang w:bidi="en-US"/>
        </w:rPr>
      </w:pPr>
    </w:p>
    <w:p w14:paraId="65ED94AF" w14:textId="7BBDD964" w:rsidR="00523E38" w:rsidRDefault="7728179B" w:rsidP="7728179B">
      <w:pPr>
        <w:spacing w:after="120" w:line="480" w:lineRule="auto"/>
        <w:jc w:val="both"/>
        <w:rPr>
          <w:rFonts w:ascii="Arial" w:eastAsia="Times New Roman" w:hAnsi="Arial" w:cs="Arial"/>
          <w:lang w:bidi="en-US"/>
        </w:rPr>
      </w:pPr>
      <w:r w:rsidRPr="7728179B">
        <w:rPr>
          <w:rFonts w:ascii="Arial" w:eastAsia="Times New Roman" w:hAnsi="Arial" w:cs="Arial"/>
          <w:lang w:bidi="en-US"/>
        </w:rPr>
        <w:t>An example</w:t>
      </w:r>
    </w:p>
    <w:p w14:paraId="0A46A718" w14:textId="5C238D51" w:rsidR="00523E38" w:rsidRDefault="5D02ED4F" w:rsidP="7728179B">
      <w:pPr>
        <w:spacing w:after="120" w:line="480" w:lineRule="auto"/>
        <w:jc w:val="both"/>
        <w:rPr>
          <w:rFonts w:ascii="Arial" w:eastAsia="Times New Roman" w:hAnsi="Arial" w:cs="Arial"/>
          <w:lang w:bidi="en-US"/>
        </w:rPr>
      </w:pPr>
      <w:r w:rsidRPr="5D02ED4F">
        <w:rPr>
          <w:rFonts w:ascii="Arial" w:eastAsia="Times New Roman" w:hAnsi="Arial" w:cs="Arial"/>
          <w:lang w:bidi="en-US"/>
        </w:rPr>
        <w:t xml:space="preserve">In </w:t>
      </w:r>
      <w:r w:rsidRPr="5D02ED4F">
        <w:rPr>
          <w:rFonts w:ascii="Arial" w:eastAsia="Calibri" w:hAnsi="Arial" w:cs="Arial"/>
          <w:i/>
          <w:iCs/>
          <w:u w:val="single"/>
          <w:lang w:eastAsia="en-GB"/>
        </w:rPr>
        <w:t>Foskett v McKeown</w:t>
      </w:r>
      <w:r w:rsidRPr="5D02ED4F">
        <w:rPr>
          <w:rFonts w:ascii="Arial" w:eastAsia="Calibri" w:hAnsi="Arial" w:cs="Arial"/>
          <w:u w:val="single"/>
          <w:lang w:eastAsia="en-GB"/>
        </w:rPr>
        <w:t xml:space="preserve"> [2001] 1 AC 102</w:t>
      </w:r>
      <w:r w:rsidRPr="5D02ED4F">
        <w:rPr>
          <w:rFonts w:ascii="Arial" w:eastAsia="Times New Roman" w:hAnsi="Arial" w:cs="Arial"/>
          <w:lang w:bidi="en-US"/>
        </w:rPr>
        <w:t xml:space="preserve">, investors had entrusted approximately £2.6m to a property developer, Mr. Murphy, as part of a holiday-home building scheme in Portugal. The terms of the scheme were that the investors’ money was to be held on trust for the investors. Mr Murphy subsequently </w:t>
      </w:r>
      <w:r w:rsidR="006D2225">
        <w:rPr>
          <w:rFonts w:ascii="Arial" w:eastAsia="Times New Roman" w:hAnsi="Arial" w:cs="Arial"/>
          <w:lang w:bidi="en-US"/>
        </w:rPr>
        <w:t>killed himself</w:t>
      </w:r>
      <w:r w:rsidRPr="5D02ED4F">
        <w:rPr>
          <w:rFonts w:ascii="Arial" w:eastAsia="Times New Roman" w:hAnsi="Arial" w:cs="Arial"/>
          <w:lang w:bidi="en-US"/>
        </w:rPr>
        <w:t xml:space="preserve"> and it was discovered he had dissipated most of the scheme’s funds in breach of trust. Evidence showed he had used £20,440 from the scheme to pay the 4th and 5th premiums on his life assurance policy (which he had vested in his three children). The policy paid out £1m in death benefit to the children. The investors sought to trace from the premiums a proportionate share of ownership of the insurance policy proceeds. </w:t>
      </w:r>
      <w:r w:rsidRPr="5D02ED4F">
        <w:rPr>
          <w:rFonts w:ascii="Arial" w:eastAsia="Times New Roman" w:hAnsi="Arial" w:cs="Arial"/>
          <w:lang w:bidi="en-US"/>
        </w:rPr>
        <w:lastRenderedPageBreak/>
        <w:t>While the Court of Appeal held that only £20,440 (representing their original money) could be held on trust for the investors, the House of Lords overruled that decision by a 3:2 majority and held that the investors could trace into 40% of the death benefit. Their Lordships in the majority, including Millett</w:t>
      </w:r>
      <w:r w:rsidR="0013256C">
        <w:rPr>
          <w:rFonts w:ascii="Arial" w:eastAsia="Times New Roman" w:hAnsi="Arial" w:cs="Arial"/>
          <w:lang w:bidi="en-US"/>
        </w:rPr>
        <w:t xml:space="preserve"> LJ</w:t>
      </w:r>
      <w:r w:rsidRPr="5D02ED4F">
        <w:rPr>
          <w:rFonts w:ascii="Arial" w:eastAsia="Times New Roman" w:hAnsi="Arial" w:cs="Arial"/>
          <w:lang w:bidi="en-US"/>
        </w:rPr>
        <w:t>, held that the death benefit could be identified as the substitute property for the stolen trust money. Having established this using tracing rules, the purchasers could therefore now claim that the trustees held £400,000 on trust for the purchasers.</w:t>
      </w:r>
    </w:p>
    <w:p w14:paraId="4AF08F2C" w14:textId="700CCB22" w:rsidR="00523E38" w:rsidRDefault="00523E38" w:rsidP="7728179B">
      <w:pPr>
        <w:pStyle w:val="ListParagraph"/>
        <w:spacing w:after="200" w:line="480" w:lineRule="auto"/>
        <w:jc w:val="both"/>
        <w:rPr>
          <w:rFonts w:ascii="Arial" w:eastAsia="Calibri" w:hAnsi="Arial" w:cs="Arial"/>
          <w:lang w:eastAsia="en-GB"/>
        </w:rPr>
      </w:pPr>
    </w:p>
    <w:p w14:paraId="1D7811FC" w14:textId="085C698F" w:rsidR="006A57D3" w:rsidRPr="00F14151" w:rsidRDefault="00F14151" w:rsidP="00186571">
      <w:pPr>
        <w:pStyle w:val="ListParagraph"/>
        <w:spacing w:after="120" w:line="480" w:lineRule="auto"/>
        <w:ind w:left="0"/>
        <w:jc w:val="both"/>
        <w:rPr>
          <w:rFonts w:ascii="Arial" w:eastAsia="Times New Roman" w:hAnsi="Arial" w:cs="Arial"/>
          <w:iCs/>
          <w:lang w:bidi="en-US"/>
        </w:rPr>
      </w:pPr>
      <w:r>
        <w:rPr>
          <w:rFonts w:ascii="Arial" w:eastAsia="Times New Roman" w:hAnsi="Arial" w:cs="Arial"/>
          <w:iCs/>
          <w:lang w:bidi="en-US"/>
        </w:rPr>
        <w:t xml:space="preserve">c) </w:t>
      </w:r>
      <w:r w:rsidR="00F82196" w:rsidRPr="00F14151">
        <w:rPr>
          <w:rFonts w:ascii="Arial" w:eastAsia="Times New Roman" w:hAnsi="Arial" w:cs="Arial"/>
          <w:iCs/>
          <w:lang w:bidi="en-US"/>
        </w:rPr>
        <w:t>Claiming</w:t>
      </w:r>
      <w:r w:rsidR="00B05456" w:rsidRPr="00F14151">
        <w:rPr>
          <w:rFonts w:ascii="Arial" w:eastAsia="Times New Roman" w:hAnsi="Arial" w:cs="Arial"/>
          <w:iCs/>
          <w:lang w:bidi="en-US"/>
        </w:rPr>
        <w:t xml:space="preserve"> and remedies</w:t>
      </w:r>
    </w:p>
    <w:p w14:paraId="0F6D0455" w14:textId="77777777" w:rsidR="00844460" w:rsidRDefault="2872CA33" w:rsidP="00186571">
      <w:pPr>
        <w:spacing w:after="120" w:line="480" w:lineRule="auto"/>
        <w:jc w:val="both"/>
        <w:rPr>
          <w:rFonts w:ascii="Arial" w:eastAsia="Times New Roman" w:hAnsi="Arial" w:cs="Arial"/>
          <w:lang w:bidi="en-US"/>
        </w:rPr>
      </w:pPr>
      <w:r w:rsidRPr="2872CA33">
        <w:rPr>
          <w:rFonts w:ascii="Arial" w:eastAsia="Times New Roman" w:hAnsi="Arial" w:cs="Arial"/>
          <w:lang w:bidi="en-US"/>
        </w:rPr>
        <w:t xml:space="preserve">After following and/or tracing, the claimant then asserts their rights in the followed, original asset or in the new, substitute asset. This is ‘claiming.’ Each claim is associated with a remedy. </w:t>
      </w:r>
    </w:p>
    <w:p w14:paraId="44BC4C7A" w14:textId="070A96EE" w:rsidR="2872CA33" w:rsidRDefault="7728179B" w:rsidP="00186571">
      <w:pPr>
        <w:spacing w:after="120" w:line="480" w:lineRule="auto"/>
        <w:jc w:val="both"/>
        <w:rPr>
          <w:rFonts w:ascii="Arial" w:eastAsia="Times New Roman" w:hAnsi="Arial" w:cs="Arial"/>
          <w:lang w:bidi="en-US"/>
        </w:rPr>
      </w:pPr>
      <w:r w:rsidRPr="7728179B">
        <w:rPr>
          <w:rFonts w:ascii="Arial" w:eastAsia="Times New Roman" w:hAnsi="Arial" w:cs="Arial"/>
          <w:lang w:bidi="en-US"/>
        </w:rPr>
        <w:t>Because the exercise of tracing never creates proprietary rights, but merely allows rights to be asserted in respect of property, it still needs to be shown how a proprietary right that formed the bas</w:t>
      </w:r>
      <w:r w:rsidR="001B58CA">
        <w:rPr>
          <w:rFonts w:ascii="Arial" w:eastAsia="Times New Roman" w:hAnsi="Arial" w:cs="Arial"/>
          <w:lang w:bidi="en-US"/>
        </w:rPr>
        <w:t>e</w:t>
      </w:r>
      <w:r w:rsidRPr="7728179B">
        <w:rPr>
          <w:rFonts w:ascii="Arial" w:eastAsia="Times New Roman" w:hAnsi="Arial" w:cs="Arial"/>
          <w:lang w:bidi="en-US"/>
        </w:rPr>
        <w:t xml:space="preserve"> for the tracing process comes to subsist in the property in respect of which a claim is now made. Here, there are important differences between law and equity. This is a complex area of law, and we can only scratch the surface.</w:t>
      </w:r>
    </w:p>
    <w:p w14:paraId="58A33C25" w14:textId="403DB99C" w:rsidR="00657E40" w:rsidRDefault="00657E40" w:rsidP="00186571">
      <w:pPr>
        <w:spacing w:after="120" w:line="480" w:lineRule="auto"/>
        <w:jc w:val="both"/>
        <w:rPr>
          <w:rFonts w:ascii="Arial" w:eastAsia="Times New Roman" w:hAnsi="Arial" w:cs="Arial"/>
          <w:lang w:bidi="en-US"/>
        </w:rPr>
      </w:pPr>
    </w:p>
    <w:p w14:paraId="1B0666F9" w14:textId="369014A4" w:rsidR="00657E40" w:rsidRDefault="00657E40" w:rsidP="00186571">
      <w:pPr>
        <w:spacing w:after="120" w:line="480" w:lineRule="auto"/>
        <w:jc w:val="both"/>
        <w:rPr>
          <w:rFonts w:ascii="Arial" w:eastAsia="Times New Roman" w:hAnsi="Arial" w:cs="Arial"/>
          <w:lang w:bidi="en-US"/>
        </w:rPr>
      </w:pPr>
      <w:r>
        <w:rPr>
          <w:rFonts w:ascii="Arial" w:eastAsia="Times New Roman" w:hAnsi="Arial" w:cs="Arial"/>
          <w:lang w:bidi="en-US"/>
        </w:rPr>
        <w:t>Common law claims and remedies</w:t>
      </w:r>
    </w:p>
    <w:p w14:paraId="28F9B3B4" w14:textId="21AF95FF" w:rsidR="000412E7" w:rsidRDefault="573D77D7" w:rsidP="573D77D7">
      <w:pPr>
        <w:spacing w:after="120" w:line="480" w:lineRule="auto"/>
        <w:jc w:val="both"/>
        <w:rPr>
          <w:rFonts w:ascii="Arial" w:eastAsia="Times New Roman" w:hAnsi="Arial" w:cs="Arial"/>
          <w:lang w:bidi="en-US"/>
        </w:rPr>
      </w:pPr>
      <w:r w:rsidRPr="573D77D7">
        <w:rPr>
          <w:rFonts w:ascii="Arial" w:eastAsia="Times New Roman" w:hAnsi="Arial" w:cs="Arial"/>
          <w:lang w:bidi="en-US"/>
        </w:rPr>
        <w:t>At common law, the proprietary bas</w:t>
      </w:r>
      <w:r w:rsidR="001B58CA">
        <w:rPr>
          <w:rFonts w:ascii="Arial" w:eastAsia="Times New Roman" w:hAnsi="Arial" w:cs="Arial"/>
          <w:lang w:bidi="en-US"/>
        </w:rPr>
        <w:t>e</w:t>
      </w:r>
      <w:r w:rsidRPr="573D77D7">
        <w:rPr>
          <w:rFonts w:ascii="Arial" w:eastAsia="Times New Roman" w:hAnsi="Arial" w:cs="Arial"/>
          <w:lang w:bidi="en-US"/>
        </w:rPr>
        <w:t xml:space="preserve"> for the tracing process is holding the legal title to the property. </w:t>
      </w:r>
      <w:r w:rsidRPr="00770FD0">
        <w:rPr>
          <w:rFonts w:ascii="Arial" w:eastAsia="Times New Roman" w:hAnsi="Arial" w:cs="Arial"/>
          <w:b/>
          <w:bCs/>
          <w:lang w:bidi="en-US"/>
        </w:rPr>
        <w:t xml:space="preserve">Where a chattel (except for money) is misappropriated (e.g., taken without consent and not returned, etc.), the </w:t>
      </w:r>
      <w:r w:rsidRPr="00770FD0">
        <w:rPr>
          <w:rFonts w:ascii="Arial" w:eastAsia="Times New Roman" w:hAnsi="Arial" w:cs="Arial"/>
          <w:b/>
          <w:bCs/>
          <w:i/>
          <w:iCs/>
          <w:lang w:bidi="en-US"/>
        </w:rPr>
        <w:t xml:space="preserve">nemo </w:t>
      </w:r>
      <w:proofErr w:type="spellStart"/>
      <w:r w:rsidRPr="00770FD0">
        <w:rPr>
          <w:rFonts w:ascii="Arial" w:eastAsia="Times New Roman" w:hAnsi="Arial" w:cs="Arial"/>
          <w:b/>
          <w:bCs/>
          <w:i/>
          <w:iCs/>
          <w:lang w:bidi="en-US"/>
        </w:rPr>
        <w:t>dat</w:t>
      </w:r>
      <w:proofErr w:type="spellEnd"/>
      <w:r w:rsidRPr="00770FD0">
        <w:rPr>
          <w:rFonts w:ascii="Arial" w:eastAsia="Times New Roman" w:hAnsi="Arial" w:cs="Arial"/>
          <w:b/>
          <w:bCs/>
          <w:i/>
          <w:iCs/>
          <w:lang w:bidi="en-US"/>
        </w:rPr>
        <w:t xml:space="preserve"> non quod </w:t>
      </w:r>
      <w:proofErr w:type="spellStart"/>
      <w:r w:rsidRPr="00770FD0">
        <w:rPr>
          <w:rFonts w:ascii="Arial" w:eastAsia="Times New Roman" w:hAnsi="Arial" w:cs="Arial"/>
          <w:b/>
          <w:bCs/>
          <w:i/>
          <w:iCs/>
          <w:lang w:bidi="en-US"/>
        </w:rPr>
        <w:t>habet</w:t>
      </w:r>
      <w:proofErr w:type="spellEnd"/>
      <w:r w:rsidRPr="00770FD0">
        <w:rPr>
          <w:rFonts w:ascii="Arial" w:eastAsia="Times New Roman" w:hAnsi="Arial" w:cs="Arial"/>
          <w:b/>
          <w:bCs/>
          <w:i/>
          <w:iCs/>
          <w:lang w:bidi="en-US"/>
        </w:rPr>
        <w:t xml:space="preserve"> </w:t>
      </w:r>
      <w:r w:rsidRPr="00770FD0">
        <w:rPr>
          <w:rFonts w:ascii="Arial" w:eastAsia="Times New Roman" w:hAnsi="Arial" w:cs="Arial"/>
          <w:b/>
          <w:bCs/>
          <w:lang w:bidi="en-US"/>
        </w:rPr>
        <w:t>rule means that legal title does not pass to the new holder.</w:t>
      </w:r>
      <w:r w:rsidRPr="573D77D7">
        <w:rPr>
          <w:rFonts w:ascii="Arial" w:eastAsia="Times New Roman" w:hAnsi="Arial" w:cs="Arial"/>
          <w:lang w:bidi="en-US"/>
        </w:rPr>
        <w:t xml:space="preserve"> Therefore, if </w:t>
      </w:r>
      <w:r w:rsidRPr="0095499F">
        <w:rPr>
          <w:rFonts w:ascii="Arial" w:eastAsia="Arial" w:hAnsi="Arial" w:cs="Arial"/>
          <w:color w:val="000000" w:themeColor="text1"/>
        </w:rPr>
        <w:t>the property can be followed</w:t>
      </w:r>
      <w:r w:rsidRPr="573D77D7">
        <w:rPr>
          <w:rFonts w:ascii="Arial" w:eastAsia="Arial" w:hAnsi="Arial" w:cs="Arial"/>
          <w:color w:val="000000" w:themeColor="text1"/>
        </w:rPr>
        <w:t xml:space="preserve"> into the new holder’s hands</w:t>
      </w:r>
      <w:r w:rsidRPr="573D77D7">
        <w:rPr>
          <w:rFonts w:ascii="Arial" w:eastAsia="Times New Roman" w:hAnsi="Arial" w:cs="Arial"/>
          <w:lang w:bidi="en-US"/>
        </w:rPr>
        <w:t xml:space="preserve">, the original holder can bring an action for conversion (see below) against the new holder on the basis that the original holder retains ownership in the property. </w:t>
      </w:r>
    </w:p>
    <w:p w14:paraId="56AB6DBD" w14:textId="7FB8E711" w:rsidR="000412E7" w:rsidRDefault="573D77D7" w:rsidP="573D77D7">
      <w:pPr>
        <w:spacing w:after="120" w:line="480" w:lineRule="auto"/>
        <w:jc w:val="both"/>
        <w:rPr>
          <w:rFonts w:ascii="Arial" w:eastAsia="Times New Roman" w:hAnsi="Arial" w:cs="Arial"/>
          <w:lang w:bidi="en-US"/>
        </w:rPr>
      </w:pPr>
      <w:r w:rsidRPr="573D77D7">
        <w:rPr>
          <w:rFonts w:ascii="Arial" w:eastAsia="Times New Roman" w:hAnsi="Arial" w:cs="Arial"/>
          <w:lang w:bidi="en-US"/>
        </w:rPr>
        <w:t xml:space="preserve">Where one cannot follow the property itself, but has to </w:t>
      </w:r>
      <w:r w:rsidRPr="0095499F">
        <w:rPr>
          <w:rFonts w:ascii="Arial" w:eastAsia="Times New Roman" w:hAnsi="Arial" w:cs="Arial"/>
          <w:lang w:bidi="en-US"/>
        </w:rPr>
        <w:t>trace into a substitution</w:t>
      </w:r>
      <w:r w:rsidRPr="573D77D7">
        <w:rPr>
          <w:rFonts w:ascii="Arial" w:eastAsia="Times New Roman" w:hAnsi="Arial" w:cs="Arial"/>
          <w:lang w:bidi="en-US"/>
        </w:rPr>
        <w:t xml:space="preserve"> (i.e., the money that the misappropriating party has received for selling the car, which has since been destroyed), things become more difficult. The original holder clearly does not hold the legal </w:t>
      </w:r>
      <w:r w:rsidRPr="573D77D7">
        <w:rPr>
          <w:rFonts w:ascii="Arial" w:eastAsia="Times New Roman" w:hAnsi="Arial" w:cs="Arial"/>
          <w:lang w:bidi="en-US"/>
        </w:rPr>
        <w:lastRenderedPageBreak/>
        <w:t>title to the substitution, and the proprietary bas</w:t>
      </w:r>
      <w:r w:rsidR="001B58CA">
        <w:rPr>
          <w:rFonts w:ascii="Arial" w:eastAsia="Times New Roman" w:hAnsi="Arial" w:cs="Arial"/>
          <w:lang w:bidi="en-US"/>
        </w:rPr>
        <w:t>e</w:t>
      </w:r>
      <w:r w:rsidRPr="573D77D7">
        <w:rPr>
          <w:rFonts w:ascii="Arial" w:eastAsia="Times New Roman" w:hAnsi="Arial" w:cs="Arial"/>
          <w:lang w:bidi="en-US"/>
        </w:rPr>
        <w:t xml:space="preserve"> for the claim is th</w:t>
      </w:r>
      <w:r w:rsidR="0095499F">
        <w:rPr>
          <w:rFonts w:ascii="Arial" w:eastAsia="Times New Roman" w:hAnsi="Arial" w:cs="Arial"/>
          <w:lang w:bidi="en-US"/>
        </w:rPr>
        <w:t>erefore</w:t>
      </w:r>
      <w:r w:rsidRPr="573D77D7">
        <w:rPr>
          <w:rFonts w:ascii="Arial" w:eastAsia="Times New Roman" w:hAnsi="Arial" w:cs="Arial"/>
          <w:lang w:bidi="en-US"/>
        </w:rPr>
        <w:t xml:space="preserve"> questionable. Is the owner simply expropriated? We will come back to this when discussing </w:t>
      </w:r>
      <w:r w:rsidRPr="573D77D7">
        <w:rPr>
          <w:rFonts w:ascii="Arial" w:eastAsia="Calibri" w:hAnsi="Arial" w:cs="Arial"/>
          <w:i/>
          <w:iCs/>
          <w:u w:val="single"/>
          <w:lang w:eastAsia="en-GB"/>
        </w:rPr>
        <w:t xml:space="preserve">Lipkin Gorman v </w:t>
      </w:r>
      <w:proofErr w:type="spellStart"/>
      <w:r w:rsidRPr="573D77D7">
        <w:rPr>
          <w:rFonts w:ascii="Arial" w:eastAsia="Calibri" w:hAnsi="Arial" w:cs="Arial"/>
          <w:i/>
          <w:iCs/>
          <w:u w:val="single"/>
          <w:lang w:eastAsia="en-GB"/>
        </w:rPr>
        <w:t>Karpnale</w:t>
      </w:r>
      <w:proofErr w:type="spellEnd"/>
      <w:r w:rsidRPr="573D77D7">
        <w:rPr>
          <w:rFonts w:ascii="Arial" w:eastAsia="Calibri" w:hAnsi="Arial" w:cs="Arial"/>
          <w:i/>
          <w:iCs/>
          <w:u w:val="single"/>
          <w:lang w:eastAsia="en-GB"/>
        </w:rPr>
        <w:t xml:space="preserve"> Ltd</w:t>
      </w:r>
      <w:r w:rsidRPr="573D77D7">
        <w:rPr>
          <w:rFonts w:ascii="Arial" w:eastAsia="Calibri" w:hAnsi="Arial" w:cs="Arial"/>
          <w:u w:val="single"/>
          <w:lang w:eastAsia="en-GB"/>
        </w:rPr>
        <w:t xml:space="preserve"> [1991] 2 AC 548</w:t>
      </w:r>
      <w:r w:rsidRPr="573D77D7">
        <w:rPr>
          <w:rFonts w:ascii="Arial" w:eastAsia="Calibri" w:hAnsi="Arial" w:cs="Arial"/>
          <w:lang w:eastAsia="en-GB"/>
        </w:rPr>
        <w:t>, where t</w:t>
      </w:r>
      <w:r w:rsidRPr="573D77D7">
        <w:rPr>
          <w:rFonts w:ascii="Arial" w:eastAsia="Times New Roman" w:hAnsi="Arial" w:cs="Arial"/>
          <w:lang w:bidi="en-US"/>
        </w:rPr>
        <w:t xml:space="preserve">he original owner was able to </w:t>
      </w:r>
      <w:r w:rsidRPr="573D77D7">
        <w:rPr>
          <w:rFonts w:ascii="Arial" w:eastAsia="Arial" w:hAnsi="Arial" w:cs="Arial"/>
          <w:color w:val="000000" w:themeColor="text1"/>
        </w:rPr>
        <w:t>bring an action for money had and received (see below) against the new owner.</w:t>
      </w:r>
    </w:p>
    <w:p w14:paraId="36250C39" w14:textId="1E087293" w:rsidR="00B05456" w:rsidRPr="005F12C2" w:rsidRDefault="195BFCFD" w:rsidP="00186571">
      <w:pPr>
        <w:spacing w:after="120" w:line="480" w:lineRule="auto"/>
        <w:jc w:val="both"/>
        <w:rPr>
          <w:rFonts w:ascii="Arial" w:eastAsia="Times New Roman" w:hAnsi="Arial" w:cs="Arial"/>
          <w:lang w:bidi="en-US"/>
        </w:rPr>
      </w:pPr>
      <w:r w:rsidRPr="195BFCFD">
        <w:rPr>
          <w:rFonts w:ascii="Arial" w:eastAsia="Times New Roman" w:hAnsi="Arial" w:cs="Arial"/>
          <w:lang w:bidi="en-US"/>
        </w:rPr>
        <w:t>At common law, where a proprietary bas</w:t>
      </w:r>
      <w:r w:rsidR="001B58CA">
        <w:rPr>
          <w:rFonts w:ascii="Arial" w:eastAsia="Times New Roman" w:hAnsi="Arial" w:cs="Arial"/>
          <w:lang w:bidi="en-US"/>
        </w:rPr>
        <w:t>e</w:t>
      </w:r>
      <w:r w:rsidRPr="195BFCFD">
        <w:rPr>
          <w:rFonts w:ascii="Arial" w:eastAsia="Times New Roman" w:hAnsi="Arial" w:cs="Arial"/>
          <w:lang w:bidi="en-US"/>
        </w:rPr>
        <w:t xml:space="preserve"> for a claim can be established, remedies are usual personal. Another way of saying this is to say that the proprietary rights in the property are protected by the generation of personal rights. They include:</w:t>
      </w:r>
    </w:p>
    <w:p w14:paraId="5ED5C7B9" w14:textId="5F4B0377" w:rsidR="00A720F8" w:rsidRDefault="00A720F8" w:rsidP="00186571">
      <w:pPr>
        <w:numPr>
          <w:ilvl w:val="0"/>
          <w:numId w:val="12"/>
        </w:numPr>
        <w:spacing w:after="200" w:line="480" w:lineRule="auto"/>
        <w:jc w:val="both"/>
        <w:rPr>
          <w:rFonts w:ascii="Arial" w:eastAsia="Calibri" w:hAnsi="Arial" w:cs="Arial"/>
          <w:lang w:eastAsia="en-GB"/>
        </w:rPr>
      </w:pPr>
      <w:r w:rsidRPr="2872CA33">
        <w:rPr>
          <w:rFonts w:ascii="Arial" w:eastAsia="Calibri" w:hAnsi="Arial" w:cs="Arial"/>
          <w:lang w:eastAsia="en-GB"/>
        </w:rPr>
        <w:t xml:space="preserve">Action for wrongful interference (conversion): Action whereby the claimant sues the defendant for chattels the possession of which </w:t>
      </w:r>
      <w:r w:rsidR="00261803">
        <w:rPr>
          <w:rFonts w:ascii="Arial" w:eastAsia="Calibri" w:hAnsi="Arial" w:cs="Arial"/>
          <w:lang w:eastAsia="en-GB"/>
        </w:rPr>
        <w:t>they have</w:t>
      </w:r>
      <w:r w:rsidRPr="2872CA33">
        <w:rPr>
          <w:rFonts w:ascii="Arial" w:eastAsia="Calibri" w:hAnsi="Arial" w:cs="Arial"/>
          <w:lang w:eastAsia="en-GB"/>
        </w:rPr>
        <w:t xml:space="preserve"> been deprived of, for example where the defendant takes possession of chattels and refuses to give them to the owner on demand. The remedy here is compensatory; it awards damages to the claimant for </w:t>
      </w:r>
      <w:r w:rsidR="00261803">
        <w:rPr>
          <w:rFonts w:ascii="Arial" w:eastAsia="Calibri" w:hAnsi="Arial" w:cs="Arial"/>
          <w:lang w:eastAsia="en-GB"/>
        </w:rPr>
        <w:t>their</w:t>
      </w:r>
      <w:r w:rsidRPr="2872CA33">
        <w:rPr>
          <w:rFonts w:ascii="Arial" w:eastAsia="Calibri" w:hAnsi="Arial" w:cs="Arial"/>
          <w:lang w:eastAsia="en-GB"/>
        </w:rPr>
        <w:t xml:space="preserve"> loss. </w:t>
      </w:r>
    </w:p>
    <w:p w14:paraId="4652BC6D" w14:textId="77777777" w:rsidR="00B05456" w:rsidRPr="008E0CFD" w:rsidRDefault="4F5E15DC" w:rsidP="00186571">
      <w:pPr>
        <w:numPr>
          <w:ilvl w:val="0"/>
          <w:numId w:val="12"/>
        </w:numPr>
        <w:spacing w:after="200" w:line="480" w:lineRule="auto"/>
        <w:contextualSpacing/>
        <w:jc w:val="both"/>
        <w:rPr>
          <w:rFonts w:ascii="Arial" w:eastAsia="Calibri" w:hAnsi="Arial" w:cs="Arial"/>
          <w:lang w:eastAsia="en-GB"/>
        </w:rPr>
      </w:pPr>
      <w:r w:rsidRPr="4F5E15DC">
        <w:rPr>
          <w:rFonts w:ascii="Arial" w:eastAsia="Calibri" w:hAnsi="Arial" w:cs="Arial"/>
          <w:lang w:eastAsia="en-GB"/>
        </w:rPr>
        <w:t xml:space="preserve">Action for money had and received: Action whereby the claimant sues the defendant for money the defendant has received and to which the claimant is entitled. The remedy here is </w:t>
      </w:r>
      <w:proofErr w:type="spellStart"/>
      <w:r w:rsidRPr="4F5E15DC">
        <w:rPr>
          <w:rFonts w:ascii="Arial" w:eastAsia="Calibri" w:hAnsi="Arial" w:cs="Arial"/>
          <w:lang w:eastAsia="en-GB"/>
        </w:rPr>
        <w:t>restitutionary</w:t>
      </w:r>
      <w:proofErr w:type="spellEnd"/>
      <w:r w:rsidRPr="4F5E15DC">
        <w:rPr>
          <w:rFonts w:ascii="Arial" w:eastAsia="Calibri" w:hAnsi="Arial" w:cs="Arial"/>
          <w:lang w:eastAsia="en-GB"/>
        </w:rPr>
        <w:t>; it reverses the process by which the defendant was enriched by the claimant’s money. The amount received establishes the measure of liability.</w:t>
      </w:r>
    </w:p>
    <w:p w14:paraId="37274992" w14:textId="77777777" w:rsidR="00A91AF8" w:rsidRDefault="00A91AF8" w:rsidP="00186571">
      <w:pPr>
        <w:spacing w:after="120" w:line="480" w:lineRule="auto"/>
        <w:jc w:val="both"/>
        <w:rPr>
          <w:rFonts w:ascii="Arial" w:eastAsia="Times New Roman" w:hAnsi="Arial" w:cs="Arial"/>
          <w:lang w:bidi="en-US"/>
        </w:rPr>
      </w:pPr>
    </w:p>
    <w:p w14:paraId="1624052C" w14:textId="22CD4045" w:rsidR="00657E40" w:rsidRDefault="00657E40" w:rsidP="00186571">
      <w:pPr>
        <w:spacing w:after="120" w:line="480" w:lineRule="auto"/>
        <w:jc w:val="both"/>
        <w:rPr>
          <w:rFonts w:ascii="Arial" w:eastAsia="Times New Roman" w:hAnsi="Arial" w:cs="Arial"/>
          <w:lang w:bidi="en-US"/>
        </w:rPr>
      </w:pPr>
      <w:r>
        <w:rPr>
          <w:rFonts w:ascii="Arial" w:eastAsia="Times New Roman" w:hAnsi="Arial" w:cs="Arial"/>
          <w:lang w:bidi="en-US"/>
        </w:rPr>
        <w:t>Equitable claims and remedies</w:t>
      </w:r>
    </w:p>
    <w:p w14:paraId="4A7E6DD5" w14:textId="73857CEC" w:rsidR="005636E9" w:rsidRDefault="2872CA33" w:rsidP="00186571">
      <w:pPr>
        <w:spacing w:after="120" w:line="480" w:lineRule="auto"/>
        <w:jc w:val="both"/>
        <w:rPr>
          <w:rFonts w:ascii="Arial" w:eastAsia="Times New Roman" w:hAnsi="Arial" w:cs="Arial"/>
          <w:lang w:bidi="en-US"/>
        </w:rPr>
      </w:pPr>
      <w:r w:rsidRPr="2872CA33">
        <w:rPr>
          <w:rFonts w:ascii="Arial" w:eastAsia="Times New Roman" w:hAnsi="Arial" w:cs="Arial"/>
          <w:lang w:bidi="en-US"/>
        </w:rPr>
        <w:t xml:space="preserve">In </w:t>
      </w:r>
      <w:r w:rsidRPr="00657E40">
        <w:rPr>
          <w:rFonts w:ascii="Arial" w:eastAsia="Times New Roman" w:hAnsi="Arial" w:cs="Arial"/>
          <w:bCs/>
          <w:lang w:bidi="en-US"/>
        </w:rPr>
        <w:t>equity</w:t>
      </w:r>
      <w:r w:rsidRPr="00657E40">
        <w:rPr>
          <w:rFonts w:ascii="Arial" w:eastAsia="Times New Roman" w:hAnsi="Arial" w:cs="Arial"/>
          <w:lang w:bidi="en-US"/>
        </w:rPr>
        <w:t>, the</w:t>
      </w:r>
      <w:r w:rsidRPr="2872CA33">
        <w:rPr>
          <w:rFonts w:ascii="Arial" w:eastAsia="Times New Roman" w:hAnsi="Arial" w:cs="Arial"/>
          <w:lang w:bidi="en-US"/>
        </w:rPr>
        <w:t xml:space="preserve"> proprietary bas</w:t>
      </w:r>
      <w:r w:rsidR="001B58CA">
        <w:rPr>
          <w:rFonts w:ascii="Arial" w:eastAsia="Times New Roman" w:hAnsi="Arial" w:cs="Arial"/>
          <w:lang w:bidi="en-US"/>
        </w:rPr>
        <w:t>e</w:t>
      </w:r>
      <w:r w:rsidRPr="2872CA33">
        <w:rPr>
          <w:rFonts w:ascii="Arial" w:eastAsia="Times New Roman" w:hAnsi="Arial" w:cs="Arial"/>
          <w:lang w:bidi="en-US"/>
        </w:rPr>
        <w:t xml:space="preserve"> for the tracing process is holding </w:t>
      </w:r>
      <w:r w:rsidR="003B44BA">
        <w:rPr>
          <w:rFonts w:ascii="Arial" w:eastAsia="Times New Roman" w:hAnsi="Arial" w:cs="Arial"/>
          <w:lang w:bidi="en-US"/>
        </w:rPr>
        <w:t>a beneficial interest in</w:t>
      </w:r>
      <w:r w:rsidRPr="2872CA33">
        <w:rPr>
          <w:rFonts w:ascii="Arial" w:eastAsia="Times New Roman" w:hAnsi="Arial" w:cs="Arial"/>
          <w:lang w:bidi="en-US"/>
        </w:rPr>
        <w:t xml:space="preserve"> the property. As you know, the beneficial </w:t>
      </w:r>
      <w:r w:rsidR="003B44BA">
        <w:rPr>
          <w:rFonts w:ascii="Arial" w:eastAsia="Times New Roman" w:hAnsi="Arial" w:cs="Arial"/>
          <w:lang w:bidi="en-US"/>
        </w:rPr>
        <w:t xml:space="preserve">interest comprises proprietary rights that prevail against the world at large. </w:t>
      </w:r>
      <w:r w:rsidRPr="2872CA33">
        <w:rPr>
          <w:rFonts w:ascii="Arial" w:eastAsia="Times New Roman" w:hAnsi="Arial" w:cs="Arial"/>
          <w:lang w:bidi="en-US"/>
        </w:rPr>
        <w:t xml:space="preserve">It </w:t>
      </w:r>
      <w:r w:rsidR="00994ED8">
        <w:rPr>
          <w:rFonts w:ascii="Arial" w:eastAsia="Times New Roman" w:hAnsi="Arial" w:cs="Arial"/>
          <w:lang w:bidi="en-US"/>
        </w:rPr>
        <w:t>is separate from</w:t>
      </w:r>
      <w:r w:rsidRPr="2872CA33">
        <w:rPr>
          <w:rFonts w:ascii="Arial" w:eastAsia="Times New Roman" w:hAnsi="Arial" w:cs="Arial"/>
          <w:lang w:bidi="en-US"/>
        </w:rPr>
        <w:t xml:space="preserve"> the legal title and </w:t>
      </w:r>
      <w:r w:rsidR="00994ED8">
        <w:rPr>
          <w:rFonts w:ascii="Arial" w:eastAsia="Times New Roman" w:hAnsi="Arial" w:cs="Arial"/>
          <w:lang w:bidi="en-US"/>
        </w:rPr>
        <w:t xml:space="preserve">follows it even when the legal title moves from the trustee to another party (e.g., the trustee sells a car held on trust to another party). </w:t>
      </w:r>
      <w:r w:rsidR="00F67C3D">
        <w:rPr>
          <w:rFonts w:ascii="Arial" w:eastAsia="Times New Roman" w:hAnsi="Arial" w:cs="Arial"/>
          <w:lang w:bidi="en-US"/>
        </w:rPr>
        <w:t>(</w:t>
      </w:r>
      <w:r w:rsidR="00994ED8">
        <w:rPr>
          <w:rFonts w:ascii="Arial" w:eastAsia="Times New Roman" w:hAnsi="Arial" w:cs="Arial"/>
          <w:lang w:bidi="en-US"/>
        </w:rPr>
        <w:t>An exception to this is if the other party is a bona fide purchaser for value without notice, see defences below</w:t>
      </w:r>
      <w:r w:rsidRPr="2872CA33">
        <w:rPr>
          <w:rFonts w:ascii="Arial" w:eastAsia="Times New Roman" w:hAnsi="Arial" w:cs="Arial"/>
          <w:lang w:bidi="en-US"/>
        </w:rPr>
        <w:t>.</w:t>
      </w:r>
      <w:r w:rsidR="00F67C3D">
        <w:rPr>
          <w:rFonts w:ascii="Arial" w:eastAsia="Times New Roman" w:hAnsi="Arial" w:cs="Arial"/>
          <w:lang w:bidi="en-US"/>
        </w:rPr>
        <w:t>)</w:t>
      </w:r>
      <w:r w:rsidRPr="2872CA33">
        <w:rPr>
          <w:rFonts w:ascii="Arial" w:eastAsia="Times New Roman" w:hAnsi="Arial" w:cs="Arial"/>
          <w:lang w:bidi="en-US"/>
        </w:rPr>
        <w:t xml:space="preserve"> </w:t>
      </w:r>
      <w:r w:rsidR="00994ED8">
        <w:rPr>
          <w:rFonts w:ascii="Arial" w:eastAsia="Times New Roman" w:hAnsi="Arial" w:cs="Arial"/>
          <w:lang w:bidi="en-US"/>
        </w:rPr>
        <w:t xml:space="preserve">If one can </w:t>
      </w:r>
      <w:r w:rsidR="00994ED8" w:rsidRPr="0095499F">
        <w:rPr>
          <w:rFonts w:ascii="Arial" w:eastAsia="Times New Roman" w:hAnsi="Arial" w:cs="Arial"/>
          <w:lang w:bidi="en-US"/>
        </w:rPr>
        <w:t>follow the property</w:t>
      </w:r>
      <w:r w:rsidR="00994ED8">
        <w:rPr>
          <w:rFonts w:ascii="Arial" w:eastAsia="Times New Roman" w:hAnsi="Arial" w:cs="Arial"/>
          <w:lang w:bidi="en-US"/>
        </w:rPr>
        <w:t xml:space="preserve"> into the hands of a new legal owner, a claim in equity may therefore be brought, as the original holder’s</w:t>
      </w:r>
      <w:r w:rsidRPr="2872CA33">
        <w:rPr>
          <w:rFonts w:ascii="Arial" w:eastAsia="Times New Roman" w:hAnsi="Arial" w:cs="Arial"/>
          <w:lang w:bidi="en-US"/>
        </w:rPr>
        <w:t xml:space="preserve"> beneficial interest </w:t>
      </w:r>
      <w:r w:rsidR="00994ED8">
        <w:rPr>
          <w:rFonts w:ascii="Arial" w:eastAsia="Times New Roman" w:hAnsi="Arial" w:cs="Arial"/>
          <w:lang w:bidi="en-US"/>
        </w:rPr>
        <w:t xml:space="preserve">in the </w:t>
      </w:r>
      <w:r w:rsidR="00994ED8">
        <w:rPr>
          <w:rFonts w:ascii="Arial" w:eastAsia="Times New Roman" w:hAnsi="Arial" w:cs="Arial"/>
          <w:lang w:bidi="en-US"/>
        </w:rPr>
        <w:lastRenderedPageBreak/>
        <w:t>property will subsist</w:t>
      </w:r>
      <w:r w:rsidRPr="2872CA33">
        <w:rPr>
          <w:rFonts w:ascii="Arial" w:eastAsia="Times New Roman" w:hAnsi="Arial" w:cs="Arial"/>
          <w:lang w:bidi="en-US"/>
        </w:rPr>
        <w:t xml:space="preserve"> undistinguished</w:t>
      </w:r>
      <w:r w:rsidR="00994ED8">
        <w:rPr>
          <w:rFonts w:ascii="Arial" w:eastAsia="Times New Roman" w:hAnsi="Arial" w:cs="Arial"/>
          <w:lang w:bidi="en-US"/>
        </w:rPr>
        <w:t xml:space="preserve">. Where one needs to </w:t>
      </w:r>
      <w:r w:rsidR="00994ED8" w:rsidRPr="0095499F">
        <w:rPr>
          <w:rFonts w:ascii="Arial" w:eastAsia="Times New Roman" w:hAnsi="Arial" w:cs="Arial"/>
          <w:lang w:bidi="en-US"/>
        </w:rPr>
        <w:t xml:space="preserve">trace into </w:t>
      </w:r>
      <w:r w:rsidR="00F67C3D" w:rsidRPr="0095499F">
        <w:rPr>
          <w:rFonts w:ascii="Arial" w:eastAsia="Times New Roman" w:hAnsi="Arial" w:cs="Arial"/>
          <w:lang w:bidi="en-US"/>
        </w:rPr>
        <w:t xml:space="preserve">its </w:t>
      </w:r>
      <w:r w:rsidR="00994ED8" w:rsidRPr="0095499F">
        <w:rPr>
          <w:rFonts w:ascii="Arial" w:eastAsia="Times New Roman" w:hAnsi="Arial" w:cs="Arial"/>
          <w:lang w:bidi="en-US"/>
        </w:rPr>
        <w:t>proceeds</w:t>
      </w:r>
      <w:r w:rsidR="00994ED8">
        <w:rPr>
          <w:rFonts w:ascii="Arial" w:eastAsia="Times New Roman" w:hAnsi="Arial" w:cs="Arial"/>
          <w:lang w:bidi="en-US"/>
        </w:rPr>
        <w:t xml:space="preserve"> (e.g., the money received by the trustee for the car, which has since been destroyed), equity is also in a better position, as it can impose </w:t>
      </w:r>
      <w:r w:rsidRPr="2872CA33">
        <w:rPr>
          <w:rFonts w:ascii="Arial" w:eastAsia="Times New Roman" w:hAnsi="Arial" w:cs="Arial"/>
          <w:lang w:bidi="en-US"/>
        </w:rPr>
        <w:t>a (constructive</w:t>
      </w:r>
      <w:r w:rsidR="00A720F8">
        <w:rPr>
          <w:rFonts w:ascii="Arial" w:eastAsia="Times New Roman" w:hAnsi="Arial" w:cs="Arial"/>
          <w:lang w:bidi="en-US"/>
        </w:rPr>
        <w:t xml:space="preserve"> or resulting</w:t>
      </w:r>
      <w:r w:rsidRPr="2872CA33">
        <w:rPr>
          <w:rFonts w:ascii="Arial" w:eastAsia="Times New Roman" w:hAnsi="Arial" w:cs="Arial"/>
          <w:lang w:bidi="en-US"/>
        </w:rPr>
        <w:t>) trust</w:t>
      </w:r>
      <w:r w:rsidR="005714D0">
        <w:rPr>
          <w:rFonts w:ascii="Arial" w:eastAsia="Times New Roman" w:hAnsi="Arial" w:cs="Arial"/>
          <w:lang w:bidi="en-US"/>
        </w:rPr>
        <w:t xml:space="preserve"> or an equitable charge</w:t>
      </w:r>
      <w:r w:rsidRPr="2872CA33">
        <w:rPr>
          <w:rFonts w:ascii="Arial" w:eastAsia="Times New Roman" w:hAnsi="Arial" w:cs="Arial"/>
          <w:lang w:bidi="en-US"/>
        </w:rPr>
        <w:t xml:space="preserve"> over </w:t>
      </w:r>
      <w:r w:rsidR="00994ED8">
        <w:rPr>
          <w:rFonts w:ascii="Arial" w:eastAsia="Times New Roman" w:hAnsi="Arial" w:cs="Arial"/>
          <w:lang w:bidi="en-US"/>
        </w:rPr>
        <w:t>the proceeds</w:t>
      </w:r>
      <w:r w:rsidRPr="2872CA33">
        <w:rPr>
          <w:rFonts w:ascii="Arial" w:eastAsia="Times New Roman" w:hAnsi="Arial" w:cs="Arial"/>
          <w:lang w:bidi="en-US"/>
        </w:rPr>
        <w:t xml:space="preserve"> in favour of the original holder</w:t>
      </w:r>
      <w:r w:rsidR="005714D0">
        <w:rPr>
          <w:rFonts w:ascii="Arial" w:eastAsia="Times New Roman" w:hAnsi="Arial" w:cs="Arial"/>
          <w:lang w:bidi="en-US"/>
        </w:rPr>
        <w:t xml:space="preserve">, </w:t>
      </w:r>
      <w:r w:rsidR="00844460">
        <w:rPr>
          <w:rFonts w:ascii="Arial" w:eastAsia="Times New Roman" w:hAnsi="Arial" w:cs="Arial"/>
          <w:lang w:bidi="en-US"/>
        </w:rPr>
        <w:t>mechanism</w:t>
      </w:r>
      <w:r w:rsidR="005714D0">
        <w:rPr>
          <w:rFonts w:ascii="Arial" w:eastAsia="Times New Roman" w:hAnsi="Arial" w:cs="Arial"/>
          <w:lang w:bidi="en-US"/>
        </w:rPr>
        <w:t>s</w:t>
      </w:r>
      <w:r w:rsidR="00844460">
        <w:rPr>
          <w:rFonts w:ascii="Arial" w:eastAsia="Times New Roman" w:hAnsi="Arial" w:cs="Arial"/>
          <w:lang w:bidi="en-US"/>
        </w:rPr>
        <w:t xml:space="preserve"> that do not exist at common law.</w:t>
      </w:r>
      <w:r w:rsidRPr="2872CA33">
        <w:rPr>
          <w:rFonts w:ascii="Arial" w:eastAsia="Times New Roman" w:hAnsi="Arial" w:cs="Arial"/>
          <w:lang w:bidi="en-US"/>
        </w:rPr>
        <w:t xml:space="preserve"> It is thus much easier in equity to ensure there is a</w:t>
      </w:r>
      <w:r w:rsidR="00A720F8">
        <w:rPr>
          <w:rFonts w:ascii="Arial" w:eastAsia="Times New Roman" w:hAnsi="Arial" w:cs="Arial"/>
          <w:lang w:bidi="en-US"/>
        </w:rPr>
        <w:t>n ongoing</w:t>
      </w:r>
      <w:r w:rsidRPr="2872CA33">
        <w:rPr>
          <w:rFonts w:ascii="Arial" w:eastAsia="Times New Roman" w:hAnsi="Arial" w:cs="Arial"/>
          <w:lang w:bidi="en-US"/>
        </w:rPr>
        <w:t xml:space="preserve"> proprietary bas</w:t>
      </w:r>
      <w:r w:rsidR="001B58CA">
        <w:rPr>
          <w:rFonts w:ascii="Arial" w:eastAsia="Times New Roman" w:hAnsi="Arial" w:cs="Arial"/>
          <w:lang w:bidi="en-US"/>
        </w:rPr>
        <w:t>e</w:t>
      </w:r>
      <w:r w:rsidRPr="2872CA33">
        <w:rPr>
          <w:rFonts w:ascii="Arial" w:eastAsia="Times New Roman" w:hAnsi="Arial" w:cs="Arial"/>
          <w:lang w:bidi="en-US"/>
        </w:rPr>
        <w:t xml:space="preserve"> for the claim than it is at common law. </w:t>
      </w:r>
    </w:p>
    <w:p w14:paraId="54C6C183" w14:textId="0EEE46A1" w:rsidR="002614A9" w:rsidRDefault="00A91AF8" w:rsidP="00186571">
      <w:pPr>
        <w:spacing w:after="120" w:line="480" w:lineRule="auto"/>
        <w:jc w:val="both"/>
        <w:rPr>
          <w:rFonts w:ascii="Arial" w:eastAsia="Times New Roman" w:hAnsi="Arial" w:cs="Arial"/>
          <w:bCs/>
          <w:iCs/>
          <w:lang w:bidi="en-US"/>
        </w:rPr>
      </w:pPr>
      <w:r>
        <w:rPr>
          <w:rFonts w:ascii="Arial" w:eastAsia="Times New Roman" w:hAnsi="Arial" w:cs="Arial"/>
          <w:bCs/>
          <w:iCs/>
          <w:lang w:bidi="en-US"/>
        </w:rPr>
        <w:t>In equity, the remedy as well as the claim is proprietary, and includes:</w:t>
      </w:r>
    </w:p>
    <w:p w14:paraId="6AF4CC0D" w14:textId="77777777" w:rsidR="00E826F4" w:rsidRPr="00E826F4" w:rsidRDefault="00E0F0E7" w:rsidP="7728179B">
      <w:pPr>
        <w:numPr>
          <w:ilvl w:val="0"/>
          <w:numId w:val="12"/>
        </w:numPr>
        <w:spacing w:after="200" w:line="480" w:lineRule="auto"/>
        <w:contextualSpacing/>
        <w:jc w:val="both"/>
        <w:rPr>
          <w:rFonts w:eastAsiaTheme="minorEastAsia"/>
          <w:lang w:bidi="en-US"/>
        </w:rPr>
      </w:pPr>
      <w:r w:rsidRPr="00E826F4">
        <w:rPr>
          <w:rFonts w:ascii="Arial" w:eastAsia="Calibri" w:hAnsi="Arial" w:cs="Arial"/>
          <w:b/>
          <w:bCs/>
          <w:lang w:eastAsia="en-GB"/>
        </w:rPr>
        <w:t>The property itself or a proportionate share thereof under a constructive or resulting trust (i.e., the claimant is said to hold a beneficial interest in the property)</w:t>
      </w:r>
      <w:r w:rsidRPr="00E0F0E7">
        <w:rPr>
          <w:rFonts w:ascii="Arial" w:eastAsia="Calibri" w:hAnsi="Arial" w:cs="Arial"/>
          <w:lang w:eastAsia="en-GB"/>
        </w:rPr>
        <w:t>: This will be the best choice where the property has been retained or cleanly substituted or where it has increased in value, as it will give the claimant a share in the increase.</w:t>
      </w:r>
      <w:r>
        <w:t xml:space="preserve"> </w:t>
      </w:r>
      <w:r w:rsidRPr="00E0F0E7">
        <w:rPr>
          <w:rFonts w:ascii="Arial" w:eastAsia="Calibri" w:hAnsi="Arial" w:cs="Arial"/>
          <w:lang w:eastAsia="en-GB"/>
        </w:rPr>
        <w:t xml:space="preserve">It is </w:t>
      </w:r>
      <w:proofErr w:type="gramStart"/>
      <w:r w:rsidRPr="00E0F0E7">
        <w:rPr>
          <w:rFonts w:ascii="Arial" w:eastAsia="Calibri" w:hAnsi="Arial" w:cs="Arial"/>
          <w:lang w:eastAsia="en-GB"/>
        </w:rPr>
        <w:t>effected</w:t>
      </w:r>
      <w:proofErr w:type="gramEnd"/>
      <w:r w:rsidRPr="00E0F0E7">
        <w:rPr>
          <w:rFonts w:ascii="Arial" w:eastAsia="Calibri" w:hAnsi="Arial" w:cs="Arial"/>
          <w:lang w:eastAsia="en-GB"/>
        </w:rPr>
        <w:t xml:space="preserve"> by a declaration that the identified assets are to be held on the terms of the original trust. </w:t>
      </w:r>
    </w:p>
    <w:p w14:paraId="2CB44E38" w14:textId="778957A8" w:rsidR="002614A9" w:rsidRPr="002614A9" w:rsidRDefault="00E0F0E7" w:rsidP="00E826F4">
      <w:pPr>
        <w:numPr>
          <w:ilvl w:val="1"/>
          <w:numId w:val="12"/>
        </w:numPr>
        <w:spacing w:after="200" w:line="480" w:lineRule="auto"/>
        <w:contextualSpacing/>
        <w:jc w:val="both"/>
        <w:rPr>
          <w:rFonts w:eastAsiaTheme="minorEastAsia"/>
          <w:lang w:bidi="en-US"/>
        </w:rPr>
      </w:pPr>
      <w:r w:rsidRPr="00E0F0E7">
        <w:rPr>
          <w:rFonts w:ascii="Arial" w:eastAsia="Calibri" w:hAnsi="Arial" w:cs="Arial"/>
          <w:lang w:eastAsia="en-GB"/>
        </w:rPr>
        <w:t xml:space="preserve">Where the property claimed is in a mixed fund or was acquired with a mixed fund (a mixed substitution), the beneficiary, while being prevented from claiming the property itself, is entitled to claim a proportionate share thereof. </w:t>
      </w:r>
      <w:r w:rsidRPr="00E0F0E7">
        <w:rPr>
          <w:rFonts w:ascii="Arial" w:eastAsia="Times New Roman" w:hAnsi="Arial" w:cs="Arial"/>
          <w:lang w:bidi="en-US"/>
        </w:rPr>
        <w:t xml:space="preserve">This was established in </w:t>
      </w:r>
      <w:r w:rsidRPr="00E0F0E7">
        <w:rPr>
          <w:rFonts w:ascii="Arial" w:eastAsia="Times New Roman" w:hAnsi="Arial" w:cs="Arial"/>
          <w:i/>
          <w:iCs/>
          <w:u w:val="single"/>
          <w:lang w:bidi="en-US"/>
        </w:rPr>
        <w:t>Foskett</w:t>
      </w:r>
      <w:r w:rsidRPr="00E0F0E7">
        <w:rPr>
          <w:rFonts w:ascii="Arial" w:eastAsia="Times New Roman" w:hAnsi="Arial" w:cs="Arial"/>
          <w:lang w:bidi="en-US"/>
        </w:rPr>
        <w:t xml:space="preserve">, where the children had argued that the beneficiaries under the scheme were restricted to seeking a lien (see below) over the policy proceeds to recover the value of the money used for the premiums, but that they could not claim a proportionate proprietary interest in the death benefit paid out (a lien would have got the investors </w:t>
      </w:r>
      <w:r w:rsidRPr="00E0F0E7">
        <w:rPr>
          <w:rFonts w:ascii="Arial" w:eastAsia="Arial" w:hAnsi="Arial" w:cs="Arial"/>
          <w:color w:val="000000" w:themeColor="text1"/>
        </w:rPr>
        <w:t>£20,440, a proportionate share £400,000)</w:t>
      </w:r>
      <w:r w:rsidRPr="00E0F0E7">
        <w:rPr>
          <w:rFonts w:ascii="Arial" w:eastAsia="Times New Roman" w:hAnsi="Arial" w:cs="Arial"/>
          <w:lang w:bidi="en-US"/>
        </w:rPr>
        <w:t>. In rejecting this argument, Millett</w:t>
      </w:r>
      <w:r w:rsidR="0013256C">
        <w:rPr>
          <w:rFonts w:ascii="Arial" w:eastAsia="Times New Roman" w:hAnsi="Arial" w:cs="Arial"/>
          <w:lang w:bidi="en-US"/>
        </w:rPr>
        <w:t xml:space="preserve"> LJ</w:t>
      </w:r>
      <w:r w:rsidRPr="00E0F0E7">
        <w:rPr>
          <w:rFonts w:ascii="Arial" w:eastAsia="Times New Roman" w:hAnsi="Arial" w:cs="Arial"/>
          <w:lang w:bidi="en-US"/>
        </w:rPr>
        <w:t xml:space="preserve"> expressly disapproved dicta by Jessel MR in </w:t>
      </w:r>
      <w:r w:rsidRPr="00E0F0E7">
        <w:rPr>
          <w:rFonts w:ascii="Arial" w:eastAsia="Times New Roman" w:hAnsi="Arial" w:cs="Arial"/>
          <w:i/>
          <w:iCs/>
          <w:u w:val="single"/>
          <w:lang w:bidi="en-US"/>
        </w:rPr>
        <w:t>Re Hallett’s Estate</w:t>
      </w:r>
      <w:r w:rsidRPr="00E0F0E7">
        <w:rPr>
          <w:rFonts w:ascii="Arial" w:eastAsia="Times New Roman" w:hAnsi="Arial" w:cs="Arial"/>
          <w:u w:val="single"/>
          <w:lang w:bidi="en-US"/>
        </w:rPr>
        <w:t xml:space="preserve"> [1880) 12 Ch D 696</w:t>
      </w:r>
      <w:r w:rsidRPr="00E0F0E7">
        <w:rPr>
          <w:rFonts w:ascii="Arial" w:eastAsia="Times New Roman" w:hAnsi="Arial" w:cs="Arial"/>
          <w:lang w:bidi="en-US"/>
        </w:rPr>
        <w:t xml:space="preserve"> suggesting that a beneficiary would be restricted to claiming a lien over property purchased from a mixed fund. He contended it would be contrary to the cardinal principle that a trustee should not be able to profit from a breach of trust.</w:t>
      </w:r>
    </w:p>
    <w:p w14:paraId="5C166CBC" w14:textId="03DD08E4" w:rsidR="002614A9" w:rsidRPr="00FD00E3" w:rsidRDefault="00E0F0E7" w:rsidP="00186571">
      <w:pPr>
        <w:numPr>
          <w:ilvl w:val="0"/>
          <w:numId w:val="12"/>
        </w:numPr>
        <w:spacing w:after="200" w:line="480" w:lineRule="auto"/>
        <w:jc w:val="both"/>
        <w:rPr>
          <w:rFonts w:ascii="Arial" w:eastAsia="Calibri" w:hAnsi="Arial" w:cs="Arial"/>
          <w:lang w:eastAsia="en-GB"/>
        </w:rPr>
      </w:pPr>
      <w:r w:rsidRPr="00E826F4">
        <w:rPr>
          <w:rFonts w:ascii="Arial" w:eastAsia="Calibri" w:hAnsi="Arial" w:cs="Arial"/>
          <w:b/>
          <w:bCs/>
          <w:lang w:eastAsia="en-GB"/>
        </w:rPr>
        <w:lastRenderedPageBreak/>
        <w:t>A lien (charge) (i.e., the claimant is said to hold a security interest in the property)</w:t>
      </w:r>
      <w:r w:rsidRPr="00E0F0E7">
        <w:rPr>
          <w:rFonts w:ascii="Arial" w:eastAsia="Calibri" w:hAnsi="Arial" w:cs="Arial"/>
          <w:lang w:eastAsia="en-GB"/>
        </w:rPr>
        <w:t>: This gives the claimant a right to be satisfied out of the proceeds from the sale of the property ahead of other parties. It can often be claimed as an alternative to a proportionate share and is the best choice where the property has decreased in value, as it will avoid the beneficiary having to share in the decrease. A lien cannot be claimed where</w:t>
      </w:r>
      <w:r w:rsidRPr="00E0F0E7">
        <w:rPr>
          <w:rFonts w:ascii="Arial" w:eastAsia="Times New Roman" w:hAnsi="Arial" w:cs="Arial"/>
          <w:lang w:bidi="en-US"/>
        </w:rPr>
        <w:t xml:space="preserve"> the money of two trusts has been mixed by a trustee or where trust money has been mixed with that of an innocent volunteer and the property has gone down in value, as this would give one innocent claimant priority over the other. In this case, a lien cannot be enforced over the property, which must be shared </w:t>
      </w:r>
      <w:proofErr w:type="spellStart"/>
      <w:r w:rsidRPr="00E0F0E7">
        <w:rPr>
          <w:rFonts w:ascii="Arial" w:eastAsia="Times New Roman" w:hAnsi="Arial" w:cs="Arial"/>
          <w:lang w:bidi="en-US"/>
        </w:rPr>
        <w:t>pari</w:t>
      </w:r>
      <w:proofErr w:type="spellEnd"/>
      <w:r w:rsidRPr="00E0F0E7">
        <w:rPr>
          <w:rFonts w:ascii="Arial" w:eastAsia="Times New Roman" w:hAnsi="Arial" w:cs="Arial"/>
          <w:lang w:bidi="en-US"/>
        </w:rPr>
        <w:t xml:space="preserve"> passu (this means that it has to be shared according to the parties’ contributions, with losses and gains being borne by the contributors rateably).</w:t>
      </w:r>
    </w:p>
    <w:p w14:paraId="09936866" w14:textId="51AAC45B" w:rsidR="00FD00E3" w:rsidRPr="00FD00E3" w:rsidRDefault="00A60C9D" w:rsidP="00FD00E3">
      <w:pPr>
        <w:numPr>
          <w:ilvl w:val="0"/>
          <w:numId w:val="12"/>
        </w:numPr>
        <w:spacing w:after="200" w:line="480" w:lineRule="auto"/>
        <w:jc w:val="both"/>
        <w:rPr>
          <w:rFonts w:ascii="Arial" w:eastAsia="Calibri" w:hAnsi="Arial" w:cs="Arial"/>
          <w:lang w:eastAsia="en-GB"/>
        </w:rPr>
      </w:pPr>
      <w:r w:rsidRPr="00E826F4">
        <w:rPr>
          <w:rFonts w:ascii="Arial" w:eastAsia="Calibri" w:hAnsi="Arial" w:cs="Arial"/>
          <w:b/>
          <w:bCs/>
          <w:lang w:eastAsia="en-GB"/>
        </w:rPr>
        <w:t>Subrogation</w:t>
      </w:r>
      <w:r>
        <w:rPr>
          <w:rFonts w:ascii="Arial" w:eastAsia="Calibri" w:hAnsi="Arial" w:cs="Arial"/>
          <w:lang w:eastAsia="en-GB"/>
        </w:rPr>
        <w:t xml:space="preserve">: </w:t>
      </w:r>
      <w:r w:rsidR="00FD00E3" w:rsidRPr="00FD00E3">
        <w:rPr>
          <w:rFonts w:ascii="Arial" w:eastAsia="Calibri" w:hAnsi="Arial" w:cs="Arial"/>
          <w:lang w:eastAsia="en-GB"/>
        </w:rPr>
        <w:t xml:space="preserve">Where the defendant has used trust money to pay off a secured loan such as a mortgage, the claimant may ‘step into the lender’s shoes’ and become ‘subrogated’ to the mortgage. This means that the claimant receives a proprietary remedy in the form of a charge to the value of the misappropriated trust money over the defendant’s property. Subrogation here is a </w:t>
      </w:r>
      <w:proofErr w:type="spellStart"/>
      <w:r w:rsidR="00FD00E3" w:rsidRPr="00FD00E3">
        <w:rPr>
          <w:rFonts w:ascii="Arial" w:eastAsia="Calibri" w:hAnsi="Arial" w:cs="Arial"/>
          <w:lang w:eastAsia="en-GB"/>
        </w:rPr>
        <w:t>restitutionary</w:t>
      </w:r>
      <w:proofErr w:type="spellEnd"/>
      <w:r w:rsidR="00FD00E3" w:rsidRPr="00FD00E3">
        <w:rPr>
          <w:rFonts w:ascii="Arial" w:eastAsia="Calibri" w:hAnsi="Arial" w:cs="Arial"/>
          <w:lang w:eastAsia="en-GB"/>
        </w:rPr>
        <w:t xml:space="preserve"> remedy aimed at preventing the unjust enrichment by the defendant. </w:t>
      </w:r>
      <w:r w:rsidRPr="00FD00E3">
        <w:rPr>
          <w:rFonts w:ascii="Arial" w:eastAsia="Calibri" w:hAnsi="Arial" w:cs="Arial"/>
          <w:lang w:eastAsia="en-GB"/>
        </w:rPr>
        <w:t>The right of subrogation ar</w:t>
      </w:r>
      <w:r>
        <w:rPr>
          <w:rFonts w:ascii="Arial" w:eastAsia="Calibri" w:hAnsi="Arial" w:cs="Arial"/>
          <w:lang w:eastAsia="en-GB"/>
        </w:rPr>
        <w:t>ises</w:t>
      </w:r>
      <w:r w:rsidRPr="00FD00E3">
        <w:rPr>
          <w:rFonts w:ascii="Arial" w:eastAsia="Calibri" w:hAnsi="Arial" w:cs="Arial"/>
          <w:lang w:eastAsia="en-GB"/>
        </w:rPr>
        <w:t xml:space="preserve"> from the conduct of the parties</w:t>
      </w:r>
      <w:r>
        <w:rPr>
          <w:rFonts w:ascii="Arial" w:eastAsia="Calibri" w:hAnsi="Arial" w:cs="Arial"/>
          <w:lang w:eastAsia="en-GB"/>
        </w:rPr>
        <w:t xml:space="preserve"> in the specific circumstances (</w:t>
      </w:r>
      <w:r w:rsidR="00FD00E3" w:rsidRPr="00FD00E3">
        <w:rPr>
          <w:rFonts w:ascii="Arial" w:eastAsia="Calibri" w:hAnsi="Arial" w:cs="Arial"/>
          <w:i/>
          <w:u w:val="single"/>
          <w:lang w:eastAsia="en-GB"/>
        </w:rPr>
        <w:t xml:space="preserve">Boscawen v Bajwa </w:t>
      </w:r>
      <w:r w:rsidR="00FD00E3" w:rsidRPr="00CD2BFF">
        <w:rPr>
          <w:rFonts w:ascii="Arial" w:eastAsia="Calibri" w:hAnsi="Arial" w:cs="Arial"/>
          <w:iCs/>
          <w:u w:val="single"/>
          <w:lang w:eastAsia="en-GB"/>
        </w:rPr>
        <w:t>[1996] 1 WLR 328</w:t>
      </w:r>
      <w:r>
        <w:rPr>
          <w:rFonts w:ascii="Arial" w:eastAsia="Calibri" w:hAnsi="Arial" w:cs="Arial"/>
          <w:lang w:eastAsia="en-GB"/>
        </w:rPr>
        <w:t>)</w:t>
      </w:r>
      <w:r w:rsidR="00CD2BFF">
        <w:rPr>
          <w:rFonts w:ascii="Arial" w:eastAsia="Calibri" w:hAnsi="Arial" w:cs="Arial"/>
          <w:lang w:eastAsia="en-GB"/>
        </w:rPr>
        <w:t>.</w:t>
      </w:r>
    </w:p>
    <w:p w14:paraId="278889E1" w14:textId="1B6BB3E5" w:rsidR="005B4C93" w:rsidRDefault="005B4C93" w:rsidP="7728179B">
      <w:pPr>
        <w:pStyle w:val="ListParagraph"/>
        <w:spacing w:after="120" w:line="480" w:lineRule="auto"/>
        <w:ind w:left="0"/>
        <w:jc w:val="both"/>
        <w:rPr>
          <w:rFonts w:ascii="Arial" w:eastAsia="Times New Roman" w:hAnsi="Arial" w:cs="Arial"/>
          <w:b/>
          <w:bCs/>
          <w:lang w:bidi="en-US"/>
        </w:rPr>
      </w:pPr>
    </w:p>
    <w:p w14:paraId="6C78563B" w14:textId="4F9B235B" w:rsidR="006A57D3" w:rsidRPr="00F14151" w:rsidRDefault="00F14151" w:rsidP="7728179B">
      <w:pPr>
        <w:pStyle w:val="ListParagraph"/>
        <w:spacing w:after="120" w:line="480" w:lineRule="auto"/>
        <w:ind w:left="0"/>
        <w:jc w:val="both"/>
        <w:rPr>
          <w:rFonts w:ascii="Arial" w:eastAsia="Times New Roman" w:hAnsi="Arial" w:cs="Arial"/>
          <w:lang w:bidi="en-US"/>
        </w:rPr>
      </w:pPr>
      <w:r>
        <w:rPr>
          <w:rFonts w:ascii="Arial" w:eastAsia="Times New Roman" w:hAnsi="Arial" w:cs="Arial"/>
          <w:lang w:bidi="en-US"/>
        </w:rPr>
        <w:t xml:space="preserve">d) </w:t>
      </w:r>
      <w:r w:rsidR="7728179B" w:rsidRPr="00F14151">
        <w:rPr>
          <w:rFonts w:ascii="Arial" w:eastAsia="Times New Roman" w:hAnsi="Arial" w:cs="Arial"/>
          <w:lang w:bidi="en-US"/>
        </w:rPr>
        <w:t>Defences</w:t>
      </w:r>
    </w:p>
    <w:p w14:paraId="475D25BD" w14:textId="3433D465" w:rsidR="7728179B" w:rsidRDefault="7728179B" w:rsidP="7728179B">
      <w:pPr>
        <w:pStyle w:val="ListParagraph"/>
        <w:spacing w:after="120" w:line="480" w:lineRule="auto"/>
        <w:ind w:left="0"/>
        <w:jc w:val="both"/>
        <w:rPr>
          <w:rFonts w:ascii="Arial" w:eastAsia="Times New Roman" w:hAnsi="Arial" w:cs="Arial"/>
          <w:lang w:bidi="en-US"/>
        </w:rPr>
      </w:pPr>
      <w:r w:rsidRPr="7728179B">
        <w:rPr>
          <w:rFonts w:ascii="Arial" w:eastAsia="Times New Roman" w:hAnsi="Arial" w:cs="Arial"/>
          <w:lang w:bidi="en-US"/>
        </w:rPr>
        <w:t xml:space="preserve">Defences can be raised by respondents in relation to a claim after property has been traced or followed into their hands. </w:t>
      </w:r>
    </w:p>
    <w:p w14:paraId="298847B3" w14:textId="68793E7B" w:rsidR="006A57D3" w:rsidRPr="00186571" w:rsidRDefault="7728179B" w:rsidP="7728179B">
      <w:pPr>
        <w:pStyle w:val="ListParagraph"/>
        <w:numPr>
          <w:ilvl w:val="0"/>
          <w:numId w:val="18"/>
        </w:numPr>
        <w:spacing w:after="120" w:line="480" w:lineRule="auto"/>
        <w:ind w:left="357" w:hanging="357"/>
        <w:jc w:val="both"/>
        <w:rPr>
          <w:rFonts w:ascii="Arial" w:eastAsia="Times New Roman" w:hAnsi="Arial" w:cs="Arial"/>
          <w:b/>
          <w:bCs/>
          <w:lang w:bidi="en-US"/>
        </w:rPr>
      </w:pPr>
      <w:r w:rsidRPr="7728179B">
        <w:rPr>
          <w:rFonts w:ascii="Arial" w:eastAsia="Times New Roman" w:hAnsi="Arial" w:cs="Arial"/>
          <w:b/>
          <w:bCs/>
          <w:lang w:bidi="en-US"/>
        </w:rPr>
        <w:t>Dissipation or destruction</w:t>
      </w:r>
      <w:r w:rsidRPr="7728179B">
        <w:rPr>
          <w:rFonts w:ascii="Arial" w:eastAsia="Times New Roman" w:hAnsi="Arial" w:cs="Arial"/>
          <w:lang w:bidi="en-US"/>
        </w:rPr>
        <w:t xml:space="preserve">: Dissipation or destruction puts an end to the following of property beyond the respondent’s hands. </w:t>
      </w:r>
    </w:p>
    <w:p w14:paraId="2D08F59B" w14:textId="1CC34F3E" w:rsidR="006A57D3" w:rsidRPr="00186571" w:rsidRDefault="7728179B" w:rsidP="7728179B">
      <w:pPr>
        <w:pStyle w:val="ListParagraph"/>
        <w:numPr>
          <w:ilvl w:val="1"/>
          <w:numId w:val="18"/>
        </w:numPr>
        <w:spacing w:after="120" w:line="480" w:lineRule="auto"/>
        <w:jc w:val="both"/>
        <w:rPr>
          <w:b/>
          <w:bCs/>
          <w:lang w:bidi="en-US"/>
        </w:rPr>
      </w:pPr>
      <w:r w:rsidRPr="7728179B">
        <w:rPr>
          <w:rFonts w:ascii="Arial" w:eastAsia="Times New Roman" w:hAnsi="Arial" w:cs="Arial"/>
          <w:lang w:bidi="en-US"/>
        </w:rPr>
        <w:t>At common law, a claim can, however, still be brought against a respondent who has dissipated or destroyed property if the remedy sought is personal.</w:t>
      </w:r>
    </w:p>
    <w:p w14:paraId="013F85E1" w14:textId="20EE9F88" w:rsidR="006A57D3" w:rsidRPr="00186571" w:rsidRDefault="7728179B" w:rsidP="7728179B">
      <w:pPr>
        <w:pStyle w:val="ListParagraph"/>
        <w:numPr>
          <w:ilvl w:val="1"/>
          <w:numId w:val="18"/>
        </w:numPr>
        <w:spacing w:after="120" w:line="480" w:lineRule="auto"/>
        <w:jc w:val="both"/>
        <w:rPr>
          <w:b/>
          <w:bCs/>
          <w:lang w:bidi="en-US"/>
        </w:rPr>
      </w:pPr>
      <w:r w:rsidRPr="7728179B">
        <w:rPr>
          <w:rFonts w:ascii="Arial" w:eastAsia="Times New Roman" w:hAnsi="Arial" w:cs="Arial"/>
          <w:lang w:bidi="en-US"/>
        </w:rPr>
        <w:lastRenderedPageBreak/>
        <w:t>In equity, the property in question or its substitution must still exist at the time of judgment if an equitable claim is to succeed. If the property has been spent or destroyed, no proprietary remedy is possible.</w:t>
      </w:r>
      <w:r w:rsidRPr="7728179B">
        <w:rPr>
          <w:rFonts w:ascii="Arial" w:eastAsia="Times New Roman" w:hAnsi="Arial" w:cs="Arial"/>
          <w:b/>
          <w:bCs/>
          <w:lang w:bidi="en-US"/>
        </w:rPr>
        <w:t xml:space="preserve">  </w:t>
      </w:r>
    </w:p>
    <w:p w14:paraId="772F118C" w14:textId="6B297876" w:rsidR="00155607" w:rsidRPr="00186571" w:rsidRDefault="7728179B" w:rsidP="7728179B">
      <w:pPr>
        <w:pStyle w:val="ListParagraph"/>
        <w:numPr>
          <w:ilvl w:val="1"/>
          <w:numId w:val="18"/>
        </w:numPr>
        <w:spacing w:after="0" w:line="480" w:lineRule="auto"/>
        <w:jc w:val="both"/>
        <w:rPr>
          <w:rFonts w:eastAsiaTheme="minorEastAsia"/>
          <w:lang w:bidi="en-US"/>
        </w:rPr>
      </w:pPr>
      <w:r w:rsidRPr="7728179B">
        <w:rPr>
          <w:rFonts w:ascii="Arial" w:eastAsia="Times New Roman" w:hAnsi="Arial" w:cs="Arial"/>
          <w:lang w:bidi="en-US"/>
        </w:rPr>
        <w:t>Debts and unsecured loans</w:t>
      </w:r>
    </w:p>
    <w:p w14:paraId="24AC0F83" w14:textId="290500D2" w:rsidR="00155607" w:rsidRPr="00FD00E3" w:rsidRDefault="7728179B" w:rsidP="7728179B">
      <w:pPr>
        <w:spacing w:after="0" w:line="480" w:lineRule="auto"/>
        <w:ind w:left="1440"/>
        <w:jc w:val="both"/>
        <w:rPr>
          <w:rFonts w:ascii="Arial" w:eastAsia="Times New Roman" w:hAnsi="Arial" w:cs="Arial"/>
          <w:lang w:bidi="en-US"/>
        </w:rPr>
      </w:pPr>
      <w:r w:rsidRPr="7728179B">
        <w:rPr>
          <w:rFonts w:ascii="Arial" w:eastAsia="Calibri" w:hAnsi="Arial" w:cs="Arial"/>
          <w:lang w:eastAsia="en-GB"/>
        </w:rPr>
        <w:t xml:space="preserve">Where misappropriated trust money has been used to discharge a debt or an unsecured loan, there will be no assets (such as a positive bank balance) to trace into in equity. Furthermore, the creditor (the bank) will be equity’s darling (see below) unless it had notice of the misappropriation. </w:t>
      </w:r>
    </w:p>
    <w:p w14:paraId="51B4E654" w14:textId="6A4C0FCF" w:rsidR="00155607" w:rsidRPr="00FD00E3" w:rsidRDefault="7728179B" w:rsidP="7728179B">
      <w:pPr>
        <w:pStyle w:val="ListParagraph"/>
        <w:numPr>
          <w:ilvl w:val="1"/>
          <w:numId w:val="18"/>
        </w:numPr>
        <w:spacing w:after="0" w:line="480" w:lineRule="auto"/>
        <w:jc w:val="both"/>
        <w:rPr>
          <w:lang w:bidi="en-US"/>
        </w:rPr>
      </w:pPr>
      <w:r w:rsidRPr="7728179B">
        <w:rPr>
          <w:rFonts w:ascii="Arial" w:eastAsia="Times New Roman" w:hAnsi="Arial" w:cs="Arial"/>
          <w:lang w:bidi="en-US"/>
        </w:rPr>
        <w:t>Overdrawn accounts</w:t>
      </w:r>
    </w:p>
    <w:p w14:paraId="178DF418" w14:textId="4C4510DF" w:rsidR="00D136BD" w:rsidRPr="00E826F4" w:rsidRDefault="02D0451D" w:rsidP="00E826F4">
      <w:pPr>
        <w:spacing w:after="0" w:line="480" w:lineRule="auto"/>
        <w:ind w:left="1440"/>
        <w:jc w:val="both"/>
      </w:pPr>
      <w:r w:rsidRPr="02D0451D">
        <w:rPr>
          <w:rFonts w:ascii="Arial" w:eastAsia="Calibri" w:hAnsi="Arial" w:cs="Arial"/>
          <w:lang w:eastAsia="en-GB"/>
        </w:rPr>
        <w:t>The general rule is that it is not possible to trace through overdrawn accounts (</w:t>
      </w:r>
      <w:r w:rsidRPr="02D0451D">
        <w:rPr>
          <w:rFonts w:ascii="Arial" w:eastAsia="Calibri" w:hAnsi="Arial" w:cs="Arial"/>
          <w:i/>
          <w:iCs/>
          <w:u w:val="single"/>
          <w:lang w:bidi="en-US"/>
        </w:rPr>
        <w:t>Bishopsgate Investment Management Ltd (BIM) v Homan</w:t>
      </w:r>
      <w:r w:rsidRPr="02D0451D">
        <w:rPr>
          <w:rFonts w:ascii="Arial" w:eastAsia="Calibri" w:hAnsi="Arial" w:cs="Arial"/>
          <w:u w:val="single"/>
          <w:lang w:bidi="en-US"/>
        </w:rPr>
        <w:t xml:space="preserve"> [1995] Ch 211)</w:t>
      </w:r>
      <w:r w:rsidRPr="02D0451D">
        <w:rPr>
          <w:rFonts w:ascii="Arial" w:eastAsia="Calibri" w:hAnsi="Arial" w:cs="Arial"/>
          <w:lang w:eastAsia="en-GB"/>
        </w:rPr>
        <w:t xml:space="preserve">. However, in the same case Dillon </w:t>
      </w:r>
      <w:r w:rsidR="0013256C">
        <w:rPr>
          <w:rFonts w:ascii="Arial" w:eastAsia="Calibri" w:hAnsi="Arial" w:cs="Arial"/>
          <w:lang w:eastAsia="en-GB"/>
        </w:rPr>
        <w:t xml:space="preserve">LJ </w:t>
      </w:r>
      <w:r w:rsidRPr="02D0451D">
        <w:rPr>
          <w:rFonts w:ascii="Arial" w:eastAsia="Calibri" w:hAnsi="Arial" w:cs="Arial"/>
          <w:lang w:eastAsia="en-GB"/>
        </w:rPr>
        <w:t>advanced the</w:t>
      </w:r>
      <w:r w:rsidRPr="02D0451D">
        <w:rPr>
          <w:rFonts w:ascii="Arial" w:eastAsia="Calibri" w:hAnsi="Arial" w:cs="Arial"/>
          <w:lang w:val="en-US" w:bidi="en-US"/>
        </w:rPr>
        <w:t xml:space="preserve"> idea of ‘backwards tracing,’ albeit obiter. This idea suggests that, where </w:t>
      </w:r>
      <w:r w:rsidRPr="02D0451D">
        <w:rPr>
          <w:rFonts w:ascii="Arial" w:eastAsia="Calibri" w:hAnsi="Arial" w:cs="Arial"/>
          <w:lang w:bidi="en-US"/>
        </w:rPr>
        <w:t xml:space="preserve">the trustee acquires an asset through </w:t>
      </w:r>
      <w:r w:rsidR="00F61AF6">
        <w:rPr>
          <w:rFonts w:ascii="Arial" w:eastAsia="Calibri" w:hAnsi="Arial" w:cs="Arial"/>
          <w:lang w:bidi="en-US"/>
        </w:rPr>
        <w:t>incurring a debt</w:t>
      </w:r>
      <w:r w:rsidRPr="02D0451D">
        <w:rPr>
          <w:rFonts w:ascii="Arial" w:eastAsia="Calibri" w:hAnsi="Arial" w:cs="Arial"/>
          <w:lang w:bidi="en-US"/>
        </w:rPr>
        <w:t>, which is then extinguished with the misappropriated funds, it might be possible to trace the value into the asset. The availability of backwards tracing was affirmed</w:t>
      </w:r>
      <w:r w:rsidR="00F61AF6">
        <w:rPr>
          <w:rFonts w:ascii="Arial" w:eastAsia="Calibri" w:hAnsi="Arial" w:cs="Arial"/>
          <w:lang w:bidi="en-US"/>
        </w:rPr>
        <w:t xml:space="preserve"> in this narrow sense, as well as in the wider sense of tracing through a non-chronological transactional chain, by</w:t>
      </w:r>
      <w:r w:rsidRPr="02D0451D">
        <w:rPr>
          <w:rFonts w:ascii="Arial" w:eastAsia="Calibri" w:hAnsi="Arial" w:cs="Arial"/>
          <w:lang w:bidi="en-US"/>
        </w:rPr>
        <w:t xml:space="preserve"> the cases of </w:t>
      </w:r>
      <w:proofErr w:type="spellStart"/>
      <w:r w:rsidRPr="02D0451D">
        <w:rPr>
          <w:rFonts w:ascii="Arial" w:eastAsia="Calibri" w:hAnsi="Arial" w:cs="Arial"/>
          <w:i/>
          <w:iCs/>
          <w:u w:val="single"/>
          <w:lang w:bidi="en-US"/>
        </w:rPr>
        <w:t>Relfo</w:t>
      </w:r>
      <w:proofErr w:type="spellEnd"/>
      <w:r w:rsidRPr="02D0451D">
        <w:rPr>
          <w:rFonts w:ascii="Arial" w:eastAsia="Calibri" w:hAnsi="Arial" w:cs="Arial"/>
          <w:i/>
          <w:iCs/>
          <w:u w:val="single"/>
          <w:lang w:bidi="en-US"/>
        </w:rPr>
        <w:t xml:space="preserve"> Ltd (in liquidation) v </w:t>
      </w:r>
      <w:proofErr w:type="spellStart"/>
      <w:r w:rsidRPr="02D0451D">
        <w:rPr>
          <w:rFonts w:ascii="Arial" w:eastAsia="Calibri" w:hAnsi="Arial" w:cs="Arial"/>
          <w:i/>
          <w:iCs/>
          <w:u w:val="single"/>
          <w:lang w:bidi="en-US"/>
        </w:rPr>
        <w:t>Varsani</w:t>
      </w:r>
      <w:proofErr w:type="spellEnd"/>
      <w:r w:rsidRPr="02D0451D">
        <w:rPr>
          <w:rFonts w:ascii="Arial" w:eastAsia="Calibri" w:hAnsi="Arial" w:cs="Arial"/>
          <w:u w:val="single"/>
          <w:lang w:bidi="en-US"/>
        </w:rPr>
        <w:t xml:space="preserve"> [2014] EWCA </w:t>
      </w:r>
      <w:proofErr w:type="spellStart"/>
      <w:r w:rsidRPr="02D0451D">
        <w:rPr>
          <w:rFonts w:ascii="Arial" w:eastAsia="Calibri" w:hAnsi="Arial" w:cs="Arial"/>
          <w:u w:val="single"/>
          <w:lang w:bidi="en-US"/>
        </w:rPr>
        <w:t>Civ</w:t>
      </w:r>
      <w:proofErr w:type="spellEnd"/>
      <w:r w:rsidRPr="02D0451D">
        <w:rPr>
          <w:rFonts w:ascii="Arial" w:eastAsia="Calibri" w:hAnsi="Arial" w:cs="Arial"/>
          <w:u w:val="single"/>
          <w:lang w:bidi="en-US"/>
        </w:rPr>
        <w:t xml:space="preserve"> 360</w:t>
      </w:r>
      <w:r w:rsidRPr="02D0451D">
        <w:rPr>
          <w:rFonts w:ascii="Arial" w:eastAsia="Calibri" w:hAnsi="Arial" w:cs="Arial"/>
          <w:lang w:bidi="en-US"/>
        </w:rPr>
        <w:t xml:space="preserve"> and </w:t>
      </w:r>
      <w:r w:rsidRPr="02D0451D">
        <w:rPr>
          <w:rFonts w:ascii="Arial" w:eastAsia="Calibri" w:hAnsi="Arial" w:cs="Arial"/>
          <w:i/>
          <w:iCs/>
          <w:u w:val="single"/>
          <w:lang w:bidi="en-US"/>
        </w:rPr>
        <w:t>Federal Republic of Brazil v Durant International Corp</w:t>
      </w:r>
      <w:r w:rsidRPr="02D0451D">
        <w:rPr>
          <w:rFonts w:ascii="Arial" w:eastAsia="Calibri" w:hAnsi="Arial" w:cs="Arial"/>
          <w:u w:val="single"/>
          <w:lang w:bidi="en-US"/>
        </w:rPr>
        <w:t xml:space="preserve"> [2015] UKPC 35</w:t>
      </w:r>
      <w:r w:rsidRPr="02D0451D">
        <w:rPr>
          <w:rFonts w:ascii="Arial" w:eastAsia="Calibri" w:hAnsi="Arial" w:cs="Arial"/>
          <w:lang w:bidi="en-US"/>
        </w:rPr>
        <w:t>. It can be applied where co-ordination between the depletion of the trust fund and the acquisition of the asset can be established.</w:t>
      </w:r>
    </w:p>
    <w:p w14:paraId="4B36D491" w14:textId="3F399E08" w:rsidR="00186571" w:rsidRPr="00D136BD" w:rsidRDefault="000E192F" w:rsidP="00186571">
      <w:pPr>
        <w:pStyle w:val="ListParagraph"/>
        <w:numPr>
          <w:ilvl w:val="0"/>
          <w:numId w:val="18"/>
        </w:numPr>
        <w:spacing w:after="120" w:line="480" w:lineRule="auto"/>
        <w:ind w:left="357" w:hanging="357"/>
        <w:jc w:val="both"/>
        <w:rPr>
          <w:rFonts w:ascii="Arial" w:eastAsia="Times New Roman" w:hAnsi="Arial" w:cs="Arial"/>
          <w:bCs/>
          <w:iCs/>
          <w:lang w:bidi="en-US"/>
        </w:rPr>
      </w:pPr>
      <w:r w:rsidRPr="000E192F">
        <w:rPr>
          <w:rFonts w:ascii="Arial" w:eastAsia="Times New Roman" w:hAnsi="Arial" w:cs="Arial"/>
          <w:b/>
          <w:bCs/>
          <w:iCs/>
          <w:lang w:bidi="en-US"/>
        </w:rPr>
        <w:t>BFPFVWN</w:t>
      </w:r>
      <w:r w:rsidR="00D136BD" w:rsidRPr="00D136BD">
        <w:rPr>
          <w:rFonts w:ascii="Arial" w:eastAsia="Times New Roman" w:hAnsi="Arial" w:cs="Arial"/>
          <w:bCs/>
          <w:iCs/>
          <w:lang w:bidi="en-US"/>
        </w:rPr>
        <w:t xml:space="preserve"> (also called ‘equity’s darling’)</w:t>
      </w:r>
      <w:r w:rsidRPr="00D136BD">
        <w:rPr>
          <w:rFonts w:ascii="Arial" w:eastAsia="Times New Roman" w:hAnsi="Arial" w:cs="Arial"/>
          <w:bCs/>
          <w:iCs/>
          <w:lang w:bidi="en-US"/>
        </w:rPr>
        <w:t xml:space="preserve">: </w:t>
      </w:r>
    </w:p>
    <w:p w14:paraId="13D15A16" w14:textId="64594A44" w:rsidR="00186571" w:rsidRDefault="322DE645" w:rsidP="7728179B">
      <w:pPr>
        <w:pStyle w:val="ListParagraph"/>
        <w:numPr>
          <w:ilvl w:val="1"/>
          <w:numId w:val="18"/>
        </w:numPr>
        <w:spacing w:after="120" w:line="480" w:lineRule="auto"/>
        <w:jc w:val="both"/>
        <w:rPr>
          <w:rFonts w:ascii="Arial" w:eastAsia="Times New Roman" w:hAnsi="Arial" w:cs="Arial"/>
          <w:lang w:bidi="en-US"/>
        </w:rPr>
      </w:pPr>
      <w:r w:rsidRPr="322DE645">
        <w:rPr>
          <w:rFonts w:ascii="Arial" w:eastAsia="Times New Roman" w:hAnsi="Arial" w:cs="Arial"/>
          <w:lang w:bidi="en-US"/>
        </w:rPr>
        <w:t xml:space="preserve">In equity, where the legal title to the property is acquired by a bona fide purchaser for value without notice of the pre-existing equitable interest, that interest is extinguished. </w:t>
      </w:r>
    </w:p>
    <w:p w14:paraId="72C9272A" w14:textId="77777777" w:rsidR="002528A9" w:rsidRDefault="7728179B" w:rsidP="7728179B">
      <w:pPr>
        <w:pStyle w:val="ListParagraph"/>
        <w:numPr>
          <w:ilvl w:val="1"/>
          <w:numId w:val="18"/>
        </w:numPr>
        <w:spacing w:after="120" w:line="480" w:lineRule="auto"/>
        <w:jc w:val="both"/>
        <w:rPr>
          <w:rFonts w:ascii="Arial" w:eastAsia="Times New Roman" w:hAnsi="Arial" w:cs="Arial"/>
          <w:lang w:bidi="en-US"/>
        </w:rPr>
      </w:pPr>
      <w:r w:rsidRPr="7728179B">
        <w:rPr>
          <w:rFonts w:ascii="Arial" w:eastAsia="Times New Roman" w:hAnsi="Arial" w:cs="Arial"/>
          <w:lang w:bidi="en-US"/>
        </w:rPr>
        <w:t>At common law, this defence only exists in relation to money and other negotiable instruments. ‘Notice’ relates to the fact that the transferor’s title is defective (e.g., the property has been misappropriated).</w:t>
      </w:r>
    </w:p>
    <w:p w14:paraId="68AEEF9F" w14:textId="4C55C588" w:rsidR="00186571" w:rsidRPr="00E826F4" w:rsidRDefault="7728179B" w:rsidP="00E826F4">
      <w:pPr>
        <w:pStyle w:val="ListParagraph"/>
        <w:numPr>
          <w:ilvl w:val="1"/>
          <w:numId w:val="18"/>
        </w:numPr>
        <w:spacing w:after="120" w:line="480" w:lineRule="auto"/>
        <w:jc w:val="both"/>
        <w:rPr>
          <w:rFonts w:ascii="Arial" w:eastAsia="Times New Roman" w:hAnsi="Arial" w:cs="Arial"/>
          <w:lang w:bidi="en-US"/>
        </w:rPr>
      </w:pPr>
      <w:r w:rsidRPr="7728179B">
        <w:rPr>
          <w:rFonts w:ascii="Arial" w:eastAsia="Times New Roman" w:hAnsi="Arial" w:cs="Arial"/>
          <w:lang w:bidi="en-US"/>
        </w:rPr>
        <w:lastRenderedPageBreak/>
        <w:t xml:space="preserve">Banks that accept cash for deposit with them are BFPFVWN in respect of the cash, but not in respect of the account balance, which are the traceable proceeds of the cash.  </w:t>
      </w:r>
    </w:p>
    <w:p w14:paraId="61603256" w14:textId="278E8A36" w:rsidR="00C11703" w:rsidRPr="000F48D7" w:rsidRDefault="000E192F" w:rsidP="00C11703">
      <w:pPr>
        <w:pStyle w:val="ListParagraph"/>
        <w:numPr>
          <w:ilvl w:val="0"/>
          <w:numId w:val="21"/>
        </w:numPr>
        <w:spacing w:after="120" w:line="480" w:lineRule="auto"/>
        <w:ind w:left="357" w:hanging="357"/>
        <w:jc w:val="both"/>
        <w:rPr>
          <w:rFonts w:ascii="Arial" w:eastAsia="Times New Roman" w:hAnsi="Arial" w:cs="Arial"/>
          <w:b/>
          <w:bCs/>
          <w:iCs/>
          <w:color w:val="FF0000"/>
          <w:lang w:bidi="en-US"/>
        </w:rPr>
      </w:pPr>
      <w:r>
        <w:rPr>
          <w:rFonts w:ascii="Arial" w:eastAsia="Times New Roman" w:hAnsi="Arial" w:cs="Arial"/>
          <w:b/>
          <w:bCs/>
          <w:iCs/>
          <w:lang w:bidi="en-US"/>
        </w:rPr>
        <w:t>Change of position</w:t>
      </w:r>
      <w:r w:rsidRPr="000E192F">
        <w:rPr>
          <w:rFonts w:ascii="Arial" w:eastAsia="Times New Roman" w:hAnsi="Arial" w:cs="Arial"/>
          <w:bCs/>
          <w:iCs/>
          <w:lang w:bidi="en-US"/>
        </w:rPr>
        <w:t>:</w:t>
      </w:r>
      <w:r>
        <w:rPr>
          <w:rFonts w:ascii="Arial" w:eastAsia="Times New Roman" w:hAnsi="Arial" w:cs="Arial"/>
          <w:bCs/>
          <w:iCs/>
          <w:lang w:bidi="en-US"/>
        </w:rPr>
        <w:t xml:space="preserve"> </w:t>
      </w:r>
      <w:r w:rsidR="002528A9">
        <w:rPr>
          <w:rFonts w:ascii="Arial" w:eastAsia="Times New Roman" w:hAnsi="Arial" w:cs="Arial"/>
          <w:bCs/>
          <w:iCs/>
          <w:lang w:bidi="en-US"/>
        </w:rPr>
        <w:t>Where restitution would be inequitable in all the circumstances, a change of position defence may apply. Goff</w:t>
      </w:r>
      <w:r w:rsidR="0013256C">
        <w:rPr>
          <w:rFonts w:ascii="Arial" w:eastAsia="Times New Roman" w:hAnsi="Arial" w:cs="Arial"/>
          <w:bCs/>
          <w:iCs/>
          <w:lang w:bidi="en-US"/>
        </w:rPr>
        <w:t xml:space="preserve"> LJ</w:t>
      </w:r>
      <w:r w:rsidR="002528A9">
        <w:rPr>
          <w:rFonts w:ascii="Arial" w:eastAsia="Times New Roman" w:hAnsi="Arial" w:cs="Arial"/>
          <w:bCs/>
          <w:iCs/>
          <w:lang w:bidi="en-US"/>
        </w:rPr>
        <w:t xml:space="preserve"> in </w:t>
      </w:r>
      <w:r w:rsidR="002528A9" w:rsidRPr="000A7AC6">
        <w:rPr>
          <w:rFonts w:ascii="Arial" w:eastAsia="Times New Roman" w:hAnsi="Arial" w:cs="Arial"/>
          <w:bCs/>
          <w:i/>
          <w:iCs/>
          <w:u w:val="single"/>
          <w:lang w:bidi="en-US"/>
        </w:rPr>
        <w:t>Lipkin Gorman</w:t>
      </w:r>
      <w:r w:rsidR="00C11703">
        <w:rPr>
          <w:rFonts w:ascii="Arial" w:eastAsia="Times New Roman" w:hAnsi="Arial" w:cs="Arial"/>
          <w:bCs/>
          <w:iCs/>
          <w:lang w:bidi="en-US"/>
        </w:rPr>
        <w:t xml:space="preserve"> said, at 579,</w:t>
      </w:r>
      <w:r w:rsidR="002528A9">
        <w:rPr>
          <w:rFonts w:ascii="Arial" w:eastAsia="Times New Roman" w:hAnsi="Arial" w:cs="Arial"/>
          <w:bCs/>
          <w:iCs/>
          <w:lang w:bidi="en-US"/>
        </w:rPr>
        <w:t xml:space="preserve"> “where an innocent defendant’s position is so changed that he will suffer an injustice if called upon to repay or to repay in full, the injustice of </w:t>
      </w:r>
      <w:r w:rsidR="000A7AC6">
        <w:rPr>
          <w:rFonts w:ascii="Arial" w:eastAsia="Times New Roman" w:hAnsi="Arial" w:cs="Arial"/>
          <w:bCs/>
          <w:iCs/>
          <w:lang w:bidi="en-US"/>
        </w:rPr>
        <w:t>requiring</w:t>
      </w:r>
      <w:r w:rsidR="002528A9">
        <w:rPr>
          <w:rFonts w:ascii="Arial" w:eastAsia="Times New Roman" w:hAnsi="Arial" w:cs="Arial"/>
          <w:bCs/>
          <w:iCs/>
          <w:lang w:bidi="en-US"/>
        </w:rPr>
        <w:t xml:space="preserve"> him so to repay </w:t>
      </w:r>
      <w:r w:rsidR="000A7AC6">
        <w:rPr>
          <w:rFonts w:ascii="Arial" w:eastAsia="Times New Roman" w:hAnsi="Arial" w:cs="Arial"/>
          <w:bCs/>
          <w:iCs/>
          <w:lang w:bidi="en-US"/>
        </w:rPr>
        <w:t>outweighs</w:t>
      </w:r>
      <w:r w:rsidR="002528A9">
        <w:rPr>
          <w:rFonts w:ascii="Arial" w:eastAsia="Times New Roman" w:hAnsi="Arial" w:cs="Arial"/>
          <w:bCs/>
          <w:iCs/>
          <w:lang w:bidi="en-US"/>
        </w:rPr>
        <w:t xml:space="preserve"> the injustice of denying the plaintiff restitution.”</w:t>
      </w:r>
      <w:r w:rsidR="00C11703">
        <w:rPr>
          <w:rFonts w:ascii="Arial" w:eastAsia="Times New Roman" w:hAnsi="Arial" w:cs="Arial"/>
          <w:bCs/>
          <w:iCs/>
          <w:lang w:bidi="en-US"/>
        </w:rPr>
        <w:t xml:space="preserve"> </w:t>
      </w:r>
      <w:r w:rsidR="00C11703" w:rsidRPr="006F5F35">
        <w:rPr>
          <w:rFonts w:ascii="Arial" w:eastAsia="Times New Roman" w:hAnsi="Arial" w:cs="Arial"/>
          <w:b/>
          <w:i/>
          <w:iCs/>
          <w:u w:val="single"/>
          <w:lang w:bidi="en-US"/>
        </w:rPr>
        <w:t>Lipkin Gorman</w:t>
      </w:r>
      <w:r w:rsidR="00C11703" w:rsidRPr="006F5F35">
        <w:rPr>
          <w:rFonts w:ascii="Arial" w:eastAsia="Times New Roman" w:hAnsi="Arial" w:cs="Arial"/>
          <w:b/>
          <w:iCs/>
          <w:lang w:bidi="en-US"/>
        </w:rPr>
        <w:t xml:space="preserve"> was a case argued at common law, and Goff </w:t>
      </w:r>
      <w:r w:rsidR="0013256C" w:rsidRPr="006F5F35">
        <w:rPr>
          <w:rFonts w:ascii="Arial" w:eastAsia="Times New Roman" w:hAnsi="Arial" w:cs="Arial"/>
          <w:b/>
          <w:iCs/>
          <w:lang w:bidi="en-US"/>
        </w:rPr>
        <w:t xml:space="preserve">LJ </w:t>
      </w:r>
      <w:r w:rsidR="00C11703" w:rsidRPr="006F5F35">
        <w:rPr>
          <w:rFonts w:ascii="Arial" w:eastAsia="Times New Roman" w:hAnsi="Arial" w:cs="Arial"/>
          <w:b/>
          <w:iCs/>
          <w:lang w:bidi="en-US"/>
        </w:rPr>
        <w:t>appeared to suggest that the change of position defence operated as an equivalent to the BFPFVWN defence in equity</w:t>
      </w:r>
      <w:r w:rsidR="00C11703">
        <w:rPr>
          <w:rFonts w:ascii="Arial" w:eastAsia="Times New Roman" w:hAnsi="Arial" w:cs="Arial"/>
          <w:bCs/>
          <w:iCs/>
          <w:lang w:bidi="en-US"/>
        </w:rPr>
        <w:t xml:space="preserve">. </w:t>
      </w:r>
      <w:r w:rsidR="00C11703" w:rsidRPr="000F48D7">
        <w:rPr>
          <w:rFonts w:ascii="Arial" w:eastAsia="Calibri" w:hAnsi="Arial" w:cs="Arial"/>
          <w:b/>
          <w:bCs/>
          <w:color w:val="FF0000"/>
          <w:lang w:eastAsia="en-GB"/>
        </w:rPr>
        <w:t xml:space="preserve">It is currently unclear whether the defence will also be available for equitable proprietary claims. </w:t>
      </w:r>
    </w:p>
    <w:p w14:paraId="4ABEDBEF" w14:textId="3A0CA5D6" w:rsidR="00657E40" w:rsidRPr="00657E40" w:rsidRDefault="7728179B" w:rsidP="7728179B">
      <w:pPr>
        <w:pStyle w:val="ListParagraph"/>
        <w:spacing w:after="120" w:line="480" w:lineRule="auto"/>
        <w:ind w:left="357"/>
        <w:jc w:val="both"/>
        <w:rPr>
          <w:rFonts w:ascii="Arial" w:eastAsia="Times New Roman" w:hAnsi="Arial" w:cs="Arial"/>
          <w:lang w:bidi="en-US"/>
        </w:rPr>
      </w:pPr>
      <w:r w:rsidRPr="7728179B">
        <w:rPr>
          <w:rFonts w:ascii="Arial" w:eastAsia="Times New Roman" w:hAnsi="Arial" w:cs="Arial"/>
          <w:lang w:bidi="en-US"/>
        </w:rPr>
        <w:t xml:space="preserve">In any case, before </w:t>
      </w:r>
      <w:r w:rsidRPr="7728179B">
        <w:rPr>
          <w:rFonts w:ascii="Arial" w:eastAsia="Times New Roman" w:hAnsi="Arial" w:cs="Arial"/>
          <w:i/>
          <w:iCs/>
          <w:u w:val="single"/>
          <w:lang w:bidi="en-US"/>
        </w:rPr>
        <w:t>Lipkin Gorman</w:t>
      </w:r>
      <w:r w:rsidRPr="7728179B">
        <w:rPr>
          <w:rFonts w:ascii="Arial" w:eastAsia="Times New Roman" w:hAnsi="Arial" w:cs="Arial"/>
          <w:i/>
          <w:iCs/>
          <w:lang w:bidi="en-US"/>
        </w:rPr>
        <w:t xml:space="preserve">, </w:t>
      </w:r>
      <w:r w:rsidRPr="7728179B">
        <w:rPr>
          <w:rFonts w:ascii="Arial" w:eastAsia="Times New Roman" w:hAnsi="Arial" w:cs="Arial"/>
          <w:lang w:bidi="en-US"/>
        </w:rPr>
        <w:t>the defence of ‘</w:t>
      </w:r>
      <w:proofErr w:type="spellStart"/>
      <w:r w:rsidRPr="7728179B">
        <w:rPr>
          <w:rFonts w:ascii="Arial" w:eastAsia="Times New Roman" w:hAnsi="Arial" w:cs="Arial"/>
          <w:lang w:bidi="en-US"/>
        </w:rPr>
        <w:t>inequitability</w:t>
      </w:r>
      <w:proofErr w:type="spellEnd"/>
      <w:r w:rsidRPr="7728179B">
        <w:rPr>
          <w:rFonts w:ascii="Arial" w:eastAsia="Times New Roman" w:hAnsi="Arial" w:cs="Arial"/>
          <w:lang w:bidi="en-US"/>
        </w:rPr>
        <w:t xml:space="preserve">’ served a similar purpose in relation to equitable cases. </w:t>
      </w:r>
      <w:r w:rsidRPr="7728179B">
        <w:rPr>
          <w:rFonts w:ascii="Arial" w:eastAsia="Calibri" w:hAnsi="Arial" w:cs="Arial"/>
          <w:lang w:eastAsia="en-GB"/>
        </w:rPr>
        <w:t>In</w:t>
      </w:r>
      <w:r w:rsidRPr="7728179B">
        <w:rPr>
          <w:rFonts w:ascii="Arial" w:eastAsia="Calibri" w:hAnsi="Arial" w:cs="Arial"/>
          <w:i/>
          <w:iCs/>
          <w:lang w:eastAsia="en-GB"/>
        </w:rPr>
        <w:t xml:space="preserve"> </w:t>
      </w:r>
      <w:r w:rsidRPr="7728179B">
        <w:rPr>
          <w:rFonts w:ascii="Arial" w:eastAsia="Calibri" w:hAnsi="Arial" w:cs="Arial"/>
          <w:i/>
          <w:iCs/>
          <w:u w:val="single"/>
          <w:lang w:eastAsia="en-GB"/>
        </w:rPr>
        <w:t xml:space="preserve">Re Diplock </w:t>
      </w:r>
      <w:r w:rsidRPr="7728179B">
        <w:rPr>
          <w:rFonts w:ascii="Arial" w:eastAsia="Calibri" w:hAnsi="Arial" w:cs="Arial"/>
          <w:u w:val="single"/>
          <w:lang w:eastAsia="en-GB"/>
        </w:rPr>
        <w:t>[1948] 3 All ER 215</w:t>
      </w:r>
      <w:r w:rsidRPr="7728179B">
        <w:rPr>
          <w:rFonts w:ascii="Arial" w:eastAsia="Calibri" w:hAnsi="Arial" w:cs="Arial"/>
          <w:lang w:eastAsia="en-GB"/>
        </w:rPr>
        <w:t>, the claimants were denied a charge over the charities’ land that had been improved with the misapplied funds because it was thought to be unjust to require innocent recipients to sell their land in order to enforce the charge.</w:t>
      </w:r>
    </w:p>
    <w:sectPr w:rsidR="00657E40" w:rsidRPr="00657E40" w:rsidSect="00B869B7">
      <w:headerReference w:type="default" r:id="rId9"/>
      <w:footerReference w:type="default" r:id="rId1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29214B" w14:textId="77777777" w:rsidR="006D372B" w:rsidRDefault="006D372B" w:rsidP="00177ED8">
      <w:pPr>
        <w:spacing w:after="0" w:line="240" w:lineRule="auto"/>
      </w:pPr>
      <w:r>
        <w:separator/>
      </w:r>
    </w:p>
  </w:endnote>
  <w:endnote w:type="continuationSeparator" w:id="0">
    <w:p w14:paraId="61D4024F" w14:textId="77777777" w:rsidR="006D372B" w:rsidRDefault="006D372B"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5F7A13DA" w14:textId="36AC27F0"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254B89">
              <w:rPr>
                <w:rFonts w:ascii="Arial" w:hAnsi="Arial" w:cs="Arial"/>
                <w:bCs/>
                <w:noProof/>
                <w:sz w:val="20"/>
                <w:szCs w:val="20"/>
              </w:rPr>
              <w:t>11</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254B89">
              <w:rPr>
                <w:rFonts w:ascii="Arial" w:hAnsi="Arial" w:cs="Arial"/>
                <w:bCs/>
                <w:noProof/>
                <w:sz w:val="20"/>
                <w:szCs w:val="20"/>
              </w:rPr>
              <w:t>11</w:t>
            </w:r>
            <w:r w:rsidRPr="00B869B7">
              <w:rPr>
                <w:rFonts w:ascii="Arial" w:hAnsi="Arial" w:cs="Arial"/>
                <w:bCs/>
                <w:sz w:val="20"/>
                <w:szCs w:val="20"/>
              </w:rPr>
              <w:fldChar w:fldCharType="end"/>
            </w:r>
          </w:p>
        </w:sdtContent>
      </w:sdt>
    </w:sdtContent>
  </w:sdt>
  <w:p w14:paraId="69588BCD"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9370C1" w14:textId="77777777" w:rsidR="006D372B" w:rsidRDefault="006D372B" w:rsidP="00177ED8">
      <w:pPr>
        <w:spacing w:after="0" w:line="240" w:lineRule="auto"/>
      </w:pPr>
      <w:r>
        <w:separator/>
      </w:r>
    </w:p>
  </w:footnote>
  <w:footnote w:type="continuationSeparator" w:id="0">
    <w:p w14:paraId="70D5BCEB" w14:textId="77777777" w:rsidR="006D372B" w:rsidRDefault="006D372B"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25B08" w14:textId="1881FDB1" w:rsidR="002E0CD9" w:rsidRDefault="002E0CD9" w:rsidP="002E0CD9">
    <w:pPr>
      <w:pStyle w:val="Header"/>
      <w:jc w:val="right"/>
    </w:pPr>
    <w:r>
      <w:rPr>
        <w:rFonts w:ascii="Arial" w:hAnsi="Arial" w:cs="Arial"/>
      </w:rPr>
      <w:t>Trusts Law Week 15</w:t>
    </w:r>
  </w:p>
  <w:p w14:paraId="50F5FB85" w14:textId="77777777" w:rsidR="002E0CD9" w:rsidRDefault="002E0C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671E8"/>
    <w:multiLevelType w:val="hybridMultilevel"/>
    <w:tmpl w:val="46744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6C51C4"/>
    <w:multiLevelType w:val="hybridMultilevel"/>
    <w:tmpl w:val="4B101040"/>
    <w:lvl w:ilvl="0" w:tplc="E01064CA">
      <w:start w:val="1"/>
      <w:numFmt w:val="bullet"/>
      <w:lvlText w:val=""/>
      <w:lvlJc w:val="left"/>
      <w:pPr>
        <w:ind w:left="720" w:hanging="360"/>
      </w:pPr>
      <w:rPr>
        <w:rFonts w:ascii="Symbol" w:hAnsi="Symbol" w:hint="default"/>
      </w:rPr>
    </w:lvl>
    <w:lvl w:ilvl="1" w:tplc="07746D78">
      <w:start w:val="1"/>
      <w:numFmt w:val="bullet"/>
      <w:lvlText w:val="o"/>
      <w:lvlJc w:val="left"/>
      <w:pPr>
        <w:ind w:left="1440" w:hanging="360"/>
      </w:pPr>
      <w:rPr>
        <w:rFonts w:ascii="Courier New" w:hAnsi="Courier New" w:hint="default"/>
      </w:rPr>
    </w:lvl>
    <w:lvl w:ilvl="2" w:tplc="3710C65C">
      <w:start w:val="1"/>
      <w:numFmt w:val="bullet"/>
      <w:lvlText w:val=""/>
      <w:lvlJc w:val="left"/>
      <w:pPr>
        <w:ind w:left="2160" w:hanging="360"/>
      </w:pPr>
      <w:rPr>
        <w:rFonts w:ascii="Wingdings" w:hAnsi="Wingdings" w:hint="default"/>
      </w:rPr>
    </w:lvl>
    <w:lvl w:ilvl="3" w:tplc="61B4B1E6">
      <w:start w:val="1"/>
      <w:numFmt w:val="bullet"/>
      <w:lvlText w:val=""/>
      <w:lvlJc w:val="left"/>
      <w:pPr>
        <w:ind w:left="2880" w:hanging="360"/>
      </w:pPr>
      <w:rPr>
        <w:rFonts w:ascii="Symbol" w:hAnsi="Symbol" w:hint="default"/>
      </w:rPr>
    </w:lvl>
    <w:lvl w:ilvl="4" w:tplc="361EABD2">
      <w:start w:val="1"/>
      <w:numFmt w:val="bullet"/>
      <w:lvlText w:val="o"/>
      <w:lvlJc w:val="left"/>
      <w:pPr>
        <w:ind w:left="3600" w:hanging="360"/>
      </w:pPr>
      <w:rPr>
        <w:rFonts w:ascii="Courier New" w:hAnsi="Courier New" w:hint="default"/>
      </w:rPr>
    </w:lvl>
    <w:lvl w:ilvl="5" w:tplc="0BDEB2A4">
      <w:start w:val="1"/>
      <w:numFmt w:val="bullet"/>
      <w:lvlText w:val=""/>
      <w:lvlJc w:val="left"/>
      <w:pPr>
        <w:ind w:left="4320" w:hanging="360"/>
      </w:pPr>
      <w:rPr>
        <w:rFonts w:ascii="Wingdings" w:hAnsi="Wingdings" w:hint="default"/>
      </w:rPr>
    </w:lvl>
    <w:lvl w:ilvl="6" w:tplc="C41CFAAC">
      <w:start w:val="1"/>
      <w:numFmt w:val="bullet"/>
      <w:lvlText w:val=""/>
      <w:lvlJc w:val="left"/>
      <w:pPr>
        <w:ind w:left="5040" w:hanging="360"/>
      </w:pPr>
      <w:rPr>
        <w:rFonts w:ascii="Symbol" w:hAnsi="Symbol" w:hint="default"/>
      </w:rPr>
    </w:lvl>
    <w:lvl w:ilvl="7" w:tplc="4AAC0490">
      <w:start w:val="1"/>
      <w:numFmt w:val="bullet"/>
      <w:lvlText w:val="o"/>
      <w:lvlJc w:val="left"/>
      <w:pPr>
        <w:ind w:left="5760" w:hanging="360"/>
      </w:pPr>
      <w:rPr>
        <w:rFonts w:ascii="Courier New" w:hAnsi="Courier New" w:hint="default"/>
      </w:rPr>
    </w:lvl>
    <w:lvl w:ilvl="8" w:tplc="79E23FCE">
      <w:start w:val="1"/>
      <w:numFmt w:val="bullet"/>
      <w:lvlText w:val=""/>
      <w:lvlJc w:val="left"/>
      <w:pPr>
        <w:ind w:left="6480" w:hanging="360"/>
      </w:pPr>
      <w:rPr>
        <w:rFonts w:ascii="Wingdings" w:hAnsi="Wingdings" w:hint="default"/>
      </w:rPr>
    </w:lvl>
  </w:abstractNum>
  <w:abstractNum w:abstractNumId="2" w15:restartNumberingAfterBreak="0">
    <w:nsid w:val="1D5E57B4"/>
    <w:multiLevelType w:val="hybridMultilevel"/>
    <w:tmpl w:val="F39AE014"/>
    <w:lvl w:ilvl="0" w:tplc="F3047A7C">
      <w:start w:val="1"/>
      <w:numFmt w:val="decimal"/>
      <w:lvlText w:val="(%1)"/>
      <w:lvlJc w:val="left"/>
      <w:pPr>
        <w:ind w:left="360" w:hanging="360"/>
      </w:pPr>
      <w:rPr>
        <w:rFonts w:asciiTheme="minorHAnsi" w:eastAsia="Times New Roman" w:hAnsiTheme="minorHAnsi" w:cstheme="minorHAnsi"/>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D6614A"/>
    <w:multiLevelType w:val="hybridMultilevel"/>
    <w:tmpl w:val="3EF811DC"/>
    <w:lvl w:ilvl="0" w:tplc="FB686F5C">
      <w:start w:val="1"/>
      <w:numFmt w:val="bullet"/>
      <w:lvlText w:val=""/>
      <w:lvlJc w:val="left"/>
      <w:pPr>
        <w:ind w:left="360" w:hanging="360"/>
      </w:pPr>
      <w:rPr>
        <w:rFonts w:ascii="Wingdings" w:hAnsi="Wingdings" w:hint="default"/>
        <w:b/>
        <w:bCs/>
        <w:color w:val="653265"/>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05045B3"/>
    <w:multiLevelType w:val="hybridMultilevel"/>
    <w:tmpl w:val="4FEC7EE2"/>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055020F"/>
    <w:multiLevelType w:val="hybridMultilevel"/>
    <w:tmpl w:val="F1640B2A"/>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BC317E6"/>
    <w:multiLevelType w:val="hybridMultilevel"/>
    <w:tmpl w:val="12406DFC"/>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3661E40"/>
    <w:multiLevelType w:val="hybridMultilevel"/>
    <w:tmpl w:val="52BC8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885E17"/>
    <w:multiLevelType w:val="hybridMultilevel"/>
    <w:tmpl w:val="E710E7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80230C"/>
    <w:multiLevelType w:val="hybridMultilevel"/>
    <w:tmpl w:val="6A189C92"/>
    <w:lvl w:ilvl="0" w:tplc="0B4EF84E">
      <w:start w:val="1"/>
      <w:numFmt w:val="bullet"/>
      <w:lvlText w:val=""/>
      <w:lvlJc w:val="left"/>
      <w:pPr>
        <w:tabs>
          <w:tab w:val="num" w:pos="720"/>
        </w:tabs>
        <w:ind w:left="720" w:hanging="360"/>
      </w:pPr>
      <w:rPr>
        <w:rFonts w:ascii="Symbol" w:hAnsi="Symbol" w:hint="default"/>
        <w:sz w:val="20"/>
      </w:rPr>
    </w:lvl>
    <w:lvl w:ilvl="1" w:tplc="69E27F8E" w:tentative="1">
      <w:start w:val="1"/>
      <w:numFmt w:val="bullet"/>
      <w:lvlText w:val=""/>
      <w:lvlJc w:val="left"/>
      <w:pPr>
        <w:tabs>
          <w:tab w:val="num" w:pos="1440"/>
        </w:tabs>
        <w:ind w:left="1440" w:hanging="360"/>
      </w:pPr>
      <w:rPr>
        <w:rFonts w:ascii="Symbol" w:hAnsi="Symbol" w:hint="default"/>
        <w:sz w:val="20"/>
      </w:rPr>
    </w:lvl>
    <w:lvl w:ilvl="2" w:tplc="F0A23168" w:tentative="1">
      <w:start w:val="1"/>
      <w:numFmt w:val="bullet"/>
      <w:lvlText w:val=""/>
      <w:lvlJc w:val="left"/>
      <w:pPr>
        <w:tabs>
          <w:tab w:val="num" w:pos="2160"/>
        </w:tabs>
        <w:ind w:left="2160" w:hanging="360"/>
      </w:pPr>
      <w:rPr>
        <w:rFonts w:ascii="Symbol" w:hAnsi="Symbol" w:hint="default"/>
        <w:sz w:val="20"/>
      </w:rPr>
    </w:lvl>
    <w:lvl w:ilvl="3" w:tplc="CA9A09A4" w:tentative="1">
      <w:start w:val="1"/>
      <w:numFmt w:val="bullet"/>
      <w:lvlText w:val=""/>
      <w:lvlJc w:val="left"/>
      <w:pPr>
        <w:tabs>
          <w:tab w:val="num" w:pos="2880"/>
        </w:tabs>
        <w:ind w:left="2880" w:hanging="360"/>
      </w:pPr>
      <w:rPr>
        <w:rFonts w:ascii="Symbol" w:hAnsi="Symbol" w:hint="default"/>
        <w:sz w:val="20"/>
      </w:rPr>
    </w:lvl>
    <w:lvl w:ilvl="4" w:tplc="5D2CD450" w:tentative="1">
      <w:start w:val="1"/>
      <w:numFmt w:val="bullet"/>
      <w:lvlText w:val=""/>
      <w:lvlJc w:val="left"/>
      <w:pPr>
        <w:tabs>
          <w:tab w:val="num" w:pos="3600"/>
        </w:tabs>
        <w:ind w:left="3600" w:hanging="360"/>
      </w:pPr>
      <w:rPr>
        <w:rFonts w:ascii="Symbol" w:hAnsi="Symbol" w:hint="default"/>
        <w:sz w:val="20"/>
      </w:rPr>
    </w:lvl>
    <w:lvl w:ilvl="5" w:tplc="B68CAE9E" w:tentative="1">
      <w:start w:val="1"/>
      <w:numFmt w:val="bullet"/>
      <w:lvlText w:val=""/>
      <w:lvlJc w:val="left"/>
      <w:pPr>
        <w:tabs>
          <w:tab w:val="num" w:pos="4320"/>
        </w:tabs>
        <w:ind w:left="4320" w:hanging="360"/>
      </w:pPr>
      <w:rPr>
        <w:rFonts w:ascii="Symbol" w:hAnsi="Symbol" w:hint="default"/>
        <w:sz w:val="20"/>
      </w:rPr>
    </w:lvl>
    <w:lvl w:ilvl="6" w:tplc="81A05E74" w:tentative="1">
      <w:start w:val="1"/>
      <w:numFmt w:val="bullet"/>
      <w:lvlText w:val=""/>
      <w:lvlJc w:val="left"/>
      <w:pPr>
        <w:tabs>
          <w:tab w:val="num" w:pos="5040"/>
        </w:tabs>
        <w:ind w:left="5040" w:hanging="360"/>
      </w:pPr>
      <w:rPr>
        <w:rFonts w:ascii="Symbol" w:hAnsi="Symbol" w:hint="default"/>
        <w:sz w:val="20"/>
      </w:rPr>
    </w:lvl>
    <w:lvl w:ilvl="7" w:tplc="F578BE7A" w:tentative="1">
      <w:start w:val="1"/>
      <w:numFmt w:val="bullet"/>
      <w:lvlText w:val=""/>
      <w:lvlJc w:val="left"/>
      <w:pPr>
        <w:tabs>
          <w:tab w:val="num" w:pos="5760"/>
        </w:tabs>
        <w:ind w:left="5760" w:hanging="360"/>
      </w:pPr>
      <w:rPr>
        <w:rFonts w:ascii="Symbol" w:hAnsi="Symbol" w:hint="default"/>
        <w:sz w:val="20"/>
      </w:rPr>
    </w:lvl>
    <w:lvl w:ilvl="8" w:tplc="DD36086E"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796735"/>
    <w:multiLevelType w:val="hybridMultilevel"/>
    <w:tmpl w:val="3E1AD656"/>
    <w:lvl w:ilvl="0" w:tplc="F2DED12C">
      <w:start w:val="1"/>
      <w:numFmt w:val="bullet"/>
      <w:lvlText w:val=""/>
      <w:lvlJc w:val="left"/>
      <w:pPr>
        <w:tabs>
          <w:tab w:val="num" w:pos="720"/>
        </w:tabs>
        <w:ind w:left="720" w:hanging="360"/>
      </w:pPr>
      <w:rPr>
        <w:rFonts w:ascii="Symbol" w:hAnsi="Symbol" w:hint="default"/>
        <w:sz w:val="20"/>
      </w:rPr>
    </w:lvl>
    <w:lvl w:ilvl="1" w:tplc="36F4A50E" w:tentative="1">
      <w:start w:val="1"/>
      <w:numFmt w:val="bullet"/>
      <w:lvlText w:val=""/>
      <w:lvlJc w:val="left"/>
      <w:pPr>
        <w:tabs>
          <w:tab w:val="num" w:pos="1440"/>
        </w:tabs>
        <w:ind w:left="1440" w:hanging="360"/>
      </w:pPr>
      <w:rPr>
        <w:rFonts w:ascii="Symbol" w:hAnsi="Symbol" w:hint="default"/>
        <w:sz w:val="20"/>
      </w:rPr>
    </w:lvl>
    <w:lvl w:ilvl="2" w:tplc="8DB249DA" w:tentative="1">
      <w:start w:val="1"/>
      <w:numFmt w:val="bullet"/>
      <w:lvlText w:val=""/>
      <w:lvlJc w:val="left"/>
      <w:pPr>
        <w:tabs>
          <w:tab w:val="num" w:pos="2160"/>
        </w:tabs>
        <w:ind w:left="2160" w:hanging="360"/>
      </w:pPr>
      <w:rPr>
        <w:rFonts w:ascii="Symbol" w:hAnsi="Symbol" w:hint="default"/>
        <w:sz w:val="20"/>
      </w:rPr>
    </w:lvl>
    <w:lvl w:ilvl="3" w:tplc="C4629E06" w:tentative="1">
      <w:start w:val="1"/>
      <w:numFmt w:val="bullet"/>
      <w:lvlText w:val=""/>
      <w:lvlJc w:val="left"/>
      <w:pPr>
        <w:tabs>
          <w:tab w:val="num" w:pos="2880"/>
        </w:tabs>
        <w:ind w:left="2880" w:hanging="360"/>
      </w:pPr>
      <w:rPr>
        <w:rFonts w:ascii="Symbol" w:hAnsi="Symbol" w:hint="default"/>
        <w:sz w:val="20"/>
      </w:rPr>
    </w:lvl>
    <w:lvl w:ilvl="4" w:tplc="F3663A08" w:tentative="1">
      <w:start w:val="1"/>
      <w:numFmt w:val="bullet"/>
      <w:lvlText w:val=""/>
      <w:lvlJc w:val="left"/>
      <w:pPr>
        <w:tabs>
          <w:tab w:val="num" w:pos="3600"/>
        </w:tabs>
        <w:ind w:left="3600" w:hanging="360"/>
      </w:pPr>
      <w:rPr>
        <w:rFonts w:ascii="Symbol" w:hAnsi="Symbol" w:hint="default"/>
        <w:sz w:val="20"/>
      </w:rPr>
    </w:lvl>
    <w:lvl w:ilvl="5" w:tplc="CD165588" w:tentative="1">
      <w:start w:val="1"/>
      <w:numFmt w:val="bullet"/>
      <w:lvlText w:val=""/>
      <w:lvlJc w:val="left"/>
      <w:pPr>
        <w:tabs>
          <w:tab w:val="num" w:pos="4320"/>
        </w:tabs>
        <w:ind w:left="4320" w:hanging="360"/>
      </w:pPr>
      <w:rPr>
        <w:rFonts w:ascii="Symbol" w:hAnsi="Symbol" w:hint="default"/>
        <w:sz w:val="20"/>
      </w:rPr>
    </w:lvl>
    <w:lvl w:ilvl="6" w:tplc="B3B24C50" w:tentative="1">
      <w:start w:val="1"/>
      <w:numFmt w:val="bullet"/>
      <w:lvlText w:val=""/>
      <w:lvlJc w:val="left"/>
      <w:pPr>
        <w:tabs>
          <w:tab w:val="num" w:pos="5040"/>
        </w:tabs>
        <w:ind w:left="5040" w:hanging="360"/>
      </w:pPr>
      <w:rPr>
        <w:rFonts w:ascii="Symbol" w:hAnsi="Symbol" w:hint="default"/>
        <w:sz w:val="20"/>
      </w:rPr>
    </w:lvl>
    <w:lvl w:ilvl="7" w:tplc="F5EE7426" w:tentative="1">
      <w:start w:val="1"/>
      <w:numFmt w:val="bullet"/>
      <w:lvlText w:val=""/>
      <w:lvlJc w:val="left"/>
      <w:pPr>
        <w:tabs>
          <w:tab w:val="num" w:pos="5760"/>
        </w:tabs>
        <w:ind w:left="5760" w:hanging="360"/>
      </w:pPr>
      <w:rPr>
        <w:rFonts w:ascii="Symbol" w:hAnsi="Symbol" w:hint="default"/>
        <w:sz w:val="20"/>
      </w:rPr>
    </w:lvl>
    <w:lvl w:ilvl="8" w:tplc="52FC0034"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52566B"/>
    <w:multiLevelType w:val="hybridMultilevel"/>
    <w:tmpl w:val="42729956"/>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AD806E8"/>
    <w:multiLevelType w:val="hybridMultilevel"/>
    <w:tmpl w:val="25965A24"/>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4173090"/>
    <w:multiLevelType w:val="hybridMultilevel"/>
    <w:tmpl w:val="5F44340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86220F"/>
    <w:multiLevelType w:val="hybridMultilevel"/>
    <w:tmpl w:val="97A4F484"/>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B534123"/>
    <w:multiLevelType w:val="hybridMultilevel"/>
    <w:tmpl w:val="55F07458"/>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8240085"/>
    <w:multiLevelType w:val="hybridMultilevel"/>
    <w:tmpl w:val="63D2FDA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Aria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Aria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Arial"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98F5198"/>
    <w:multiLevelType w:val="hybridMultilevel"/>
    <w:tmpl w:val="29D405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FBE2272"/>
    <w:multiLevelType w:val="hybridMultilevel"/>
    <w:tmpl w:val="F940B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3416519"/>
    <w:multiLevelType w:val="hybridMultilevel"/>
    <w:tmpl w:val="2E10A4EE"/>
    <w:lvl w:ilvl="0" w:tplc="92F67760">
      <w:start w:val="1"/>
      <w:numFmt w:val="decimal"/>
      <w:suff w:val="space"/>
      <w:lvlText w:val="(%1)"/>
      <w:lvlJc w:val="left"/>
      <w:pPr>
        <w:ind w:left="0" w:firstLine="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4B0658D"/>
    <w:multiLevelType w:val="hybridMultilevel"/>
    <w:tmpl w:val="3AA2D79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1" w15:restartNumberingAfterBreak="0">
    <w:nsid w:val="75A332B0"/>
    <w:multiLevelType w:val="multilevel"/>
    <w:tmpl w:val="F9E21F9A"/>
    <w:lvl w:ilvl="0">
      <w:start w:val="2"/>
      <w:numFmt w:val="decimal"/>
      <w:lvlText w:val="%1."/>
      <w:lvlJc w:val="left"/>
      <w:pPr>
        <w:ind w:left="360" w:hanging="360"/>
      </w:pPr>
      <w:rPr>
        <w:rFonts w:hint="default"/>
        <w:b/>
        <w:bCs/>
        <w:sz w:val="28"/>
        <w:szCs w:val="28"/>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78371BCB"/>
    <w:multiLevelType w:val="hybridMultilevel"/>
    <w:tmpl w:val="F46A4C40"/>
    <w:lvl w:ilvl="0" w:tplc="4A864C6A">
      <w:start w:val="1"/>
      <w:numFmt w:val="decimal"/>
      <w:suff w:val="space"/>
      <w:lvlText w:val="%1)"/>
      <w:lvlJc w:val="left"/>
      <w:pPr>
        <w:ind w:left="0" w:firstLine="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F68120B"/>
    <w:multiLevelType w:val="hybridMultilevel"/>
    <w:tmpl w:val="B63C99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62701027">
    <w:abstractNumId w:val="1"/>
  </w:num>
  <w:num w:numId="2" w16cid:durableId="132722469">
    <w:abstractNumId w:val="5"/>
  </w:num>
  <w:num w:numId="3" w16cid:durableId="976446482">
    <w:abstractNumId w:val="17"/>
  </w:num>
  <w:num w:numId="4" w16cid:durableId="1679893697">
    <w:abstractNumId w:val="18"/>
  </w:num>
  <w:num w:numId="5" w16cid:durableId="1551261912">
    <w:abstractNumId w:val="21"/>
  </w:num>
  <w:num w:numId="6" w16cid:durableId="567233584">
    <w:abstractNumId w:val="4"/>
  </w:num>
  <w:num w:numId="7" w16cid:durableId="164706617">
    <w:abstractNumId w:val="22"/>
  </w:num>
  <w:num w:numId="8" w16cid:durableId="691537710">
    <w:abstractNumId w:val="2"/>
  </w:num>
  <w:num w:numId="9" w16cid:durableId="1542983354">
    <w:abstractNumId w:val="6"/>
  </w:num>
  <w:num w:numId="10" w16cid:durableId="309872974">
    <w:abstractNumId w:val="12"/>
  </w:num>
  <w:num w:numId="11" w16cid:durableId="558134018">
    <w:abstractNumId w:val="16"/>
  </w:num>
  <w:num w:numId="12" w16cid:durableId="1710497733">
    <w:abstractNumId w:val="8"/>
  </w:num>
  <w:num w:numId="13" w16cid:durableId="23558441">
    <w:abstractNumId w:val="0"/>
  </w:num>
  <w:num w:numId="14" w16cid:durableId="1912233362">
    <w:abstractNumId w:val="9"/>
  </w:num>
  <w:num w:numId="15" w16cid:durableId="571046449">
    <w:abstractNumId w:val="10"/>
  </w:num>
  <w:num w:numId="16" w16cid:durableId="378671130">
    <w:abstractNumId w:val="19"/>
  </w:num>
  <w:num w:numId="17" w16cid:durableId="1376395472">
    <w:abstractNumId w:val="14"/>
  </w:num>
  <w:num w:numId="18" w16cid:durableId="1146431522">
    <w:abstractNumId w:val="13"/>
  </w:num>
  <w:num w:numId="19" w16cid:durableId="1066226489">
    <w:abstractNumId w:val="23"/>
  </w:num>
  <w:num w:numId="20" w16cid:durableId="1162815987">
    <w:abstractNumId w:val="7"/>
  </w:num>
  <w:num w:numId="21" w16cid:durableId="473253039">
    <w:abstractNumId w:val="20"/>
  </w:num>
  <w:num w:numId="22" w16cid:durableId="1082265240">
    <w:abstractNumId w:val="11"/>
  </w:num>
  <w:num w:numId="23" w16cid:durableId="186023522">
    <w:abstractNumId w:val="15"/>
  </w:num>
  <w:num w:numId="24" w16cid:durableId="1601797793">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10D99"/>
    <w:rsid w:val="00012F82"/>
    <w:rsid w:val="000157C8"/>
    <w:rsid w:val="00022707"/>
    <w:rsid w:val="00024CE4"/>
    <w:rsid w:val="000412E7"/>
    <w:rsid w:val="0004604C"/>
    <w:rsid w:val="00061EC8"/>
    <w:rsid w:val="00080262"/>
    <w:rsid w:val="000847DC"/>
    <w:rsid w:val="00094462"/>
    <w:rsid w:val="0009637C"/>
    <w:rsid w:val="000A467B"/>
    <w:rsid w:val="000A7AC6"/>
    <w:rsid w:val="000B0EB6"/>
    <w:rsid w:val="000B1E0D"/>
    <w:rsid w:val="000B5A12"/>
    <w:rsid w:val="000B5F20"/>
    <w:rsid w:val="000B787A"/>
    <w:rsid w:val="000D0FA1"/>
    <w:rsid w:val="000D21D2"/>
    <w:rsid w:val="000D2494"/>
    <w:rsid w:val="000E192F"/>
    <w:rsid w:val="000E366B"/>
    <w:rsid w:val="000E51DA"/>
    <w:rsid w:val="000F431F"/>
    <w:rsid w:val="000F48D7"/>
    <w:rsid w:val="001001D8"/>
    <w:rsid w:val="00106594"/>
    <w:rsid w:val="001067E9"/>
    <w:rsid w:val="00124CCB"/>
    <w:rsid w:val="00126CFE"/>
    <w:rsid w:val="0013256C"/>
    <w:rsid w:val="00132E75"/>
    <w:rsid w:val="00136955"/>
    <w:rsid w:val="00146F8D"/>
    <w:rsid w:val="00150BC1"/>
    <w:rsid w:val="0015167A"/>
    <w:rsid w:val="00155607"/>
    <w:rsid w:val="00156AC9"/>
    <w:rsid w:val="00163655"/>
    <w:rsid w:val="00164BD7"/>
    <w:rsid w:val="00167D14"/>
    <w:rsid w:val="00170269"/>
    <w:rsid w:val="001772B1"/>
    <w:rsid w:val="00177ED8"/>
    <w:rsid w:val="00183760"/>
    <w:rsid w:val="00186571"/>
    <w:rsid w:val="0018683A"/>
    <w:rsid w:val="001B2FBC"/>
    <w:rsid w:val="001B58CA"/>
    <w:rsid w:val="001B5B88"/>
    <w:rsid w:val="001D239F"/>
    <w:rsid w:val="001D5258"/>
    <w:rsid w:val="001E1A18"/>
    <w:rsid w:val="002034A0"/>
    <w:rsid w:val="00207DC5"/>
    <w:rsid w:val="00220CB2"/>
    <w:rsid w:val="00222650"/>
    <w:rsid w:val="00223A66"/>
    <w:rsid w:val="002251D3"/>
    <w:rsid w:val="00225CB1"/>
    <w:rsid w:val="00236592"/>
    <w:rsid w:val="00244323"/>
    <w:rsid w:val="002469EC"/>
    <w:rsid w:val="002513AE"/>
    <w:rsid w:val="002528A9"/>
    <w:rsid w:val="00254B89"/>
    <w:rsid w:val="002614A9"/>
    <w:rsid w:val="00261803"/>
    <w:rsid w:val="002718E3"/>
    <w:rsid w:val="00271DBF"/>
    <w:rsid w:val="00292B26"/>
    <w:rsid w:val="002A2739"/>
    <w:rsid w:val="002B22F9"/>
    <w:rsid w:val="002D5FE8"/>
    <w:rsid w:val="002E0CD9"/>
    <w:rsid w:val="002E6511"/>
    <w:rsid w:val="002E738B"/>
    <w:rsid w:val="002F5035"/>
    <w:rsid w:val="003020D4"/>
    <w:rsid w:val="00304F02"/>
    <w:rsid w:val="00306ECD"/>
    <w:rsid w:val="00314BFC"/>
    <w:rsid w:val="00317E77"/>
    <w:rsid w:val="003265E5"/>
    <w:rsid w:val="00332E80"/>
    <w:rsid w:val="00345BB4"/>
    <w:rsid w:val="00350BF2"/>
    <w:rsid w:val="00381078"/>
    <w:rsid w:val="00384371"/>
    <w:rsid w:val="00395F0B"/>
    <w:rsid w:val="003A29BD"/>
    <w:rsid w:val="003A5768"/>
    <w:rsid w:val="003B44BA"/>
    <w:rsid w:val="003C1EAF"/>
    <w:rsid w:val="003C468D"/>
    <w:rsid w:val="00443533"/>
    <w:rsid w:val="00450CA3"/>
    <w:rsid w:val="004576E0"/>
    <w:rsid w:val="00457A76"/>
    <w:rsid w:val="00472839"/>
    <w:rsid w:val="004832AA"/>
    <w:rsid w:val="004A6598"/>
    <w:rsid w:val="004B16F0"/>
    <w:rsid w:val="004C486E"/>
    <w:rsid w:val="004C7BA9"/>
    <w:rsid w:val="004E6A41"/>
    <w:rsid w:val="004F034A"/>
    <w:rsid w:val="00523E38"/>
    <w:rsid w:val="00524CC3"/>
    <w:rsid w:val="00533545"/>
    <w:rsid w:val="005358E6"/>
    <w:rsid w:val="00544EA6"/>
    <w:rsid w:val="005501DE"/>
    <w:rsid w:val="00554186"/>
    <w:rsid w:val="005636E9"/>
    <w:rsid w:val="00566221"/>
    <w:rsid w:val="005714D0"/>
    <w:rsid w:val="00575FFF"/>
    <w:rsid w:val="00576713"/>
    <w:rsid w:val="00582160"/>
    <w:rsid w:val="005B399E"/>
    <w:rsid w:val="005B4C93"/>
    <w:rsid w:val="005C18FD"/>
    <w:rsid w:val="005C72A5"/>
    <w:rsid w:val="005D34E5"/>
    <w:rsid w:val="005D4D36"/>
    <w:rsid w:val="005D6410"/>
    <w:rsid w:val="005D74D0"/>
    <w:rsid w:val="005E5AEF"/>
    <w:rsid w:val="005F12C2"/>
    <w:rsid w:val="005F7DBE"/>
    <w:rsid w:val="00605147"/>
    <w:rsid w:val="0061100D"/>
    <w:rsid w:val="006224EC"/>
    <w:rsid w:val="00625ED1"/>
    <w:rsid w:val="00630177"/>
    <w:rsid w:val="00630854"/>
    <w:rsid w:val="00640187"/>
    <w:rsid w:val="00641DAE"/>
    <w:rsid w:val="00653CE5"/>
    <w:rsid w:val="00654578"/>
    <w:rsid w:val="00657E40"/>
    <w:rsid w:val="00670B4F"/>
    <w:rsid w:val="00671FB4"/>
    <w:rsid w:val="00695FF9"/>
    <w:rsid w:val="006A18F9"/>
    <w:rsid w:val="006A57D3"/>
    <w:rsid w:val="006B1AF7"/>
    <w:rsid w:val="006B2727"/>
    <w:rsid w:val="006B6F26"/>
    <w:rsid w:val="006B715F"/>
    <w:rsid w:val="006C48D2"/>
    <w:rsid w:val="006D1D7B"/>
    <w:rsid w:val="006D2225"/>
    <w:rsid w:val="006D30AC"/>
    <w:rsid w:val="006D372B"/>
    <w:rsid w:val="006E0B58"/>
    <w:rsid w:val="006F45A7"/>
    <w:rsid w:val="006F5703"/>
    <w:rsid w:val="006F5F35"/>
    <w:rsid w:val="00724FA4"/>
    <w:rsid w:val="00751CBC"/>
    <w:rsid w:val="0075208E"/>
    <w:rsid w:val="007544F0"/>
    <w:rsid w:val="007636C8"/>
    <w:rsid w:val="00766CC2"/>
    <w:rsid w:val="00770FD0"/>
    <w:rsid w:val="00777A69"/>
    <w:rsid w:val="00790662"/>
    <w:rsid w:val="007A1453"/>
    <w:rsid w:val="007A7136"/>
    <w:rsid w:val="007B3480"/>
    <w:rsid w:val="007C05F8"/>
    <w:rsid w:val="007C384B"/>
    <w:rsid w:val="007C40A5"/>
    <w:rsid w:val="007D5F06"/>
    <w:rsid w:val="007F296A"/>
    <w:rsid w:val="00800A74"/>
    <w:rsid w:val="008026AE"/>
    <w:rsid w:val="008048D9"/>
    <w:rsid w:val="0081142C"/>
    <w:rsid w:val="00816ADE"/>
    <w:rsid w:val="0083495F"/>
    <w:rsid w:val="00841D14"/>
    <w:rsid w:val="00842ED4"/>
    <w:rsid w:val="00844460"/>
    <w:rsid w:val="00850813"/>
    <w:rsid w:val="008532F1"/>
    <w:rsid w:val="008773FA"/>
    <w:rsid w:val="0088171A"/>
    <w:rsid w:val="00885541"/>
    <w:rsid w:val="008A4E69"/>
    <w:rsid w:val="008B2AB5"/>
    <w:rsid w:val="008D1984"/>
    <w:rsid w:val="008D1A11"/>
    <w:rsid w:val="008D247B"/>
    <w:rsid w:val="008D6303"/>
    <w:rsid w:val="008D6D47"/>
    <w:rsid w:val="008E0CFD"/>
    <w:rsid w:val="008E0D88"/>
    <w:rsid w:val="008E4478"/>
    <w:rsid w:val="008F31A6"/>
    <w:rsid w:val="009005A6"/>
    <w:rsid w:val="009037BD"/>
    <w:rsid w:val="0090747B"/>
    <w:rsid w:val="009137BC"/>
    <w:rsid w:val="00950C07"/>
    <w:rsid w:val="0095499F"/>
    <w:rsid w:val="0095680A"/>
    <w:rsid w:val="00962489"/>
    <w:rsid w:val="00992FCE"/>
    <w:rsid w:val="00994ED8"/>
    <w:rsid w:val="009B0C34"/>
    <w:rsid w:val="009C176E"/>
    <w:rsid w:val="009D0611"/>
    <w:rsid w:val="009E0C97"/>
    <w:rsid w:val="00A013BA"/>
    <w:rsid w:val="00A26234"/>
    <w:rsid w:val="00A32B1C"/>
    <w:rsid w:val="00A47758"/>
    <w:rsid w:val="00A51841"/>
    <w:rsid w:val="00A60C9D"/>
    <w:rsid w:val="00A720F8"/>
    <w:rsid w:val="00A7692A"/>
    <w:rsid w:val="00A77013"/>
    <w:rsid w:val="00A91AF8"/>
    <w:rsid w:val="00AA1B8B"/>
    <w:rsid w:val="00AB107B"/>
    <w:rsid w:val="00AE2B44"/>
    <w:rsid w:val="00AE560A"/>
    <w:rsid w:val="00AE6DBE"/>
    <w:rsid w:val="00AF0F96"/>
    <w:rsid w:val="00B05456"/>
    <w:rsid w:val="00B056EE"/>
    <w:rsid w:val="00B15B34"/>
    <w:rsid w:val="00B1649A"/>
    <w:rsid w:val="00B21883"/>
    <w:rsid w:val="00B244B7"/>
    <w:rsid w:val="00B325F4"/>
    <w:rsid w:val="00B36329"/>
    <w:rsid w:val="00B44AE2"/>
    <w:rsid w:val="00B55616"/>
    <w:rsid w:val="00B815B0"/>
    <w:rsid w:val="00B869B7"/>
    <w:rsid w:val="00BA507E"/>
    <w:rsid w:val="00BA7B6D"/>
    <w:rsid w:val="00BB64DB"/>
    <w:rsid w:val="00BB76DB"/>
    <w:rsid w:val="00BD3E57"/>
    <w:rsid w:val="00BF59B8"/>
    <w:rsid w:val="00C02453"/>
    <w:rsid w:val="00C11703"/>
    <w:rsid w:val="00C15B63"/>
    <w:rsid w:val="00C25ADC"/>
    <w:rsid w:val="00C31E62"/>
    <w:rsid w:val="00C3666E"/>
    <w:rsid w:val="00C401CA"/>
    <w:rsid w:val="00C40819"/>
    <w:rsid w:val="00C441B5"/>
    <w:rsid w:val="00C54BB1"/>
    <w:rsid w:val="00C558CC"/>
    <w:rsid w:val="00C5661E"/>
    <w:rsid w:val="00C7447F"/>
    <w:rsid w:val="00C80846"/>
    <w:rsid w:val="00C81E8E"/>
    <w:rsid w:val="00C8287E"/>
    <w:rsid w:val="00C93EA1"/>
    <w:rsid w:val="00C973DA"/>
    <w:rsid w:val="00CB4EBC"/>
    <w:rsid w:val="00CB6080"/>
    <w:rsid w:val="00CB7712"/>
    <w:rsid w:val="00CC3D7B"/>
    <w:rsid w:val="00CD04E4"/>
    <w:rsid w:val="00CD2BFF"/>
    <w:rsid w:val="00CD2DAA"/>
    <w:rsid w:val="00CD7E72"/>
    <w:rsid w:val="00CE101F"/>
    <w:rsid w:val="00CE5ADF"/>
    <w:rsid w:val="00CE6067"/>
    <w:rsid w:val="00D025CC"/>
    <w:rsid w:val="00D136BD"/>
    <w:rsid w:val="00D13AFF"/>
    <w:rsid w:val="00D17A04"/>
    <w:rsid w:val="00D253B0"/>
    <w:rsid w:val="00D34B46"/>
    <w:rsid w:val="00D455B0"/>
    <w:rsid w:val="00D53729"/>
    <w:rsid w:val="00D56668"/>
    <w:rsid w:val="00D63C77"/>
    <w:rsid w:val="00D67617"/>
    <w:rsid w:val="00D70BEB"/>
    <w:rsid w:val="00D75B37"/>
    <w:rsid w:val="00D84B69"/>
    <w:rsid w:val="00D8798A"/>
    <w:rsid w:val="00D9588A"/>
    <w:rsid w:val="00DA55A2"/>
    <w:rsid w:val="00DF259A"/>
    <w:rsid w:val="00E04EA1"/>
    <w:rsid w:val="00E0F0E7"/>
    <w:rsid w:val="00E129CC"/>
    <w:rsid w:val="00E27C9E"/>
    <w:rsid w:val="00E27E74"/>
    <w:rsid w:val="00E360D2"/>
    <w:rsid w:val="00E40AF7"/>
    <w:rsid w:val="00E45042"/>
    <w:rsid w:val="00E4659D"/>
    <w:rsid w:val="00E523F1"/>
    <w:rsid w:val="00E714F5"/>
    <w:rsid w:val="00E75324"/>
    <w:rsid w:val="00E826F4"/>
    <w:rsid w:val="00E85E65"/>
    <w:rsid w:val="00E960AC"/>
    <w:rsid w:val="00EA4599"/>
    <w:rsid w:val="00EC1011"/>
    <w:rsid w:val="00EE2D31"/>
    <w:rsid w:val="00EE766C"/>
    <w:rsid w:val="00EF3C83"/>
    <w:rsid w:val="00F04FC4"/>
    <w:rsid w:val="00F07947"/>
    <w:rsid w:val="00F14151"/>
    <w:rsid w:val="00F23F84"/>
    <w:rsid w:val="00F27434"/>
    <w:rsid w:val="00F37BBE"/>
    <w:rsid w:val="00F538DA"/>
    <w:rsid w:val="00F5524E"/>
    <w:rsid w:val="00F61AF6"/>
    <w:rsid w:val="00F6281A"/>
    <w:rsid w:val="00F67C3D"/>
    <w:rsid w:val="00F70D46"/>
    <w:rsid w:val="00F70E24"/>
    <w:rsid w:val="00F76033"/>
    <w:rsid w:val="00F77345"/>
    <w:rsid w:val="00F82196"/>
    <w:rsid w:val="00F94ECD"/>
    <w:rsid w:val="00F97CBE"/>
    <w:rsid w:val="00FA26DA"/>
    <w:rsid w:val="00FB4D5A"/>
    <w:rsid w:val="00FB76C1"/>
    <w:rsid w:val="00FC014E"/>
    <w:rsid w:val="00FC2CF2"/>
    <w:rsid w:val="00FC63E4"/>
    <w:rsid w:val="00FD00E3"/>
    <w:rsid w:val="00FE5683"/>
    <w:rsid w:val="00FF19AB"/>
    <w:rsid w:val="00FF2DBF"/>
    <w:rsid w:val="00FF32B9"/>
    <w:rsid w:val="02D0451D"/>
    <w:rsid w:val="048DB87F"/>
    <w:rsid w:val="07F33EA2"/>
    <w:rsid w:val="0CB9C828"/>
    <w:rsid w:val="195BFCFD"/>
    <w:rsid w:val="1C16F179"/>
    <w:rsid w:val="2872CA33"/>
    <w:rsid w:val="3197FF2D"/>
    <w:rsid w:val="322DE645"/>
    <w:rsid w:val="3F86D59A"/>
    <w:rsid w:val="432C8000"/>
    <w:rsid w:val="4F5E15DC"/>
    <w:rsid w:val="573D77D7"/>
    <w:rsid w:val="5AF3DE95"/>
    <w:rsid w:val="5D02ED4F"/>
    <w:rsid w:val="69F57826"/>
    <w:rsid w:val="6C9B0034"/>
    <w:rsid w:val="6DE15883"/>
    <w:rsid w:val="7728179B"/>
    <w:rsid w:val="7C1F4E7F"/>
    <w:rsid w:val="7E9611A9"/>
    <w:rsid w:val="7EAE42F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EC8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paragraph" w:customStyle="1" w:styleId="Default">
    <w:name w:val="Default"/>
    <w:rsid w:val="002B22F9"/>
    <w:pPr>
      <w:autoSpaceDE w:val="0"/>
      <w:autoSpaceDN w:val="0"/>
      <w:adjustRightInd w:val="0"/>
      <w:spacing w:after="0" w:line="240" w:lineRule="auto"/>
    </w:pPr>
    <w:rPr>
      <w:rFonts w:ascii="Times New Roman" w:hAnsi="Times New Roman" w:cs="Times New Roman"/>
      <w:color w:val="000000"/>
      <w:sz w:val="24"/>
      <w:szCs w:val="24"/>
      <w:lang w:eastAsia="en-GB"/>
    </w:rPr>
  </w:style>
  <w:style w:type="paragraph" w:customStyle="1" w:styleId="list-item2">
    <w:name w:val="list-item2"/>
    <w:basedOn w:val="Normal"/>
    <w:rsid w:val="00FF19A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425564448">
      <w:bodyDiv w:val="1"/>
      <w:marLeft w:val="0"/>
      <w:marRight w:val="0"/>
      <w:marTop w:val="0"/>
      <w:marBottom w:val="0"/>
      <w:divBdr>
        <w:top w:val="none" w:sz="0" w:space="0" w:color="auto"/>
        <w:left w:val="none" w:sz="0" w:space="0" w:color="auto"/>
        <w:bottom w:val="none" w:sz="0" w:space="0" w:color="auto"/>
        <w:right w:val="none" w:sz="0" w:space="0" w:color="auto"/>
      </w:divBdr>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1770737254">
      <w:bodyDiv w:val="1"/>
      <w:marLeft w:val="0"/>
      <w:marRight w:val="0"/>
      <w:marTop w:val="0"/>
      <w:marBottom w:val="0"/>
      <w:divBdr>
        <w:top w:val="none" w:sz="0" w:space="0" w:color="auto"/>
        <w:left w:val="none" w:sz="0" w:space="0" w:color="auto"/>
        <w:bottom w:val="none" w:sz="0" w:space="0" w:color="auto"/>
        <w:right w:val="none" w:sz="0" w:space="0" w:color="auto"/>
      </w:divBdr>
      <w:divsChild>
        <w:div w:id="464978315">
          <w:marLeft w:val="0"/>
          <w:marRight w:val="0"/>
          <w:marTop w:val="0"/>
          <w:marBottom w:val="0"/>
          <w:divBdr>
            <w:top w:val="none" w:sz="0" w:space="0" w:color="auto"/>
            <w:left w:val="none" w:sz="0" w:space="0" w:color="auto"/>
            <w:bottom w:val="none" w:sz="0" w:space="0" w:color="auto"/>
            <w:right w:val="none" w:sz="0" w:space="0" w:color="auto"/>
          </w:divBdr>
        </w:div>
        <w:div w:id="494226460">
          <w:marLeft w:val="0"/>
          <w:marRight w:val="0"/>
          <w:marTop w:val="0"/>
          <w:marBottom w:val="0"/>
          <w:divBdr>
            <w:top w:val="none" w:sz="0" w:space="0" w:color="auto"/>
            <w:left w:val="none" w:sz="0" w:space="0" w:color="auto"/>
            <w:bottom w:val="none" w:sz="0" w:space="0" w:color="auto"/>
            <w:right w:val="none" w:sz="0" w:space="0" w:color="auto"/>
          </w:divBdr>
        </w:div>
      </w:divsChild>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07A96-5C73-4773-B08B-68A27AC73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2800</Words>
  <Characters>15965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2024-01-30T10:40:00Z</dcterms:created>
  <dcterms:modified xsi:type="dcterms:W3CDTF">2025-02-20T10:16:00Z</dcterms:modified>
</cp:coreProperties>
</file>