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1B01F" w14:textId="1A80B720" w:rsidR="00D56668" w:rsidRDefault="00F91CCD" w:rsidP="00186571">
      <w:pPr>
        <w:spacing w:line="480" w:lineRule="auto"/>
        <w:rPr>
          <w:sz w:val="48"/>
          <w:szCs w:val="48"/>
        </w:rPr>
      </w:pPr>
      <w:r>
        <w:rPr>
          <w:noProof/>
        </w:rPr>
        <w:drawing>
          <wp:inline distT="0" distB="0" distL="0" distR="0" wp14:anchorId="38FDC664" wp14:editId="7AB0BDF2">
            <wp:extent cx="2531745" cy="1320800"/>
            <wp:effectExtent l="0" t="0" r="1905" b="0"/>
            <wp:docPr id="2"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31745" cy="1320800"/>
                    </a:xfrm>
                    <a:prstGeom prst="rect">
                      <a:avLst/>
                    </a:prstGeom>
                  </pic:spPr>
                </pic:pic>
              </a:graphicData>
            </a:graphic>
          </wp:inline>
        </w:drawing>
      </w:r>
    </w:p>
    <w:p w14:paraId="493E9038" w14:textId="77777777" w:rsidR="00D56668" w:rsidRDefault="00D56668" w:rsidP="00186571">
      <w:pPr>
        <w:spacing w:line="480" w:lineRule="auto"/>
        <w:jc w:val="center"/>
        <w:rPr>
          <w:sz w:val="48"/>
          <w:szCs w:val="48"/>
        </w:rPr>
      </w:pPr>
    </w:p>
    <w:p w14:paraId="23FDD21E" w14:textId="77777777" w:rsidR="00F91CCD" w:rsidRPr="00345BB4" w:rsidRDefault="00F91CCD" w:rsidP="00F91CCD">
      <w:pPr>
        <w:spacing w:line="480" w:lineRule="auto"/>
        <w:jc w:val="center"/>
        <w:rPr>
          <w:rFonts w:ascii="Arial" w:hAnsi="Arial" w:cs="Arial"/>
          <w:bCs/>
          <w:sz w:val="52"/>
          <w:szCs w:val="52"/>
        </w:rPr>
      </w:pPr>
      <w:r w:rsidRPr="00345BB4">
        <w:rPr>
          <w:rFonts w:ascii="Arial" w:hAnsi="Arial" w:cs="Arial"/>
          <w:bCs/>
          <w:sz w:val="52"/>
          <w:szCs w:val="52"/>
        </w:rPr>
        <w:t xml:space="preserve">Lecture Handout </w:t>
      </w:r>
    </w:p>
    <w:p w14:paraId="5B72A19D" w14:textId="2FF4826E" w:rsidR="00F91CCD" w:rsidRDefault="00F91CCD" w:rsidP="00F91CCD">
      <w:pPr>
        <w:spacing w:line="480" w:lineRule="auto"/>
        <w:jc w:val="center"/>
        <w:rPr>
          <w:rFonts w:ascii="Arial" w:hAnsi="Arial" w:cs="Arial"/>
          <w:bCs/>
          <w:sz w:val="52"/>
          <w:szCs w:val="52"/>
        </w:rPr>
      </w:pPr>
      <w:r w:rsidRPr="00345BB4">
        <w:rPr>
          <w:rFonts w:ascii="Arial" w:hAnsi="Arial" w:cs="Arial"/>
          <w:bCs/>
          <w:sz w:val="52"/>
          <w:szCs w:val="52"/>
        </w:rPr>
        <w:t>Epiphany Term Week 1</w:t>
      </w:r>
      <w:r>
        <w:rPr>
          <w:rFonts w:ascii="Arial" w:hAnsi="Arial" w:cs="Arial"/>
          <w:bCs/>
          <w:sz w:val="52"/>
          <w:szCs w:val="52"/>
        </w:rPr>
        <w:t>6</w:t>
      </w:r>
    </w:p>
    <w:p w14:paraId="57AEE045" w14:textId="4249F312" w:rsidR="00F91CCD" w:rsidRPr="00345BB4" w:rsidRDefault="00F91CCD" w:rsidP="00F91CCD">
      <w:pPr>
        <w:spacing w:line="480" w:lineRule="auto"/>
        <w:jc w:val="center"/>
        <w:rPr>
          <w:rFonts w:ascii="Arial" w:hAnsi="Arial" w:cs="Arial"/>
          <w:b/>
          <w:sz w:val="52"/>
          <w:szCs w:val="52"/>
        </w:rPr>
      </w:pPr>
      <w:r w:rsidRPr="00345BB4">
        <w:rPr>
          <w:rFonts w:ascii="Arial" w:hAnsi="Arial" w:cs="Arial"/>
          <w:b/>
          <w:sz w:val="52"/>
          <w:szCs w:val="52"/>
        </w:rPr>
        <w:t>Tracing (I</w:t>
      </w:r>
      <w:r>
        <w:rPr>
          <w:rFonts w:ascii="Arial" w:hAnsi="Arial" w:cs="Arial"/>
          <w:b/>
          <w:sz w:val="52"/>
          <w:szCs w:val="52"/>
        </w:rPr>
        <w:t>I</w:t>
      </w:r>
      <w:r w:rsidRPr="00345BB4">
        <w:rPr>
          <w:rFonts w:ascii="Arial" w:hAnsi="Arial" w:cs="Arial"/>
          <w:b/>
          <w:sz w:val="52"/>
          <w:szCs w:val="52"/>
        </w:rPr>
        <w:t>)</w:t>
      </w:r>
    </w:p>
    <w:p w14:paraId="6ADEA7E8" w14:textId="162D83BF" w:rsidR="00F91CCD" w:rsidRDefault="00F91CCD" w:rsidP="00F91CCD">
      <w:pPr>
        <w:spacing w:line="480" w:lineRule="auto"/>
        <w:jc w:val="center"/>
        <w:rPr>
          <w:rFonts w:ascii="Arial" w:hAnsi="Arial" w:cs="Arial"/>
          <w:sz w:val="52"/>
          <w:szCs w:val="52"/>
        </w:rPr>
      </w:pPr>
      <w:r>
        <w:rPr>
          <w:rFonts w:ascii="Arial" w:hAnsi="Arial" w:cs="Arial"/>
          <w:sz w:val="52"/>
          <w:szCs w:val="52"/>
        </w:rPr>
        <w:t>202</w:t>
      </w:r>
      <w:r w:rsidR="00D02138">
        <w:rPr>
          <w:rFonts w:ascii="Arial" w:hAnsi="Arial" w:cs="Arial"/>
          <w:sz w:val="52"/>
          <w:szCs w:val="52"/>
        </w:rPr>
        <w:t>4</w:t>
      </w:r>
      <w:r>
        <w:rPr>
          <w:rFonts w:ascii="Arial" w:hAnsi="Arial" w:cs="Arial"/>
          <w:sz w:val="52"/>
          <w:szCs w:val="52"/>
        </w:rPr>
        <w:t>/2</w:t>
      </w:r>
      <w:r w:rsidR="00D02138">
        <w:rPr>
          <w:rFonts w:ascii="Arial" w:hAnsi="Arial" w:cs="Arial"/>
          <w:sz w:val="52"/>
          <w:szCs w:val="52"/>
        </w:rPr>
        <w:t>5</w:t>
      </w:r>
    </w:p>
    <w:p w14:paraId="7ADC5E3F" w14:textId="77777777" w:rsidR="00F91CCD" w:rsidRDefault="00F91CCD" w:rsidP="00F91CCD">
      <w:pPr>
        <w:spacing w:line="480" w:lineRule="auto"/>
        <w:jc w:val="center"/>
        <w:rPr>
          <w:rFonts w:ascii="Arial" w:hAnsi="Arial" w:cs="Arial"/>
          <w:sz w:val="52"/>
          <w:szCs w:val="52"/>
        </w:rPr>
      </w:pPr>
      <w:r w:rsidRPr="44FD698F">
        <w:rPr>
          <w:rFonts w:ascii="Arial" w:hAnsi="Arial" w:cs="Arial"/>
          <w:sz w:val="52"/>
          <w:szCs w:val="52"/>
        </w:rPr>
        <w:t>Dr Johanna Jacques</w:t>
      </w:r>
    </w:p>
    <w:p w14:paraId="0B2B6841" w14:textId="33B5D460" w:rsidR="00E714F5" w:rsidRPr="00F91CCD" w:rsidRDefault="00E714F5" w:rsidP="00F91CCD">
      <w:pPr>
        <w:rPr>
          <w:rFonts w:ascii="Arial" w:hAnsi="Arial" w:cs="Arial"/>
          <w:sz w:val="52"/>
          <w:szCs w:val="52"/>
        </w:rPr>
      </w:pPr>
      <w:r>
        <w:rPr>
          <w:rFonts w:ascii="Arial" w:hAnsi="Arial" w:cs="Arial"/>
          <w:b/>
          <w:sz w:val="24"/>
          <w:szCs w:val="24"/>
        </w:rPr>
        <w:br w:type="page"/>
      </w:r>
    </w:p>
    <w:p w14:paraId="41469B6B" w14:textId="098695BF" w:rsidR="00177ED8" w:rsidRPr="00630854" w:rsidRDefault="00B056EE" w:rsidP="00186571">
      <w:pPr>
        <w:pStyle w:val="ListParagraph"/>
        <w:numPr>
          <w:ilvl w:val="0"/>
          <w:numId w:val="2"/>
        </w:numPr>
        <w:spacing w:line="480" w:lineRule="auto"/>
        <w:jc w:val="both"/>
        <w:rPr>
          <w:rFonts w:ascii="Arial" w:hAnsi="Arial" w:cs="Arial"/>
          <w:b/>
          <w:sz w:val="24"/>
          <w:szCs w:val="24"/>
        </w:rPr>
      </w:pPr>
      <w:r>
        <w:rPr>
          <w:rFonts w:ascii="Arial" w:hAnsi="Arial" w:cs="Arial"/>
          <w:b/>
          <w:sz w:val="24"/>
          <w:szCs w:val="24"/>
        </w:rPr>
        <w:lastRenderedPageBreak/>
        <w:t>Reading</w:t>
      </w:r>
    </w:p>
    <w:p w14:paraId="100CCE73" w14:textId="77777777" w:rsidR="00F33B97" w:rsidRPr="00F33B97" w:rsidRDefault="00F33B97" w:rsidP="00F33B97">
      <w:pPr>
        <w:spacing w:line="480" w:lineRule="auto"/>
        <w:jc w:val="both"/>
        <w:rPr>
          <w:rFonts w:ascii="Arial" w:hAnsi="Arial" w:cs="Arial"/>
        </w:rPr>
      </w:pPr>
      <w:r w:rsidRPr="00F33B97">
        <w:rPr>
          <w:rFonts w:ascii="Arial" w:hAnsi="Arial" w:cs="Arial"/>
        </w:rPr>
        <w:t xml:space="preserve">For </w:t>
      </w:r>
      <w:r w:rsidRPr="00F33B97">
        <w:rPr>
          <w:rFonts w:ascii="Arial" w:hAnsi="Arial" w:cs="Arial"/>
          <w:u w:val="single"/>
        </w:rPr>
        <w:t>essential</w:t>
      </w:r>
      <w:r w:rsidRPr="00F33B97">
        <w:rPr>
          <w:rFonts w:ascii="Arial" w:hAnsi="Arial" w:cs="Arial"/>
        </w:rPr>
        <w:t xml:space="preserve"> and </w:t>
      </w:r>
      <w:r w:rsidRPr="00F33B97">
        <w:rPr>
          <w:rFonts w:ascii="Arial" w:hAnsi="Arial" w:cs="Arial"/>
          <w:u w:val="single"/>
        </w:rPr>
        <w:t>further</w:t>
      </w:r>
      <w:r w:rsidRPr="00F33B97">
        <w:rPr>
          <w:rFonts w:ascii="Arial" w:hAnsi="Arial" w:cs="Arial"/>
        </w:rPr>
        <w:t xml:space="preserve"> reading, please see the Reading List feature on Learn Ultra.</w:t>
      </w:r>
    </w:p>
    <w:p w14:paraId="423568A3" w14:textId="77777777" w:rsidR="00A91AF8" w:rsidRDefault="00A91AF8" w:rsidP="00186571">
      <w:pPr>
        <w:spacing w:after="120" w:line="480" w:lineRule="auto"/>
        <w:jc w:val="both"/>
        <w:rPr>
          <w:rFonts w:ascii="Arial" w:eastAsia="MS Mincho" w:hAnsi="Arial" w:cs="Arial"/>
          <w:u w:val="single"/>
          <w:lang w:bidi="en-US"/>
        </w:rPr>
      </w:pPr>
    </w:p>
    <w:p w14:paraId="0A38B29C" w14:textId="27B7689F" w:rsidR="6C9B0034" w:rsidRPr="00AB107B" w:rsidRDefault="6C9B0034" w:rsidP="00186571">
      <w:pPr>
        <w:spacing w:after="120" w:line="480" w:lineRule="auto"/>
        <w:jc w:val="both"/>
        <w:rPr>
          <w:rFonts w:ascii="Arial" w:eastAsia="MS Mincho" w:hAnsi="Arial" w:cs="Arial"/>
          <w:u w:val="single"/>
          <w:lang w:bidi="en-US"/>
        </w:rPr>
      </w:pPr>
      <w:r w:rsidRPr="00AB107B">
        <w:rPr>
          <w:rFonts w:ascii="Arial" w:eastAsia="MS Mincho" w:hAnsi="Arial" w:cs="Arial"/>
          <w:u w:val="single"/>
          <w:lang w:bidi="en-US"/>
        </w:rPr>
        <w:t>Cases</w:t>
      </w:r>
    </w:p>
    <w:p w14:paraId="6F204AD2" w14:textId="2E0C6FDF" w:rsidR="006417DC" w:rsidRPr="00D02138" w:rsidRDefault="6EDB20C5" w:rsidP="00254B89">
      <w:pPr>
        <w:pStyle w:val="ListParagraph"/>
        <w:numPr>
          <w:ilvl w:val="0"/>
          <w:numId w:val="3"/>
        </w:numPr>
        <w:spacing w:line="480" w:lineRule="auto"/>
        <w:jc w:val="both"/>
        <w:rPr>
          <w:rFonts w:ascii="Arial" w:eastAsia="Calibri" w:hAnsi="Arial" w:cs="Arial"/>
          <w:lang w:bidi="en-US"/>
        </w:rPr>
      </w:pPr>
      <w:r w:rsidRPr="00D02138">
        <w:rPr>
          <w:rFonts w:ascii="Arial" w:eastAsia="Calibri" w:hAnsi="Arial" w:cs="Arial"/>
          <w:i/>
          <w:iCs/>
        </w:rPr>
        <w:t xml:space="preserve">Lipkin Gorman v </w:t>
      </w:r>
      <w:proofErr w:type="spellStart"/>
      <w:r w:rsidRPr="00D02138">
        <w:rPr>
          <w:rFonts w:ascii="Arial" w:eastAsia="Calibri" w:hAnsi="Arial" w:cs="Arial"/>
          <w:i/>
          <w:iCs/>
        </w:rPr>
        <w:t>Karpnale</w:t>
      </w:r>
      <w:proofErr w:type="spellEnd"/>
      <w:r w:rsidRPr="00D02138">
        <w:rPr>
          <w:rFonts w:ascii="Arial" w:eastAsia="Calibri" w:hAnsi="Arial" w:cs="Arial"/>
          <w:i/>
          <w:iCs/>
        </w:rPr>
        <w:t xml:space="preserve"> Ltd</w:t>
      </w:r>
      <w:r w:rsidRPr="00D02138">
        <w:rPr>
          <w:rFonts w:ascii="Arial" w:eastAsia="Calibri" w:hAnsi="Arial" w:cs="Arial"/>
        </w:rPr>
        <w:t xml:space="preserve"> [1991] 2 AC 548</w:t>
      </w:r>
    </w:p>
    <w:p w14:paraId="2E2C8AD1" w14:textId="4F0B9510" w:rsidR="006417DC" w:rsidRPr="00D02138" w:rsidRDefault="6EDB20C5" w:rsidP="00254B89">
      <w:pPr>
        <w:pStyle w:val="ListParagraph"/>
        <w:numPr>
          <w:ilvl w:val="0"/>
          <w:numId w:val="3"/>
        </w:numPr>
        <w:spacing w:line="480" w:lineRule="auto"/>
        <w:jc w:val="both"/>
        <w:rPr>
          <w:rFonts w:ascii="Arial" w:eastAsia="Calibri" w:hAnsi="Arial" w:cs="Arial"/>
          <w:lang w:bidi="en-US"/>
        </w:rPr>
      </w:pPr>
      <w:r w:rsidRPr="00D02138">
        <w:rPr>
          <w:rFonts w:ascii="Arial" w:eastAsia="Calibri" w:hAnsi="Arial" w:cs="Arial"/>
          <w:i/>
          <w:iCs/>
        </w:rPr>
        <w:t>FC Jones &amp; Sons (Trustee) v Jones</w:t>
      </w:r>
      <w:r w:rsidRPr="00D02138">
        <w:rPr>
          <w:rFonts w:ascii="Arial" w:eastAsia="Calibri" w:hAnsi="Arial" w:cs="Arial"/>
        </w:rPr>
        <w:t xml:space="preserve"> [1997] Ch 159</w:t>
      </w:r>
    </w:p>
    <w:p w14:paraId="46BB9002" w14:textId="1F5FBAE2" w:rsidR="006417DC" w:rsidRPr="00D02138" w:rsidRDefault="6EDB20C5" w:rsidP="00254B89">
      <w:pPr>
        <w:pStyle w:val="ListParagraph"/>
        <w:numPr>
          <w:ilvl w:val="0"/>
          <w:numId w:val="3"/>
        </w:numPr>
        <w:spacing w:line="480" w:lineRule="auto"/>
        <w:jc w:val="both"/>
        <w:rPr>
          <w:rFonts w:ascii="Arial" w:eastAsia="Calibri" w:hAnsi="Arial" w:cs="Arial"/>
          <w:lang w:bidi="en-US"/>
        </w:rPr>
      </w:pPr>
      <w:proofErr w:type="spellStart"/>
      <w:r w:rsidRPr="00D02138">
        <w:rPr>
          <w:rFonts w:ascii="Arial" w:eastAsia="Calibri" w:hAnsi="Arial" w:cs="Arial"/>
          <w:i/>
          <w:iCs/>
        </w:rPr>
        <w:t>Agip</w:t>
      </w:r>
      <w:proofErr w:type="spellEnd"/>
      <w:r w:rsidRPr="00D02138">
        <w:rPr>
          <w:rFonts w:ascii="Arial" w:eastAsia="Calibri" w:hAnsi="Arial" w:cs="Arial"/>
          <w:i/>
          <w:iCs/>
        </w:rPr>
        <w:t xml:space="preserve"> (Africa) Ltd v Jackson</w:t>
      </w:r>
      <w:r w:rsidRPr="00D02138">
        <w:rPr>
          <w:rFonts w:ascii="Arial" w:eastAsia="Calibri" w:hAnsi="Arial" w:cs="Arial"/>
        </w:rPr>
        <w:t xml:space="preserve"> [1990] 1 Ch 265</w:t>
      </w:r>
    </w:p>
    <w:p w14:paraId="075FE3B8" w14:textId="7F399DD2" w:rsidR="006417DC" w:rsidRPr="00D02138" w:rsidRDefault="6EDB20C5" w:rsidP="00254B89">
      <w:pPr>
        <w:pStyle w:val="ListParagraph"/>
        <w:numPr>
          <w:ilvl w:val="0"/>
          <w:numId w:val="3"/>
        </w:numPr>
        <w:spacing w:line="480" w:lineRule="auto"/>
        <w:jc w:val="both"/>
        <w:rPr>
          <w:rFonts w:ascii="Arial" w:eastAsia="Calibri" w:hAnsi="Arial" w:cs="Arial"/>
          <w:lang w:bidi="en-US"/>
        </w:rPr>
      </w:pPr>
      <w:r w:rsidRPr="00D02138">
        <w:rPr>
          <w:rFonts w:ascii="Arial" w:hAnsi="Arial" w:cs="Arial"/>
          <w:i/>
          <w:iCs/>
        </w:rPr>
        <w:t>Chase Manhattan Bank NA v Israel-British Bank (London) Ltd</w:t>
      </w:r>
      <w:r w:rsidRPr="00D02138">
        <w:rPr>
          <w:rFonts w:ascii="Arial" w:hAnsi="Arial" w:cs="Arial"/>
        </w:rPr>
        <w:t xml:space="preserve"> [1981] Ch 105</w:t>
      </w:r>
    </w:p>
    <w:p w14:paraId="606880D1" w14:textId="4A5E4DC0" w:rsidR="00B76527" w:rsidRPr="00D02138" w:rsidRDefault="6EDB20C5" w:rsidP="00254B89">
      <w:pPr>
        <w:pStyle w:val="ListParagraph"/>
        <w:numPr>
          <w:ilvl w:val="0"/>
          <w:numId w:val="3"/>
        </w:numPr>
        <w:spacing w:line="480" w:lineRule="auto"/>
        <w:jc w:val="both"/>
        <w:rPr>
          <w:rFonts w:ascii="Arial" w:eastAsia="Calibri" w:hAnsi="Arial" w:cs="Arial"/>
          <w:lang w:bidi="en-US"/>
        </w:rPr>
      </w:pPr>
      <w:r w:rsidRPr="00D02138">
        <w:rPr>
          <w:rFonts w:ascii="Arial" w:eastAsia="Calibri" w:hAnsi="Arial" w:cs="Arial"/>
          <w:i/>
          <w:iCs/>
        </w:rPr>
        <w:t>Re Hallet’s Estate</w:t>
      </w:r>
      <w:r w:rsidRPr="00D02138">
        <w:rPr>
          <w:rFonts w:ascii="Arial" w:eastAsia="Calibri" w:hAnsi="Arial" w:cs="Arial"/>
        </w:rPr>
        <w:t xml:space="preserve"> (1880) 13 Ch D 696</w:t>
      </w:r>
    </w:p>
    <w:p w14:paraId="2A1AE178" w14:textId="2A459B56" w:rsidR="00B76527" w:rsidRPr="00D02138" w:rsidRDefault="6EDB20C5" w:rsidP="00254B89">
      <w:pPr>
        <w:pStyle w:val="ListParagraph"/>
        <w:numPr>
          <w:ilvl w:val="0"/>
          <w:numId w:val="3"/>
        </w:numPr>
        <w:spacing w:line="480" w:lineRule="auto"/>
        <w:jc w:val="both"/>
        <w:rPr>
          <w:rFonts w:ascii="Arial" w:eastAsia="Calibri" w:hAnsi="Arial" w:cs="Arial"/>
          <w:lang w:bidi="en-US"/>
        </w:rPr>
      </w:pPr>
      <w:r w:rsidRPr="00D02138">
        <w:rPr>
          <w:rFonts w:ascii="Arial" w:hAnsi="Arial" w:cs="Arial"/>
          <w:i/>
          <w:iCs/>
        </w:rPr>
        <w:t>James Roscoe (Bolton) Ltd v Winder</w:t>
      </w:r>
      <w:r w:rsidRPr="00D02138">
        <w:rPr>
          <w:rFonts w:ascii="Arial" w:hAnsi="Arial" w:cs="Arial"/>
        </w:rPr>
        <w:t xml:space="preserve"> [1915] 1 Ch 62</w:t>
      </w:r>
    </w:p>
    <w:p w14:paraId="02264E40" w14:textId="2762AE55" w:rsidR="00155607" w:rsidRPr="00DA3405" w:rsidRDefault="6EDB20C5" w:rsidP="00186571">
      <w:pPr>
        <w:pStyle w:val="ListParagraph"/>
        <w:numPr>
          <w:ilvl w:val="0"/>
          <w:numId w:val="3"/>
        </w:numPr>
        <w:spacing w:line="480" w:lineRule="auto"/>
        <w:jc w:val="both"/>
        <w:rPr>
          <w:rFonts w:ascii="Arial" w:eastAsia="Calibri" w:hAnsi="Arial" w:cs="Arial"/>
          <w:lang w:bidi="en-US"/>
        </w:rPr>
      </w:pPr>
      <w:r w:rsidRPr="00D02138">
        <w:rPr>
          <w:rFonts w:ascii="Arial" w:hAnsi="Arial" w:cs="Arial"/>
          <w:i/>
          <w:iCs/>
        </w:rPr>
        <w:t>Barlow Clowes International v Vaughan</w:t>
      </w:r>
      <w:r w:rsidRPr="00D02138">
        <w:rPr>
          <w:rFonts w:ascii="Arial" w:hAnsi="Arial" w:cs="Arial"/>
        </w:rPr>
        <w:t xml:space="preserve"> [1992] 4 All ER 22</w:t>
      </w:r>
      <w:bookmarkStart w:id="0" w:name="_Toc367975301"/>
      <w:bookmarkStart w:id="1" w:name="_Toc431462977"/>
      <w:r w:rsidR="00155607" w:rsidRPr="00DA3405">
        <w:rPr>
          <w:rFonts w:ascii="Calibri" w:eastAsia="Times New Roman" w:hAnsi="Calibri" w:cs="Arial"/>
          <w:b/>
          <w:bCs/>
          <w:iCs/>
          <w:sz w:val="28"/>
          <w:szCs w:val="28"/>
          <w:highlight w:val="green"/>
          <w:lang w:bidi="en-US"/>
        </w:rPr>
        <w:br w:type="page"/>
      </w:r>
    </w:p>
    <w:p w14:paraId="15A010DB" w14:textId="77777777" w:rsidR="00F83958" w:rsidRDefault="00611BE8" w:rsidP="00611BE8">
      <w:pPr>
        <w:pStyle w:val="ListParagraph"/>
        <w:numPr>
          <w:ilvl w:val="0"/>
          <w:numId w:val="2"/>
        </w:numPr>
        <w:spacing w:line="480" w:lineRule="auto"/>
        <w:jc w:val="both"/>
        <w:rPr>
          <w:rFonts w:ascii="Arial" w:eastAsia="Times New Roman" w:hAnsi="Arial" w:cs="Arial"/>
          <w:b/>
          <w:bCs/>
          <w:iCs/>
          <w:lang w:bidi="en-US"/>
        </w:rPr>
      </w:pPr>
      <w:r w:rsidRPr="00611BE8">
        <w:rPr>
          <w:rFonts w:ascii="Arial" w:eastAsia="Times New Roman" w:hAnsi="Arial" w:cs="Arial"/>
          <w:b/>
          <w:bCs/>
          <w:iCs/>
          <w:lang w:bidi="en-US"/>
        </w:rPr>
        <w:lastRenderedPageBreak/>
        <w:t xml:space="preserve">Tracing </w:t>
      </w:r>
      <w:r w:rsidR="00F83958">
        <w:rPr>
          <w:rFonts w:ascii="Arial" w:eastAsia="Times New Roman" w:hAnsi="Arial" w:cs="Arial"/>
          <w:b/>
          <w:bCs/>
          <w:iCs/>
          <w:lang w:bidi="en-US"/>
        </w:rPr>
        <w:t>(II)</w:t>
      </w:r>
    </w:p>
    <w:p w14:paraId="30D3869E" w14:textId="3BEF11BE" w:rsidR="00611BE8" w:rsidRPr="00F83958" w:rsidRDefault="00D02138" w:rsidP="00F83958">
      <w:pPr>
        <w:spacing w:line="480" w:lineRule="auto"/>
        <w:jc w:val="both"/>
        <w:rPr>
          <w:rFonts w:ascii="Arial" w:eastAsia="Times New Roman" w:hAnsi="Arial" w:cs="Arial"/>
          <w:iCs/>
          <w:u w:val="single"/>
          <w:lang w:bidi="en-US"/>
        </w:rPr>
      </w:pPr>
      <w:r>
        <w:rPr>
          <w:rFonts w:ascii="Arial" w:eastAsia="Times New Roman" w:hAnsi="Arial" w:cs="Arial"/>
          <w:iCs/>
          <w:u w:val="single"/>
          <w:lang w:bidi="en-US"/>
        </w:rPr>
        <w:t xml:space="preserve">I – </w:t>
      </w:r>
      <w:r w:rsidR="00F83958" w:rsidRPr="00F83958">
        <w:rPr>
          <w:rFonts w:ascii="Arial" w:eastAsia="Times New Roman" w:hAnsi="Arial" w:cs="Arial"/>
          <w:iCs/>
          <w:u w:val="single"/>
          <w:lang w:bidi="en-US"/>
        </w:rPr>
        <w:t>Tracing</w:t>
      </w:r>
      <w:r>
        <w:rPr>
          <w:rFonts w:ascii="Arial" w:eastAsia="Times New Roman" w:hAnsi="Arial" w:cs="Arial"/>
          <w:iCs/>
          <w:u w:val="single"/>
          <w:lang w:bidi="en-US"/>
        </w:rPr>
        <w:t xml:space="preserve"> </w:t>
      </w:r>
      <w:r w:rsidR="00611BE8" w:rsidRPr="00F83958">
        <w:rPr>
          <w:rFonts w:ascii="Arial" w:eastAsia="Times New Roman" w:hAnsi="Arial" w:cs="Arial"/>
          <w:iCs/>
          <w:u w:val="single"/>
          <w:lang w:bidi="en-US"/>
        </w:rPr>
        <w:t>at common law</w:t>
      </w:r>
    </w:p>
    <w:p w14:paraId="79ED9517" w14:textId="30569574" w:rsidR="00D47F9D" w:rsidRPr="00C45B57" w:rsidRDefault="00611BE8" w:rsidP="006432DA">
      <w:pPr>
        <w:spacing w:line="480" w:lineRule="auto"/>
        <w:jc w:val="both"/>
        <w:rPr>
          <w:rFonts w:ascii="Arial" w:eastAsia="Calibri" w:hAnsi="Arial" w:cs="Arial"/>
          <w:b/>
          <w:bCs/>
          <w:u w:val="single"/>
        </w:rPr>
      </w:pPr>
      <w:r w:rsidRPr="00D47F9D">
        <w:rPr>
          <w:rFonts w:ascii="Arial" w:eastAsia="Calibri" w:hAnsi="Arial" w:cs="Arial"/>
        </w:rPr>
        <w:t xml:space="preserve">The common law rules of tracing are used to trace ownership at common law. </w:t>
      </w:r>
      <w:r w:rsidR="000650C9">
        <w:rPr>
          <w:rFonts w:ascii="Arial" w:eastAsia="Calibri" w:hAnsi="Arial" w:cs="Arial"/>
        </w:rPr>
        <w:t>As we will see below, t</w:t>
      </w:r>
      <w:r w:rsidR="00D47F9D" w:rsidRPr="00D47F9D">
        <w:rPr>
          <w:rFonts w:ascii="Arial" w:eastAsia="Calibri" w:hAnsi="Arial" w:cs="Arial"/>
        </w:rPr>
        <w:t xml:space="preserve">he rules for tracing at common law are less </w:t>
      </w:r>
      <w:r w:rsidR="00D47F9D">
        <w:rPr>
          <w:rFonts w:ascii="Arial" w:eastAsia="Calibri" w:hAnsi="Arial" w:cs="Arial"/>
        </w:rPr>
        <w:t>generous than in equity:</w:t>
      </w:r>
      <w:r w:rsidR="006432DA">
        <w:rPr>
          <w:rFonts w:ascii="Arial" w:eastAsia="Calibri" w:hAnsi="Arial" w:cs="Arial"/>
        </w:rPr>
        <w:t xml:space="preserve"> </w:t>
      </w:r>
      <w:r w:rsidR="00D47F9D" w:rsidRPr="00D47F9D">
        <w:rPr>
          <w:rFonts w:ascii="Arial" w:eastAsia="Times New Roman" w:hAnsi="Arial" w:cs="Arial"/>
          <w:bCs/>
          <w:iCs/>
          <w:lang w:bidi="en-US"/>
        </w:rPr>
        <w:t xml:space="preserve">At common law, </w:t>
      </w:r>
      <w:r w:rsidR="002200C6">
        <w:rPr>
          <w:rFonts w:ascii="Arial" w:eastAsia="Times New Roman" w:hAnsi="Arial" w:cs="Arial"/>
          <w:bCs/>
          <w:iCs/>
          <w:lang w:bidi="en-US"/>
        </w:rPr>
        <w:t xml:space="preserve">a claimant </w:t>
      </w:r>
      <w:proofErr w:type="gramStart"/>
      <w:r w:rsidR="002200C6">
        <w:rPr>
          <w:rFonts w:ascii="Arial" w:eastAsia="Times New Roman" w:hAnsi="Arial" w:cs="Arial"/>
          <w:bCs/>
          <w:iCs/>
          <w:lang w:bidi="en-US"/>
        </w:rPr>
        <w:t>can</w:t>
      </w:r>
      <w:proofErr w:type="gramEnd"/>
      <w:r w:rsidR="002200C6">
        <w:rPr>
          <w:rFonts w:ascii="Arial" w:eastAsia="Times New Roman" w:hAnsi="Arial" w:cs="Arial"/>
          <w:bCs/>
          <w:iCs/>
          <w:lang w:bidi="en-US"/>
        </w:rPr>
        <w:t xml:space="preserve"> trace into a mixed substitute if the defendant carried out the mixing, but not through that mixed substitute into the hands of another party</w:t>
      </w:r>
      <w:r w:rsidR="00D47F9D" w:rsidRPr="00C45B57">
        <w:rPr>
          <w:rFonts w:ascii="Arial" w:eastAsia="Calibri" w:hAnsi="Arial" w:cs="Arial"/>
          <w:b/>
          <w:bCs/>
          <w:u w:val="single"/>
        </w:rPr>
        <w:t>.</w:t>
      </w:r>
      <w:r w:rsidR="00BA5740" w:rsidRPr="00C45B57">
        <w:rPr>
          <w:b/>
          <w:bCs/>
          <w:u w:val="single"/>
        </w:rPr>
        <w:t xml:space="preserve"> </w:t>
      </w:r>
      <w:r w:rsidR="00BA5740" w:rsidRPr="00C45B57">
        <w:rPr>
          <w:rFonts w:ascii="Arial" w:eastAsia="Calibri" w:hAnsi="Arial" w:cs="Arial"/>
          <w:b/>
          <w:bCs/>
          <w:u w:val="single"/>
        </w:rPr>
        <w:t>Tracing in equity has no such limitation</w:t>
      </w:r>
      <w:r w:rsidR="0010484C" w:rsidRPr="00C45B57">
        <w:rPr>
          <w:rFonts w:ascii="Arial" w:eastAsia="Calibri" w:hAnsi="Arial" w:cs="Arial"/>
          <w:b/>
          <w:bCs/>
          <w:u w:val="single"/>
        </w:rPr>
        <w:t>;</w:t>
      </w:r>
      <w:r w:rsidR="00BA5740" w:rsidRPr="00C45B57">
        <w:rPr>
          <w:rFonts w:ascii="Arial" w:eastAsia="Calibri" w:hAnsi="Arial" w:cs="Arial"/>
          <w:b/>
          <w:bCs/>
          <w:u w:val="single"/>
        </w:rPr>
        <w:t xml:space="preserve"> in equity one can trace property through mixed funds.</w:t>
      </w:r>
    </w:p>
    <w:p w14:paraId="0E773A69" w14:textId="77777777" w:rsidR="00D02138" w:rsidRDefault="00D02138" w:rsidP="11FA8300">
      <w:pPr>
        <w:spacing w:line="480" w:lineRule="auto"/>
        <w:jc w:val="both"/>
        <w:rPr>
          <w:rFonts w:ascii="Arial" w:eastAsia="Calibri" w:hAnsi="Arial" w:cs="Arial"/>
          <w:highlight w:val="yellow"/>
          <w:u w:val="single"/>
        </w:rPr>
      </w:pPr>
    </w:p>
    <w:p w14:paraId="3DE03803" w14:textId="73C1511B" w:rsidR="00611BE8" w:rsidRPr="00D02138" w:rsidRDefault="000650C9" w:rsidP="00D02138">
      <w:pPr>
        <w:pStyle w:val="ListParagraph"/>
        <w:numPr>
          <w:ilvl w:val="0"/>
          <w:numId w:val="26"/>
        </w:numPr>
        <w:spacing w:line="480" w:lineRule="auto"/>
        <w:jc w:val="both"/>
        <w:rPr>
          <w:rFonts w:ascii="Arial" w:eastAsia="Calibri" w:hAnsi="Arial" w:cs="Arial"/>
        </w:rPr>
      </w:pPr>
      <w:r w:rsidRPr="00D02138">
        <w:rPr>
          <w:rFonts w:ascii="Arial" w:eastAsia="Calibri" w:hAnsi="Arial" w:cs="Arial"/>
        </w:rPr>
        <w:t>Tracing into clean substitutions</w:t>
      </w:r>
    </w:p>
    <w:p w14:paraId="0A35B91A" w14:textId="50275C7C" w:rsidR="00E423D1" w:rsidRDefault="00611BE8" w:rsidP="006432DA">
      <w:pPr>
        <w:spacing w:line="480" w:lineRule="auto"/>
        <w:jc w:val="both"/>
        <w:rPr>
          <w:rFonts w:ascii="Arial" w:eastAsia="Calibri" w:hAnsi="Arial" w:cs="Arial"/>
        </w:rPr>
      </w:pPr>
      <w:r w:rsidRPr="006432DA">
        <w:rPr>
          <w:rFonts w:ascii="Arial" w:eastAsia="Calibri" w:hAnsi="Arial" w:cs="Arial"/>
        </w:rPr>
        <w:t>An example of a successful case</w:t>
      </w:r>
      <w:r w:rsidR="000650C9">
        <w:rPr>
          <w:rFonts w:ascii="Arial" w:eastAsia="Calibri" w:hAnsi="Arial" w:cs="Arial"/>
        </w:rPr>
        <w:t xml:space="preserve"> that involved clean </w:t>
      </w:r>
      <w:r w:rsidR="005058ED">
        <w:rPr>
          <w:rFonts w:ascii="Arial" w:eastAsia="Calibri" w:hAnsi="Arial" w:cs="Arial"/>
        </w:rPr>
        <w:t>substitutions</w:t>
      </w:r>
      <w:r w:rsidRPr="006432DA">
        <w:rPr>
          <w:rFonts w:ascii="Arial" w:eastAsia="Calibri" w:hAnsi="Arial" w:cs="Arial"/>
        </w:rPr>
        <w:t xml:space="preserve"> in which common law tracing was employed to make a claim for money had and received is </w:t>
      </w:r>
      <w:r w:rsidRPr="006432DA">
        <w:rPr>
          <w:rFonts w:ascii="Arial" w:eastAsia="Calibri" w:hAnsi="Arial" w:cs="Arial"/>
          <w:i/>
          <w:u w:val="single"/>
        </w:rPr>
        <w:t xml:space="preserve">Lipkin Gorman v </w:t>
      </w:r>
      <w:proofErr w:type="spellStart"/>
      <w:r w:rsidRPr="006432DA">
        <w:rPr>
          <w:rFonts w:ascii="Arial" w:eastAsia="Calibri" w:hAnsi="Arial" w:cs="Arial"/>
          <w:i/>
          <w:u w:val="single"/>
        </w:rPr>
        <w:t>Karpnale</w:t>
      </w:r>
      <w:proofErr w:type="spellEnd"/>
      <w:r w:rsidRPr="006432DA">
        <w:rPr>
          <w:rFonts w:ascii="Arial" w:eastAsia="Calibri" w:hAnsi="Arial" w:cs="Arial"/>
          <w:i/>
          <w:u w:val="single"/>
        </w:rPr>
        <w:t xml:space="preserve"> Ltd</w:t>
      </w:r>
      <w:r w:rsidRPr="006432DA">
        <w:rPr>
          <w:rFonts w:ascii="Arial" w:eastAsia="Calibri" w:hAnsi="Arial" w:cs="Arial"/>
          <w:u w:val="single"/>
        </w:rPr>
        <w:t xml:space="preserve"> [1991] 2 AC 548</w:t>
      </w:r>
      <w:r w:rsidRPr="006432DA">
        <w:rPr>
          <w:rFonts w:ascii="Arial" w:eastAsia="Calibri" w:hAnsi="Arial" w:cs="Arial"/>
        </w:rPr>
        <w:t xml:space="preserve">. Here, a solicitor </w:t>
      </w:r>
      <w:r w:rsidR="00BB384E">
        <w:rPr>
          <w:rFonts w:ascii="Arial" w:eastAsia="Calibri" w:hAnsi="Arial" w:cs="Arial"/>
        </w:rPr>
        <w:t xml:space="preserve">who was a partner in his firm </w:t>
      </w:r>
      <w:r w:rsidRPr="006432DA">
        <w:rPr>
          <w:rFonts w:ascii="Arial" w:eastAsia="Calibri" w:hAnsi="Arial" w:cs="Arial"/>
        </w:rPr>
        <w:t>withdrew a large amount of money from his firm’s account and spent it gambling at a casino. The firm (Lipkin Gorman) was able to trace the chose in action represented by the client account balance into the m</w:t>
      </w:r>
      <w:r w:rsidR="000650C9">
        <w:rPr>
          <w:rFonts w:ascii="Arial" w:eastAsia="Calibri" w:hAnsi="Arial" w:cs="Arial"/>
        </w:rPr>
        <w:t xml:space="preserve">oney withdrawn by the solicitor </w:t>
      </w:r>
      <w:r w:rsidRPr="006432DA">
        <w:rPr>
          <w:rFonts w:ascii="Arial" w:eastAsia="Calibri" w:hAnsi="Arial" w:cs="Arial"/>
        </w:rPr>
        <w:t>and from there into the hands of the casino (</w:t>
      </w:r>
      <w:proofErr w:type="spellStart"/>
      <w:r w:rsidRPr="006432DA">
        <w:rPr>
          <w:rFonts w:ascii="Arial" w:eastAsia="Calibri" w:hAnsi="Arial" w:cs="Arial"/>
        </w:rPr>
        <w:t>Karpnale</w:t>
      </w:r>
      <w:proofErr w:type="spellEnd"/>
      <w:r w:rsidRPr="006432DA">
        <w:rPr>
          <w:rFonts w:ascii="Arial" w:eastAsia="Calibri" w:hAnsi="Arial" w:cs="Arial"/>
        </w:rPr>
        <w:t xml:space="preserve">). It sued the casino in conversion and in money had and received, without recourse to equitable rights. </w:t>
      </w:r>
    </w:p>
    <w:p w14:paraId="59935D73" w14:textId="26005118" w:rsidR="005C7BE3" w:rsidRDefault="00E423D1" w:rsidP="006432DA">
      <w:pPr>
        <w:spacing w:line="480" w:lineRule="auto"/>
        <w:jc w:val="both"/>
        <w:rPr>
          <w:rFonts w:ascii="Arial" w:eastAsia="Calibri" w:hAnsi="Arial" w:cs="Arial"/>
        </w:rPr>
      </w:pPr>
      <w:r>
        <w:rPr>
          <w:rFonts w:ascii="Arial" w:eastAsia="Calibri" w:hAnsi="Arial" w:cs="Arial"/>
        </w:rPr>
        <w:t>In deciding the case, t</w:t>
      </w:r>
      <w:r w:rsidR="00611BE8" w:rsidRPr="006432DA">
        <w:rPr>
          <w:rFonts w:ascii="Arial" w:eastAsia="Calibri" w:hAnsi="Arial" w:cs="Arial"/>
        </w:rPr>
        <w:t xml:space="preserve">he court </w:t>
      </w:r>
      <w:r>
        <w:rPr>
          <w:rFonts w:ascii="Arial" w:eastAsia="Calibri" w:hAnsi="Arial" w:cs="Arial"/>
        </w:rPr>
        <w:t xml:space="preserve">came up against the problem that a </w:t>
      </w:r>
      <w:r w:rsidR="00E64A0B">
        <w:rPr>
          <w:rFonts w:ascii="Arial" w:eastAsia="Calibri" w:hAnsi="Arial" w:cs="Arial"/>
        </w:rPr>
        <w:t xml:space="preserve">partner </w:t>
      </w:r>
      <w:r>
        <w:rPr>
          <w:rFonts w:ascii="Arial" w:eastAsia="Calibri" w:hAnsi="Arial" w:cs="Arial"/>
        </w:rPr>
        <w:t xml:space="preserve">with authority over </w:t>
      </w:r>
      <w:r w:rsidR="00E64A0B">
        <w:rPr>
          <w:rFonts w:ascii="Arial" w:eastAsia="Calibri" w:hAnsi="Arial" w:cs="Arial"/>
        </w:rPr>
        <w:t>a</w:t>
      </w:r>
      <w:r>
        <w:rPr>
          <w:rFonts w:ascii="Arial" w:eastAsia="Calibri" w:hAnsi="Arial" w:cs="Arial"/>
        </w:rPr>
        <w:t xml:space="preserve"> firm’s account takes good title to any money they withdraw from that account, even </w:t>
      </w:r>
      <w:r w:rsidR="00BB384E">
        <w:rPr>
          <w:rFonts w:ascii="Arial" w:eastAsia="Calibri" w:hAnsi="Arial" w:cs="Arial"/>
        </w:rPr>
        <w:t>if</w:t>
      </w:r>
      <w:r>
        <w:rPr>
          <w:rFonts w:ascii="Arial" w:eastAsia="Calibri" w:hAnsi="Arial" w:cs="Arial"/>
        </w:rPr>
        <w:t xml:space="preserve"> in substance they were not entitled to do so. Therefore, when</w:t>
      </w:r>
      <w:r w:rsidR="00611BE8" w:rsidRPr="006432DA">
        <w:rPr>
          <w:rFonts w:ascii="Arial" w:eastAsia="Calibri" w:hAnsi="Arial" w:cs="Arial"/>
        </w:rPr>
        <w:t xml:space="preserve"> the solicitor withdrew the cash, he became the legal owner of it</w:t>
      </w:r>
      <w:r w:rsidR="00E64A0B">
        <w:rPr>
          <w:rFonts w:ascii="Arial" w:eastAsia="Calibri" w:hAnsi="Arial" w:cs="Arial"/>
        </w:rPr>
        <w:t>. The court circumvented this lack of proprietary bas</w:t>
      </w:r>
      <w:r w:rsidR="00CF0B6E">
        <w:rPr>
          <w:rFonts w:ascii="Arial" w:eastAsia="Calibri" w:hAnsi="Arial" w:cs="Arial"/>
        </w:rPr>
        <w:t>e</w:t>
      </w:r>
      <w:r w:rsidR="00E64A0B">
        <w:rPr>
          <w:rFonts w:ascii="Arial" w:eastAsia="Calibri" w:hAnsi="Arial" w:cs="Arial"/>
        </w:rPr>
        <w:t xml:space="preserve"> for the claim by finding that the legal title of the solicitor was at least in theory defeasible by the firm, and that this defeasibility was sufficient to establish a claim. However, in order not to upset established precedent, Goff LJ, at 573, ruled that the conversion claim failed, as tracing into a substitute </w:t>
      </w:r>
      <w:r w:rsidR="00CF0B6E">
        <w:rPr>
          <w:rFonts w:ascii="Arial" w:eastAsia="Calibri" w:hAnsi="Arial" w:cs="Arial"/>
        </w:rPr>
        <w:t>“</w:t>
      </w:r>
      <w:r w:rsidR="00E64A0B" w:rsidRPr="00AD6381">
        <w:rPr>
          <w:rFonts w:ascii="Arial" w:eastAsia="Calibri" w:hAnsi="Arial" w:cs="Arial"/>
          <w:u w:val="single"/>
        </w:rPr>
        <w:t>cannot be relied upon so as to render an innocent recipient a wrongdoer.</w:t>
      </w:r>
      <w:r w:rsidR="00CF0B6E" w:rsidRPr="00AD6381">
        <w:rPr>
          <w:rFonts w:ascii="Arial" w:eastAsia="Calibri" w:hAnsi="Arial" w:cs="Arial"/>
          <w:u w:val="single"/>
        </w:rPr>
        <w:t>”</w:t>
      </w:r>
      <w:r w:rsidR="00E64A0B">
        <w:rPr>
          <w:rFonts w:ascii="Arial" w:eastAsia="Calibri" w:hAnsi="Arial" w:cs="Arial"/>
        </w:rPr>
        <w:t xml:space="preserve"> </w:t>
      </w:r>
      <w:r w:rsidR="00611BE8" w:rsidRPr="006432DA">
        <w:rPr>
          <w:rFonts w:ascii="Arial" w:eastAsia="Calibri" w:hAnsi="Arial" w:cs="Arial"/>
        </w:rPr>
        <w:t xml:space="preserve">Therefore, </w:t>
      </w:r>
      <w:r w:rsidR="00CF0B6E">
        <w:rPr>
          <w:rFonts w:ascii="Arial" w:eastAsia="Calibri" w:hAnsi="Arial" w:cs="Arial"/>
        </w:rPr>
        <w:t>only the</w:t>
      </w:r>
      <w:r w:rsidR="00611BE8" w:rsidRPr="006432DA">
        <w:rPr>
          <w:rFonts w:ascii="Arial" w:eastAsia="Calibri" w:hAnsi="Arial" w:cs="Arial"/>
        </w:rPr>
        <w:t xml:space="preserve"> claim for money had and received </w:t>
      </w:r>
      <w:r w:rsidR="00CF0B6E">
        <w:rPr>
          <w:rFonts w:ascii="Arial" w:eastAsia="Calibri" w:hAnsi="Arial" w:cs="Arial"/>
        </w:rPr>
        <w:t xml:space="preserve">could </w:t>
      </w:r>
      <w:r w:rsidR="00611BE8" w:rsidRPr="006432DA">
        <w:rPr>
          <w:rFonts w:ascii="Arial" w:eastAsia="Calibri" w:hAnsi="Arial" w:cs="Arial"/>
        </w:rPr>
        <w:t>succeed</w:t>
      </w:r>
      <w:r w:rsidR="00CF0B6E">
        <w:rPr>
          <w:rFonts w:ascii="Arial" w:eastAsia="Calibri" w:hAnsi="Arial" w:cs="Arial"/>
        </w:rPr>
        <w:t xml:space="preserve">. </w:t>
      </w:r>
      <w:r w:rsidR="000650C9">
        <w:rPr>
          <w:rFonts w:ascii="Arial" w:eastAsia="Calibri" w:hAnsi="Arial" w:cs="Arial"/>
        </w:rPr>
        <w:t xml:space="preserve">Some commentators </w:t>
      </w:r>
      <w:r w:rsidR="008842B9">
        <w:rPr>
          <w:rFonts w:ascii="Arial" w:eastAsia="Calibri" w:hAnsi="Arial" w:cs="Arial"/>
        </w:rPr>
        <w:lastRenderedPageBreak/>
        <w:t>have since argued</w:t>
      </w:r>
      <w:r w:rsidR="000650C9">
        <w:rPr>
          <w:rFonts w:ascii="Arial" w:eastAsia="Calibri" w:hAnsi="Arial" w:cs="Arial"/>
        </w:rPr>
        <w:t xml:space="preserve"> that this case was not about a vindication of property rights</w:t>
      </w:r>
      <w:r w:rsidR="00CF0B6E">
        <w:rPr>
          <w:rFonts w:ascii="Arial" w:eastAsia="Calibri" w:hAnsi="Arial" w:cs="Arial"/>
        </w:rPr>
        <w:t xml:space="preserve"> at all</w:t>
      </w:r>
      <w:r w:rsidR="000650C9">
        <w:rPr>
          <w:rFonts w:ascii="Arial" w:eastAsia="Calibri" w:hAnsi="Arial" w:cs="Arial"/>
        </w:rPr>
        <w:t>, but about remedying unjust enr</w:t>
      </w:r>
      <w:r w:rsidR="008842B9">
        <w:rPr>
          <w:rFonts w:ascii="Arial" w:eastAsia="Calibri" w:hAnsi="Arial" w:cs="Arial"/>
        </w:rPr>
        <w:t xml:space="preserve">ichment, feeding into a wider debate on the principles and justifications for the law in this area. </w:t>
      </w:r>
      <w:r w:rsidR="000650C9">
        <w:rPr>
          <w:rFonts w:ascii="Arial" w:eastAsia="Calibri" w:hAnsi="Arial" w:cs="Arial"/>
        </w:rPr>
        <w:t xml:space="preserve">Nowadays, the casino would be able to raise the </w:t>
      </w:r>
      <w:r w:rsidR="000650C9" w:rsidRPr="006432DA">
        <w:rPr>
          <w:rFonts w:ascii="Arial" w:eastAsia="Calibri" w:hAnsi="Arial" w:cs="Arial"/>
        </w:rPr>
        <w:t>bona fide purchaser defence</w:t>
      </w:r>
      <w:r w:rsidR="000650C9">
        <w:rPr>
          <w:rFonts w:ascii="Arial" w:eastAsia="Calibri" w:hAnsi="Arial" w:cs="Arial"/>
        </w:rPr>
        <w:t xml:space="preserve"> against the firm’s claim, but b</w:t>
      </w:r>
      <w:r w:rsidR="00611BE8" w:rsidRPr="006432DA">
        <w:rPr>
          <w:rFonts w:ascii="Arial" w:eastAsia="Calibri" w:hAnsi="Arial" w:cs="Arial"/>
        </w:rPr>
        <w:t xml:space="preserve">ecause the law did not recognise gaming contracts as valid contracts at the time, the casino was not able to </w:t>
      </w:r>
      <w:r w:rsidR="000650C9">
        <w:rPr>
          <w:rFonts w:ascii="Arial" w:eastAsia="Calibri" w:hAnsi="Arial" w:cs="Arial"/>
        </w:rPr>
        <w:t>do so</w:t>
      </w:r>
      <w:r w:rsidR="00611BE8" w:rsidRPr="006432DA">
        <w:rPr>
          <w:rFonts w:ascii="Arial" w:eastAsia="Calibri" w:hAnsi="Arial" w:cs="Arial"/>
        </w:rPr>
        <w:t xml:space="preserve">. However, it could raise a change of position defence, having had already paid out some winnings to the solicitor. </w:t>
      </w:r>
    </w:p>
    <w:p w14:paraId="45E870B6" w14:textId="77777777" w:rsidR="007356B8" w:rsidRDefault="007356B8" w:rsidP="006432DA">
      <w:pPr>
        <w:spacing w:line="480" w:lineRule="auto"/>
        <w:jc w:val="both"/>
        <w:rPr>
          <w:rFonts w:ascii="Arial" w:eastAsia="Calibri" w:hAnsi="Arial" w:cs="Arial"/>
        </w:rPr>
      </w:pPr>
    </w:p>
    <w:p w14:paraId="6B8FC00B" w14:textId="658BFEA1" w:rsidR="005C7BE3" w:rsidRPr="00D02138" w:rsidRDefault="6EDB20C5" w:rsidP="00D02138">
      <w:pPr>
        <w:pStyle w:val="ListParagraph"/>
        <w:numPr>
          <w:ilvl w:val="0"/>
          <w:numId w:val="26"/>
        </w:numPr>
        <w:spacing w:line="480" w:lineRule="auto"/>
        <w:jc w:val="both"/>
        <w:rPr>
          <w:rFonts w:ascii="Arial" w:eastAsia="Calibri" w:hAnsi="Arial" w:cs="Arial"/>
        </w:rPr>
      </w:pPr>
      <w:r w:rsidRPr="00D02138">
        <w:rPr>
          <w:rFonts w:ascii="Arial" w:eastAsia="Calibri" w:hAnsi="Arial" w:cs="Arial"/>
        </w:rPr>
        <w:t>Tracing into profits</w:t>
      </w:r>
    </w:p>
    <w:p w14:paraId="6C74854B" w14:textId="52C03B6B" w:rsidR="00611BE8" w:rsidRPr="005C7BE3" w:rsidRDefault="00611BE8" w:rsidP="005C7BE3">
      <w:pPr>
        <w:spacing w:line="480" w:lineRule="auto"/>
        <w:jc w:val="both"/>
        <w:rPr>
          <w:rFonts w:ascii="Arial" w:eastAsia="Calibri" w:hAnsi="Arial" w:cs="Arial"/>
        </w:rPr>
      </w:pPr>
      <w:r w:rsidRPr="005C7BE3">
        <w:rPr>
          <w:rFonts w:ascii="Arial" w:eastAsia="Calibri" w:hAnsi="Arial" w:cs="Arial"/>
        </w:rPr>
        <w:t xml:space="preserve">In </w:t>
      </w:r>
      <w:r w:rsidRPr="005C7BE3">
        <w:rPr>
          <w:rFonts w:ascii="Arial" w:eastAsia="Calibri" w:hAnsi="Arial" w:cs="Arial"/>
          <w:i/>
          <w:u w:val="single"/>
        </w:rPr>
        <w:t>FC Jones &amp; Sons (Trustee) v Jones</w:t>
      </w:r>
      <w:r w:rsidRPr="005C7BE3">
        <w:rPr>
          <w:rFonts w:ascii="Arial" w:eastAsia="Calibri" w:hAnsi="Arial" w:cs="Arial"/>
          <w:u w:val="single"/>
        </w:rPr>
        <w:t xml:space="preserve"> [1997] Ch 159</w:t>
      </w:r>
      <w:r w:rsidRPr="005C7BE3">
        <w:rPr>
          <w:rFonts w:ascii="Arial" w:eastAsia="Calibri" w:hAnsi="Arial" w:cs="Arial"/>
        </w:rPr>
        <w:t xml:space="preserve">, claimants were successful at using tracing to bring an action in debt and recover not only their property, but also the profits derived from it. A partner in a bankrupt firm of potato growers made out a cheque for his wife (J) to the value of £11,700. J opened an account with commodity brokers and invested the money in potato futures. The investment was profitable, and J received cheques to the value of £50,760 from the brokers. She deposited the money into an account she opened at a bank. The trustee in bankruptcy (T) brought an action in debt against the bank. The bank joined J as a defendant and the court assessed who held the title to the money in the account. </w:t>
      </w:r>
      <w:r w:rsidR="005C7BE3">
        <w:rPr>
          <w:rFonts w:ascii="Arial" w:eastAsia="Calibri" w:hAnsi="Arial" w:cs="Arial"/>
        </w:rPr>
        <w:t xml:space="preserve">It was held that </w:t>
      </w:r>
      <w:r w:rsidRPr="005C7BE3">
        <w:rPr>
          <w:rFonts w:ascii="Arial" w:eastAsia="Calibri" w:hAnsi="Arial" w:cs="Arial"/>
        </w:rPr>
        <w:t>T could trace the chose in action against the partnership’s bank into the chose in action against the commodity brokers, which gave T a right to the invested funds together with any profits. T could therefore claim the entire balance in J’s account.</w:t>
      </w:r>
      <w:r w:rsidR="005C7BE3">
        <w:rPr>
          <w:rFonts w:ascii="Arial" w:eastAsia="Calibri" w:hAnsi="Arial" w:cs="Arial"/>
        </w:rPr>
        <w:t xml:space="preserve"> This would not have been possible with an action for money had and received, where liability crystallises at the moment of receipt. However, because T was able to argue that legal title to the money (and its substitutes) never passed to J, T could bring an action in debt instead, which allowed T to claim not only the money but also the profits made. </w:t>
      </w:r>
    </w:p>
    <w:p w14:paraId="4D2A7127" w14:textId="77777777" w:rsidR="00611BE8" w:rsidRPr="005C7BE3" w:rsidRDefault="00611BE8" w:rsidP="005C7BE3">
      <w:pPr>
        <w:spacing w:line="480" w:lineRule="auto"/>
        <w:jc w:val="both"/>
        <w:rPr>
          <w:rFonts w:ascii="Arial" w:eastAsia="Calibri" w:hAnsi="Arial" w:cs="Arial"/>
          <w:u w:val="single"/>
        </w:rPr>
      </w:pPr>
    </w:p>
    <w:p w14:paraId="7043B603" w14:textId="6C279840" w:rsidR="00611BE8" w:rsidRPr="00D02138" w:rsidRDefault="005C7BE3" w:rsidP="00D02138">
      <w:pPr>
        <w:pStyle w:val="ListParagraph"/>
        <w:numPr>
          <w:ilvl w:val="0"/>
          <w:numId w:val="26"/>
        </w:numPr>
        <w:spacing w:line="480" w:lineRule="auto"/>
        <w:jc w:val="both"/>
        <w:rPr>
          <w:rFonts w:ascii="Arial" w:eastAsia="Calibri" w:hAnsi="Arial" w:cs="Arial"/>
        </w:rPr>
      </w:pPr>
      <w:r w:rsidRPr="00D02138">
        <w:rPr>
          <w:rFonts w:ascii="Arial" w:eastAsia="Calibri" w:hAnsi="Arial" w:cs="Arial"/>
        </w:rPr>
        <w:t>T</w:t>
      </w:r>
      <w:r w:rsidR="00611BE8" w:rsidRPr="00D02138">
        <w:rPr>
          <w:rFonts w:ascii="Arial" w:eastAsia="Calibri" w:hAnsi="Arial" w:cs="Arial"/>
        </w:rPr>
        <w:t xml:space="preserve">racing through </w:t>
      </w:r>
      <w:r w:rsidR="000504E1" w:rsidRPr="00D02138">
        <w:rPr>
          <w:rFonts w:ascii="Arial" w:eastAsia="Calibri" w:hAnsi="Arial" w:cs="Arial"/>
        </w:rPr>
        <w:t>bank accounts</w:t>
      </w:r>
    </w:p>
    <w:p w14:paraId="7AA20113" w14:textId="2B392C3A" w:rsidR="00611CBC" w:rsidRDefault="00611BE8" w:rsidP="00611CBC">
      <w:pPr>
        <w:spacing w:line="480" w:lineRule="auto"/>
        <w:jc w:val="both"/>
        <w:rPr>
          <w:rFonts w:ascii="Arial" w:eastAsia="Calibri" w:hAnsi="Arial" w:cs="Arial"/>
        </w:rPr>
      </w:pPr>
      <w:r w:rsidRPr="00611CBC">
        <w:rPr>
          <w:rFonts w:ascii="Arial" w:eastAsia="Calibri" w:hAnsi="Arial" w:cs="Arial"/>
        </w:rPr>
        <w:lastRenderedPageBreak/>
        <w:t xml:space="preserve">A clean substitution allows for the tracing of misappropriated property into its substitute acquired only with that misappropriated property without involving property from another source. For example, in </w:t>
      </w:r>
      <w:r w:rsidRPr="00611CBC">
        <w:rPr>
          <w:rFonts w:ascii="Arial" w:eastAsia="Calibri" w:hAnsi="Arial" w:cs="Arial"/>
          <w:i/>
          <w:u w:val="single"/>
        </w:rPr>
        <w:t xml:space="preserve">Banque </w:t>
      </w:r>
      <w:proofErr w:type="spellStart"/>
      <w:r w:rsidRPr="00611CBC">
        <w:rPr>
          <w:rFonts w:ascii="Arial" w:eastAsia="Calibri" w:hAnsi="Arial" w:cs="Arial"/>
          <w:i/>
          <w:u w:val="single"/>
        </w:rPr>
        <w:t>Belge</w:t>
      </w:r>
      <w:proofErr w:type="spellEnd"/>
      <w:r w:rsidRPr="00611CBC">
        <w:rPr>
          <w:rFonts w:ascii="Arial" w:eastAsia="Calibri" w:hAnsi="Arial" w:cs="Arial"/>
          <w:i/>
          <w:u w:val="single"/>
        </w:rPr>
        <w:t xml:space="preserve"> pour </w:t>
      </w:r>
      <w:proofErr w:type="spellStart"/>
      <w:r w:rsidRPr="00611CBC">
        <w:rPr>
          <w:rFonts w:ascii="Arial" w:eastAsia="Calibri" w:hAnsi="Arial" w:cs="Arial"/>
          <w:i/>
          <w:u w:val="single"/>
        </w:rPr>
        <w:t>L’Etranger</w:t>
      </w:r>
      <w:proofErr w:type="spellEnd"/>
      <w:r w:rsidRPr="00611CBC">
        <w:rPr>
          <w:rFonts w:ascii="Arial" w:eastAsia="Calibri" w:hAnsi="Arial" w:cs="Arial"/>
          <w:i/>
          <w:u w:val="single"/>
        </w:rPr>
        <w:t xml:space="preserve"> v </w:t>
      </w:r>
      <w:proofErr w:type="spellStart"/>
      <w:r w:rsidRPr="00611CBC">
        <w:rPr>
          <w:rFonts w:ascii="Arial" w:eastAsia="Calibri" w:hAnsi="Arial" w:cs="Arial"/>
          <w:i/>
          <w:u w:val="single"/>
        </w:rPr>
        <w:t>Hambrouck</w:t>
      </w:r>
      <w:proofErr w:type="spellEnd"/>
      <w:r w:rsidRPr="00611CBC">
        <w:rPr>
          <w:rFonts w:ascii="Arial" w:eastAsia="Calibri" w:hAnsi="Arial" w:cs="Arial"/>
          <w:u w:val="single"/>
        </w:rPr>
        <w:t xml:space="preserve"> [1921] 1 KB 321</w:t>
      </w:r>
      <w:r w:rsidRPr="00611CBC">
        <w:rPr>
          <w:rFonts w:ascii="Arial" w:eastAsia="Calibri" w:hAnsi="Arial" w:cs="Arial"/>
        </w:rPr>
        <w:t xml:space="preserve"> a cashier fraudulently obtained cheques from his employer, a bank. He paid these into a new bank account he opened in his own name, then withdrew some of the money and gave it to his mistress, who in turn paid it into her bank account. Importantly, this misappropriated money was the only money both in the cashier’s account and in the account of his mistress. It was held that it was possible to trace the money into the mistress’s bank account, as there had been no mixing. </w:t>
      </w:r>
      <w:r w:rsidR="002A0AC9">
        <w:rPr>
          <w:rFonts w:ascii="Arial" w:eastAsia="Calibri" w:hAnsi="Arial" w:cs="Arial"/>
        </w:rPr>
        <w:t>The mistress was held personally liable for money had and received even though the account balance had been significantly reduced by then.</w:t>
      </w:r>
    </w:p>
    <w:p w14:paraId="22884D92" w14:textId="334FD7D5" w:rsidR="00611CBC" w:rsidRDefault="3B813830" w:rsidP="3B813830">
      <w:pPr>
        <w:spacing w:line="480" w:lineRule="auto"/>
        <w:jc w:val="both"/>
        <w:rPr>
          <w:rFonts w:ascii="Arial" w:eastAsia="Calibri" w:hAnsi="Arial" w:cs="Arial"/>
        </w:rPr>
      </w:pPr>
      <w:r w:rsidRPr="3B813830">
        <w:rPr>
          <w:rFonts w:ascii="Arial" w:eastAsia="Calibri" w:hAnsi="Arial" w:cs="Arial"/>
        </w:rPr>
        <w:t xml:space="preserve">However, where funds are mixed, the scope of common law tracing is limited. Thus, while it is possible to trace </w:t>
      </w:r>
      <w:r w:rsidRPr="3B813830">
        <w:rPr>
          <w:rFonts w:ascii="Arial" w:eastAsia="Calibri" w:hAnsi="Arial" w:cs="Arial"/>
          <w:i/>
          <w:iCs/>
        </w:rPr>
        <w:t>into</w:t>
      </w:r>
      <w:r w:rsidRPr="3B813830">
        <w:rPr>
          <w:rFonts w:ascii="Arial" w:eastAsia="Calibri" w:hAnsi="Arial" w:cs="Arial"/>
        </w:rPr>
        <w:t xml:space="preserve"> a mixed account where the defendant has carried out the mixing (</w:t>
      </w:r>
      <w:proofErr w:type="spellStart"/>
      <w:r w:rsidRPr="3B813830">
        <w:rPr>
          <w:rFonts w:ascii="Arial" w:eastAsia="Calibri" w:hAnsi="Arial" w:cs="Arial"/>
          <w:i/>
          <w:iCs/>
          <w:u w:val="single"/>
        </w:rPr>
        <w:t>Agip</w:t>
      </w:r>
      <w:proofErr w:type="spellEnd"/>
      <w:r w:rsidRPr="3B813830">
        <w:rPr>
          <w:rFonts w:ascii="Arial" w:eastAsia="Calibri" w:hAnsi="Arial" w:cs="Arial"/>
          <w:i/>
          <w:iCs/>
          <w:u w:val="single"/>
        </w:rPr>
        <w:t xml:space="preserve"> (Africa) Ltd v Jackson</w:t>
      </w:r>
      <w:r w:rsidRPr="3B813830">
        <w:rPr>
          <w:rFonts w:ascii="Arial" w:eastAsia="Calibri" w:hAnsi="Arial" w:cs="Arial"/>
          <w:u w:val="single"/>
        </w:rPr>
        <w:t xml:space="preserve"> [1990] 1 Ch 265)</w:t>
      </w:r>
      <w:r w:rsidRPr="3B813830">
        <w:rPr>
          <w:rFonts w:ascii="Arial" w:eastAsia="Calibri" w:hAnsi="Arial" w:cs="Arial"/>
        </w:rPr>
        <w:t xml:space="preserve">, it is not possible to trace </w:t>
      </w:r>
      <w:r w:rsidRPr="3B813830">
        <w:rPr>
          <w:rFonts w:ascii="Arial" w:eastAsia="Calibri" w:hAnsi="Arial" w:cs="Arial"/>
          <w:i/>
          <w:iCs/>
        </w:rPr>
        <w:t>through</w:t>
      </w:r>
      <w:r w:rsidRPr="3B813830">
        <w:rPr>
          <w:rFonts w:ascii="Arial" w:eastAsia="Calibri" w:hAnsi="Arial" w:cs="Arial"/>
        </w:rPr>
        <w:t xml:space="preserve"> it and into new property bought with the mixed funds. This means that while a fraudster cannot escape a claim by mixing misappropriated money with his own in his bank account, a subsequent recipient of that money who has notice of the misappropriation can.</w:t>
      </w:r>
    </w:p>
    <w:p w14:paraId="79146880" w14:textId="716B8B1F" w:rsidR="0027281C" w:rsidRDefault="0027281C" w:rsidP="00611CBC">
      <w:pPr>
        <w:spacing w:line="480" w:lineRule="auto"/>
        <w:jc w:val="both"/>
        <w:rPr>
          <w:rFonts w:ascii="Arial" w:eastAsia="Calibri" w:hAnsi="Arial" w:cs="Arial"/>
        </w:rPr>
      </w:pPr>
      <w:r>
        <w:rPr>
          <w:rFonts w:ascii="Arial" w:eastAsia="Calibri" w:hAnsi="Arial" w:cs="Arial"/>
        </w:rPr>
        <w:t>The example most given for the no-tracing-through-a-mixed-fund-at-common-law rule is</w:t>
      </w:r>
      <w:r w:rsidR="3B813830" w:rsidRPr="3B813830">
        <w:rPr>
          <w:rFonts w:ascii="Arial" w:eastAsia="Calibri" w:hAnsi="Arial" w:cs="Arial"/>
        </w:rPr>
        <w:t xml:space="preserve"> the case of </w:t>
      </w:r>
      <w:proofErr w:type="spellStart"/>
      <w:r w:rsidR="3B813830" w:rsidRPr="3B813830">
        <w:rPr>
          <w:rFonts w:ascii="Arial" w:eastAsia="Calibri" w:hAnsi="Arial" w:cs="Arial"/>
          <w:i/>
          <w:iCs/>
          <w:u w:val="single"/>
        </w:rPr>
        <w:t>Agip</w:t>
      </w:r>
      <w:proofErr w:type="spellEnd"/>
      <w:r w:rsidR="3B813830" w:rsidRPr="3B813830">
        <w:rPr>
          <w:rFonts w:ascii="Arial" w:eastAsia="Calibri" w:hAnsi="Arial" w:cs="Arial"/>
        </w:rPr>
        <w:t xml:space="preserve">. A senior officer at </w:t>
      </w:r>
      <w:proofErr w:type="spellStart"/>
      <w:r w:rsidR="3B813830" w:rsidRPr="3B813830">
        <w:rPr>
          <w:rFonts w:ascii="Arial" w:eastAsia="Calibri" w:hAnsi="Arial" w:cs="Arial"/>
        </w:rPr>
        <w:t>Agip</w:t>
      </w:r>
      <w:proofErr w:type="spellEnd"/>
      <w:r w:rsidR="3B813830" w:rsidRPr="3B813830">
        <w:rPr>
          <w:rFonts w:ascii="Arial" w:eastAsia="Calibri" w:hAnsi="Arial" w:cs="Arial"/>
        </w:rPr>
        <w:t xml:space="preserve"> innocently signed a payment order for around $500,000, which another employee fraudulently altered for the benefit of Baker Oil Ltd, a company controlled by the defendants (accountants who claimed to have acted innocently throughout these transactions, as they merely acted on the instructions of their fraudulent clients). The Tunisian bank of </w:t>
      </w:r>
      <w:proofErr w:type="spellStart"/>
      <w:r w:rsidR="3B813830" w:rsidRPr="3B813830">
        <w:rPr>
          <w:rFonts w:ascii="Arial" w:eastAsia="Calibri" w:hAnsi="Arial" w:cs="Arial"/>
        </w:rPr>
        <w:t>Agip</w:t>
      </w:r>
      <w:proofErr w:type="spellEnd"/>
      <w:r w:rsidR="3B813830" w:rsidRPr="3B813830">
        <w:rPr>
          <w:rFonts w:ascii="Arial" w:eastAsia="Calibri" w:hAnsi="Arial" w:cs="Arial"/>
        </w:rPr>
        <w:t xml:space="preserve"> executed the order by debiting the account of </w:t>
      </w:r>
      <w:proofErr w:type="spellStart"/>
      <w:r w:rsidR="3B813830" w:rsidRPr="3B813830">
        <w:rPr>
          <w:rFonts w:ascii="Arial" w:eastAsia="Calibri" w:hAnsi="Arial" w:cs="Arial"/>
        </w:rPr>
        <w:t>Agip</w:t>
      </w:r>
      <w:proofErr w:type="spellEnd"/>
      <w:r w:rsidR="3B813830" w:rsidRPr="3B813830">
        <w:rPr>
          <w:rFonts w:ascii="Arial" w:eastAsia="Calibri" w:hAnsi="Arial" w:cs="Arial"/>
        </w:rPr>
        <w:t xml:space="preserve">, sending instructions to the defendants’ bank Lloyds in London to pay $500,000 into the account of Baker Oil Ltd, and sending instructions to its correspondent bank in New York to reimburse Lloyds through the New York clearing system. Because of the time difference between London and New York, Lloyds paid the money into Baker Oil’s account before it had been reimbursed through the clearing system. Baker Oil transferred most of the money onwards before the fraud was </w:t>
      </w:r>
      <w:r w:rsidR="3B813830" w:rsidRPr="3B813830">
        <w:rPr>
          <w:rFonts w:ascii="Arial" w:eastAsia="Calibri" w:hAnsi="Arial" w:cs="Arial"/>
        </w:rPr>
        <w:lastRenderedPageBreak/>
        <w:t>discovered. The claimants’ action to recover the $500,000 ultimately succeeded both at first instance and on appeal, but tracing was held to be possible only in equity, not at common law. The reason given was that the money by which Lloyds was reimbursed had been mixed in the clearing system.</w:t>
      </w:r>
      <w:r>
        <w:rPr>
          <w:rFonts w:ascii="Arial" w:eastAsia="Calibri" w:hAnsi="Arial" w:cs="Arial"/>
        </w:rPr>
        <w:t xml:space="preserve"> </w:t>
      </w:r>
    </w:p>
    <w:p w14:paraId="6F9FAE1F" w14:textId="5C99A81C" w:rsidR="00611BE8" w:rsidRDefault="0027281C" w:rsidP="00611CBC">
      <w:pPr>
        <w:spacing w:line="480" w:lineRule="auto"/>
        <w:jc w:val="both"/>
        <w:rPr>
          <w:rFonts w:ascii="Arial" w:eastAsia="Calibri" w:hAnsi="Arial" w:cs="Arial"/>
        </w:rPr>
      </w:pPr>
      <w:r>
        <w:rPr>
          <w:rFonts w:ascii="Arial" w:eastAsia="Calibri" w:hAnsi="Arial" w:cs="Arial"/>
        </w:rPr>
        <w:t xml:space="preserve">However, it is difficult to reconcile the reasoning in </w:t>
      </w:r>
      <w:proofErr w:type="spellStart"/>
      <w:r w:rsidRPr="0027281C">
        <w:rPr>
          <w:rFonts w:ascii="Arial" w:eastAsia="Calibri" w:hAnsi="Arial" w:cs="Arial"/>
          <w:i/>
          <w:iCs/>
          <w:u w:val="single"/>
        </w:rPr>
        <w:t>Agip</w:t>
      </w:r>
      <w:proofErr w:type="spellEnd"/>
      <w:r>
        <w:rPr>
          <w:rFonts w:ascii="Arial" w:eastAsia="Calibri" w:hAnsi="Arial" w:cs="Arial"/>
        </w:rPr>
        <w:t xml:space="preserve"> with that in </w:t>
      </w:r>
      <w:r w:rsidRPr="0027281C">
        <w:rPr>
          <w:rFonts w:ascii="Arial" w:eastAsia="Calibri" w:hAnsi="Arial" w:cs="Arial"/>
          <w:i/>
          <w:iCs/>
          <w:u w:val="single"/>
        </w:rPr>
        <w:t xml:space="preserve">Banque </w:t>
      </w:r>
      <w:proofErr w:type="spellStart"/>
      <w:r w:rsidRPr="0027281C">
        <w:rPr>
          <w:rFonts w:ascii="Arial" w:eastAsia="Calibri" w:hAnsi="Arial" w:cs="Arial"/>
          <w:i/>
          <w:iCs/>
          <w:u w:val="single"/>
        </w:rPr>
        <w:t>Belge</w:t>
      </w:r>
      <w:proofErr w:type="spellEnd"/>
      <w:r>
        <w:rPr>
          <w:rFonts w:ascii="Arial" w:eastAsia="Calibri" w:hAnsi="Arial" w:cs="Arial"/>
        </w:rPr>
        <w:t>, where a transactional link was established without regard to the temporal sequence or routing of payments.</w:t>
      </w:r>
    </w:p>
    <w:p w14:paraId="5BE7CCB4" w14:textId="77777777" w:rsidR="00611BE8" w:rsidRPr="0027281C" w:rsidRDefault="00611BE8" w:rsidP="0027281C">
      <w:pPr>
        <w:spacing w:line="480" w:lineRule="auto"/>
        <w:jc w:val="both"/>
        <w:rPr>
          <w:rFonts w:ascii="Arial" w:eastAsia="Times New Roman" w:hAnsi="Arial" w:cs="Arial"/>
          <w:b/>
          <w:bCs/>
          <w:iCs/>
          <w:lang w:bidi="en-US"/>
        </w:rPr>
      </w:pPr>
    </w:p>
    <w:p w14:paraId="66A4EF87" w14:textId="5EEE9D42" w:rsidR="00611BE8" w:rsidRPr="00F83958" w:rsidRDefault="00D02138" w:rsidP="00F83958">
      <w:pPr>
        <w:spacing w:line="480" w:lineRule="auto"/>
        <w:jc w:val="both"/>
        <w:rPr>
          <w:rFonts w:ascii="Arial" w:eastAsia="Times New Roman" w:hAnsi="Arial" w:cs="Arial"/>
          <w:iCs/>
          <w:u w:val="single"/>
          <w:lang w:bidi="en-US"/>
        </w:rPr>
      </w:pPr>
      <w:r>
        <w:rPr>
          <w:rFonts w:ascii="Arial" w:eastAsia="Times New Roman" w:hAnsi="Arial" w:cs="Arial"/>
          <w:iCs/>
          <w:u w:val="single"/>
          <w:lang w:bidi="en-US"/>
        </w:rPr>
        <w:t xml:space="preserve">II – </w:t>
      </w:r>
      <w:r w:rsidR="00611BE8" w:rsidRPr="00F83958">
        <w:rPr>
          <w:rFonts w:ascii="Arial" w:eastAsia="Times New Roman" w:hAnsi="Arial" w:cs="Arial"/>
          <w:iCs/>
          <w:u w:val="single"/>
          <w:lang w:bidi="en-US"/>
        </w:rPr>
        <w:t>Tracing</w:t>
      </w:r>
      <w:r>
        <w:rPr>
          <w:rFonts w:ascii="Arial" w:eastAsia="Times New Roman" w:hAnsi="Arial" w:cs="Arial"/>
          <w:iCs/>
          <w:u w:val="single"/>
          <w:lang w:bidi="en-US"/>
        </w:rPr>
        <w:t xml:space="preserve"> </w:t>
      </w:r>
      <w:r w:rsidR="00611BE8" w:rsidRPr="00F83958">
        <w:rPr>
          <w:rFonts w:ascii="Arial" w:eastAsia="Times New Roman" w:hAnsi="Arial" w:cs="Arial"/>
          <w:iCs/>
          <w:u w:val="single"/>
          <w:lang w:bidi="en-US"/>
        </w:rPr>
        <w:t>in equity</w:t>
      </w:r>
    </w:p>
    <w:p w14:paraId="08703965" w14:textId="022A4AE0" w:rsidR="00B00547" w:rsidRPr="00B00547" w:rsidRDefault="00B00547" w:rsidP="00B00547">
      <w:pPr>
        <w:spacing w:line="480" w:lineRule="auto"/>
        <w:jc w:val="both"/>
        <w:rPr>
          <w:rFonts w:ascii="Arial" w:hAnsi="Arial" w:cs="Arial"/>
        </w:rPr>
      </w:pPr>
      <w:r w:rsidRPr="00B00547">
        <w:rPr>
          <w:rFonts w:ascii="Arial" w:hAnsi="Arial" w:cs="Arial"/>
        </w:rPr>
        <w:t>As we noted above, the equitable tracing rules are more flexible than the legal rules</w:t>
      </w:r>
      <w:r>
        <w:rPr>
          <w:rFonts w:ascii="Arial" w:hAnsi="Arial" w:cs="Arial"/>
        </w:rPr>
        <w:t>,</w:t>
      </w:r>
      <w:r w:rsidRPr="00B00547">
        <w:rPr>
          <w:rFonts w:ascii="Arial" w:hAnsi="Arial" w:cs="Arial"/>
        </w:rPr>
        <w:t xml:space="preserve"> as they permit tracing through mixtures. </w:t>
      </w:r>
      <w:r>
        <w:rPr>
          <w:rFonts w:ascii="Arial" w:hAnsi="Arial" w:cs="Arial"/>
        </w:rPr>
        <w:t>Where possible, claimants</w:t>
      </w:r>
      <w:r w:rsidRPr="00B00547">
        <w:rPr>
          <w:rFonts w:ascii="Arial" w:hAnsi="Arial" w:cs="Arial"/>
        </w:rPr>
        <w:t xml:space="preserve"> will </w:t>
      </w:r>
      <w:r>
        <w:rPr>
          <w:rFonts w:ascii="Arial" w:hAnsi="Arial" w:cs="Arial"/>
        </w:rPr>
        <w:t xml:space="preserve">therefore </w:t>
      </w:r>
      <w:r w:rsidRPr="00B00547">
        <w:rPr>
          <w:rFonts w:ascii="Arial" w:hAnsi="Arial" w:cs="Arial"/>
        </w:rPr>
        <w:t>seek to rely on the equitable tracing rules.</w:t>
      </w:r>
    </w:p>
    <w:p w14:paraId="4E446872" w14:textId="77777777" w:rsidR="00B00547" w:rsidRPr="00B00547" w:rsidRDefault="00B00547" w:rsidP="00B00547">
      <w:pPr>
        <w:spacing w:line="480" w:lineRule="auto"/>
        <w:jc w:val="both"/>
        <w:rPr>
          <w:rFonts w:ascii="Arial" w:eastAsia="Times New Roman" w:hAnsi="Arial" w:cs="Arial"/>
          <w:b/>
          <w:bCs/>
          <w:iCs/>
          <w:lang w:bidi="en-US"/>
        </w:rPr>
      </w:pPr>
    </w:p>
    <w:p w14:paraId="6085FB96" w14:textId="486910F1" w:rsidR="00611BE8" w:rsidRPr="00D02138" w:rsidRDefault="00611BE8" w:rsidP="00D02138">
      <w:pPr>
        <w:pStyle w:val="ListParagraph"/>
        <w:numPr>
          <w:ilvl w:val="0"/>
          <w:numId w:val="27"/>
        </w:numPr>
        <w:spacing w:line="480" w:lineRule="auto"/>
        <w:jc w:val="both"/>
        <w:rPr>
          <w:rFonts w:ascii="Arial" w:hAnsi="Arial" w:cs="Arial"/>
        </w:rPr>
      </w:pPr>
      <w:r w:rsidRPr="00D02138">
        <w:rPr>
          <w:rFonts w:ascii="Arial" w:hAnsi="Arial" w:cs="Arial"/>
        </w:rPr>
        <w:t>The fiduciary requirement</w:t>
      </w:r>
    </w:p>
    <w:p w14:paraId="0F1198C4" w14:textId="4815DFA7" w:rsidR="00611BE8" w:rsidRPr="00611CBC" w:rsidRDefault="6EDB20C5" w:rsidP="00611CBC">
      <w:pPr>
        <w:spacing w:after="0" w:line="480" w:lineRule="auto"/>
        <w:jc w:val="both"/>
        <w:rPr>
          <w:rFonts w:ascii="Arial" w:hAnsi="Arial" w:cs="Arial"/>
        </w:rPr>
      </w:pPr>
      <w:r w:rsidRPr="6EDB20C5">
        <w:rPr>
          <w:rFonts w:ascii="Arial" w:hAnsi="Arial" w:cs="Arial"/>
        </w:rPr>
        <w:t>As we learned last week, to bring a proprietary claim, the claimant needs to show they held either the legal title or the beneficial interest to the property. On its own, this requirement says nothing about whether a legal title holder cannot also claim in equity. However, there is a specific additional requirement for the use of equitable tracing which in practice determines this question: A fiduciary relationship governing the property</w:t>
      </w:r>
      <w:r w:rsidR="00A715CF" w:rsidRPr="00D57FEC">
        <w:rPr>
          <w:rFonts w:ascii="Arial" w:eastAsia="MS Mincho" w:hAnsi="Arial" w:cs="Arial"/>
          <w:lang w:bidi="en-US"/>
        </w:rPr>
        <w:t xml:space="preserve"> (</w:t>
      </w:r>
      <w:proofErr w:type="spellStart"/>
      <w:r w:rsidR="00A715CF" w:rsidRPr="00D57FEC">
        <w:rPr>
          <w:rFonts w:ascii="Arial" w:eastAsia="MS Mincho" w:hAnsi="Arial" w:cs="Arial"/>
          <w:i/>
          <w:u w:val="single"/>
          <w:lang w:bidi="en-US"/>
        </w:rPr>
        <w:t>Agip</w:t>
      </w:r>
      <w:proofErr w:type="spellEnd"/>
      <w:r w:rsidR="00A715CF" w:rsidRPr="00D57FEC">
        <w:rPr>
          <w:rFonts w:ascii="Arial" w:eastAsia="MS Mincho" w:hAnsi="Arial" w:cs="Arial"/>
          <w:i/>
          <w:u w:val="single"/>
          <w:lang w:bidi="en-US"/>
        </w:rPr>
        <w:t xml:space="preserve"> (Africa) v. Jackson</w:t>
      </w:r>
      <w:r w:rsidR="00A715CF" w:rsidRPr="00D57FEC">
        <w:rPr>
          <w:rFonts w:ascii="Arial" w:eastAsia="MS Mincho" w:hAnsi="Arial" w:cs="Arial"/>
          <w:u w:val="single"/>
          <w:lang w:bidi="en-US"/>
        </w:rPr>
        <w:t xml:space="preserve"> [1990] Ch 265</w:t>
      </w:r>
      <w:r w:rsidR="00A715CF" w:rsidRPr="00D57FEC">
        <w:rPr>
          <w:rFonts w:ascii="Arial" w:eastAsia="MS Mincho" w:hAnsi="Arial" w:cs="Arial"/>
          <w:lang w:bidi="en-US"/>
        </w:rPr>
        <w:t xml:space="preserve">). </w:t>
      </w:r>
      <w:r w:rsidRPr="6EDB20C5">
        <w:rPr>
          <w:rFonts w:ascii="Arial" w:hAnsi="Arial" w:cs="Arial"/>
        </w:rPr>
        <w:t xml:space="preserve">Where the person attempting to trace in equity is a beneficiary under a trust, there will usually be no difficulty in establishing this requirement. However, for those holding the legal title to property, showing a fiduciary relationship is more difficult.  </w:t>
      </w:r>
    </w:p>
    <w:p w14:paraId="4772F9C6" w14:textId="77777777" w:rsidR="002574E3" w:rsidRDefault="00611BE8" w:rsidP="005210C2">
      <w:pPr>
        <w:spacing w:line="480" w:lineRule="auto"/>
        <w:jc w:val="both"/>
        <w:rPr>
          <w:rFonts w:ascii="Arial" w:hAnsi="Arial" w:cs="Arial"/>
        </w:rPr>
      </w:pPr>
      <w:r w:rsidRPr="005210C2">
        <w:rPr>
          <w:rFonts w:ascii="Arial" w:hAnsi="Arial" w:cs="Arial"/>
        </w:rPr>
        <w:t xml:space="preserve">The traditional rule is that there must be a pre-existing fiduciary relationship. </w:t>
      </w:r>
      <w:r w:rsidR="002574E3">
        <w:rPr>
          <w:rFonts w:ascii="Arial" w:hAnsi="Arial" w:cs="Arial"/>
        </w:rPr>
        <w:t>The authority here is</w:t>
      </w:r>
      <w:r w:rsidRPr="005210C2">
        <w:rPr>
          <w:rFonts w:ascii="Arial" w:hAnsi="Arial" w:cs="Arial"/>
        </w:rPr>
        <w:t xml:space="preserve"> </w:t>
      </w:r>
      <w:r w:rsidRPr="005210C2">
        <w:rPr>
          <w:rFonts w:ascii="Arial" w:hAnsi="Arial" w:cs="Arial"/>
          <w:i/>
          <w:u w:val="single"/>
        </w:rPr>
        <w:t xml:space="preserve">Re Diplock </w:t>
      </w:r>
      <w:r w:rsidRPr="005210C2">
        <w:rPr>
          <w:rFonts w:ascii="Arial" w:hAnsi="Arial" w:cs="Arial"/>
          <w:u w:val="single"/>
        </w:rPr>
        <w:t>[1948] Ch 465</w:t>
      </w:r>
      <w:r w:rsidRPr="005210C2">
        <w:rPr>
          <w:rFonts w:ascii="Arial" w:hAnsi="Arial" w:cs="Arial"/>
        </w:rPr>
        <w:t xml:space="preserve">, where charities wrongly received payments of £203,000 under a will. It was held the next of kin were entitled to trace the money into the charities’ </w:t>
      </w:r>
      <w:r w:rsidRPr="005210C2">
        <w:rPr>
          <w:rFonts w:ascii="Arial" w:hAnsi="Arial" w:cs="Arial"/>
        </w:rPr>
        <w:lastRenderedPageBreak/>
        <w:t xml:space="preserve">hands in equity. </w:t>
      </w:r>
      <w:r w:rsidR="002574E3">
        <w:rPr>
          <w:rFonts w:ascii="Arial" w:hAnsi="Arial" w:cs="Arial"/>
        </w:rPr>
        <w:t>While the next of kin were neither legal title holders to the property nor beneficiaries under a trust, it was held that</w:t>
      </w:r>
      <w:r w:rsidRPr="005210C2">
        <w:rPr>
          <w:rFonts w:ascii="Arial" w:hAnsi="Arial" w:cs="Arial"/>
        </w:rPr>
        <w:t xml:space="preserve"> the executors had stood in a fiduciary relationship</w:t>
      </w:r>
      <w:r w:rsidR="005210C2">
        <w:rPr>
          <w:rFonts w:ascii="Arial" w:hAnsi="Arial" w:cs="Arial"/>
        </w:rPr>
        <w:t xml:space="preserve"> to the estate. </w:t>
      </w:r>
    </w:p>
    <w:p w14:paraId="680F75AD" w14:textId="3C02CB20" w:rsidR="00611BE8" w:rsidRDefault="002574E3" w:rsidP="005210C2">
      <w:pPr>
        <w:spacing w:line="480" w:lineRule="auto"/>
        <w:jc w:val="both"/>
        <w:rPr>
          <w:rFonts w:ascii="Arial" w:hAnsi="Arial" w:cs="Arial"/>
        </w:rPr>
      </w:pPr>
      <w:r>
        <w:rPr>
          <w:rFonts w:ascii="Arial" w:hAnsi="Arial" w:cs="Arial"/>
        </w:rPr>
        <w:t xml:space="preserve">Arguably, </w:t>
      </w:r>
      <w:r w:rsidRPr="002574E3">
        <w:rPr>
          <w:rFonts w:ascii="Arial" w:hAnsi="Arial" w:cs="Arial"/>
          <w:i/>
        </w:rPr>
        <w:t>Re Diplock</w:t>
      </w:r>
      <w:r>
        <w:rPr>
          <w:rFonts w:ascii="Arial" w:hAnsi="Arial" w:cs="Arial"/>
        </w:rPr>
        <w:t xml:space="preserve"> did not require a fiduciary relationship in addition to a proprietary base, but in order to establish a proprietary base in the first place. However, this is not how the case was interpreted</w:t>
      </w:r>
      <w:r w:rsidR="005058ED">
        <w:rPr>
          <w:rFonts w:ascii="Arial" w:hAnsi="Arial" w:cs="Arial"/>
        </w:rPr>
        <w:t xml:space="preserve"> by subsequent judgments, which have required a fiduciary relationship to be present where a legal title holder sought to trace in equity. </w:t>
      </w:r>
      <w:r w:rsidR="005058ED">
        <w:rPr>
          <w:rFonts w:ascii="Arial" w:eastAsia="Calibri" w:hAnsi="Arial" w:cs="Arial"/>
        </w:rPr>
        <w:t xml:space="preserve">For example, </w:t>
      </w:r>
      <w:r w:rsidR="00611BE8" w:rsidRPr="005210C2">
        <w:rPr>
          <w:rFonts w:ascii="Arial" w:hAnsi="Arial" w:cs="Arial"/>
        </w:rPr>
        <w:t xml:space="preserve">Fox </w:t>
      </w:r>
      <w:r w:rsidR="007C7A37">
        <w:rPr>
          <w:rFonts w:ascii="Arial" w:hAnsi="Arial" w:cs="Arial"/>
        </w:rPr>
        <w:t xml:space="preserve">LJ </w:t>
      </w:r>
      <w:r w:rsidR="005058ED">
        <w:rPr>
          <w:rFonts w:ascii="Arial" w:hAnsi="Arial" w:cs="Arial"/>
        </w:rPr>
        <w:t xml:space="preserve">said </w:t>
      </w:r>
      <w:r w:rsidR="00611BE8" w:rsidRPr="005210C2">
        <w:rPr>
          <w:rFonts w:ascii="Arial" w:hAnsi="Arial" w:cs="Arial"/>
        </w:rPr>
        <w:t xml:space="preserve">in </w:t>
      </w:r>
      <w:proofErr w:type="spellStart"/>
      <w:r w:rsidR="00611BE8" w:rsidRPr="005210C2">
        <w:rPr>
          <w:rFonts w:ascii="Arial" w:hAnsi="Arial" w:cs="Arial"/>
          <w:i/>
          <w:u w:val="single"/>
        </w:rPr>
        <w:t>Agip</w:t>
      </w:r>
      <w:proofErr w:type="spellEnd"/>
      <w:r w:rsidR="00611BE8" w:rsidRPr="005210C2">
        <w:rPr>
          <w:rFonts w:ascii="Arial" w:hAnsi="Arial" w:cs="Arial"/>
          <w:i/>
          <w:u w:val="single"/>
        </w:rPr>
        <w:t xml:space="preserve"> (Africa) Ltd v Jackson</w:t>
      </w:r>
      <w:r w:rsidR="00611BE8" w:rsidRPr="005210C2">
        <w:rPr>
          <w:rFonts w:ascii="Arial" w:hAnsi="Arial" w:cs="Arial"/>
          <w:u w:val="single"/>
        </w:rPr>
        <w:t xml:space="preserve"> [1991] 1 Ch 547</w:t>
      </w:r>
      <w:r w:rsidR="00611BE8" w:rsidRPr="005210C2">
        <w:rPr>
          <w:rFonts w:ascii="Arial" w:hAnsi="Arial" w:cs="Arial"/>
        </w:rPr>
        <w:t>, at 566-567:</w:t>
      </w:r>
    </w:p>
    <w:p w14:paraId="74DFE4C6" w14:textId="52EE4BEB" w:rsidR="005058ED" w:rsidRDefault="005058ED" w:rsidP="005058ED">
      <w:pPr>
        <w:spacing w:line="480" w:lineRule="auto"/>
        <w:ind w:left="720"/>
        <w:jc w:val="both"/>
        <w:rPr>
          <w:rFonts w:ascii="Arial" w:hAnsi="Arial" w:cs="Arial"/>
        </w:rPr>
      </w:pPr>
      <w:r>
        <w:rPr>
          <w:rFonts w:ascii="Arial" w:hAnsi="Arial" w:cs="Arial"/>
        </w:rPr>
        <w:t>“</w:t>
      </w:r>
      <w:r w:rsidRPr="005058ED">
        <w:rPr>
          <w:rFonts w:ascii="Arial" w:hAnsi="Arial" w:cs="Arial"/>
        </w:rPr>
        <w:t xml:space="preserve">There is, in the present case, no difficulty about the mechanics of tracing in equity. The money can be traced through the various accounts to Baker Oil and onwards. It is, however, a prerequisite to the operation of the remedy in equity that there must be a fiduciary relationship which calls the equitable jurisdiction into being. There is no difficulty about that in the present case since Mr. </w:t>
      </w:r>
      <w:proofErr w:type="spellStart"/>
      <w:r w:rsidRPr="005058ED">
        <w:rPr>
          <w:rFonts w:ascii="Arial" w:hAnsi="Arial" w:cs="Arial"/>
        </w:rPr>
        <w:t>Zdiri</w:t>
      </w:r>
      <w:proofErr w:type="spellEnd"/>
      <w:r w:rsidRPr="005058ED">
        <w:rPr>
          <w:rFonts w:ascii="Arial" w:hAnsi="Arial" w:cs="Arial"/>
        </w:rPr>
        <w:t xml:space="preserve"> must have been in a fiduciary relationship with </w:t>
      </w:r>
      <w:proofErr w:type="spellStart"/>
      <w:r w:rsidRPr="005058ED">
        <w:rPr>
          <w:rFonts w:ascii="Arial" w:hAnsi="Arial" w:cs="Arial"/>
        </w:rPr>
        <w:t>Agip</w:t>
      </w:r>
      <w:proofErr w:type="spellEnd"/>
      <w:r w:rsidRPr="005058ED">
        <w:rPr>
          <w:rFonts w:ascii="Arial" w:hAnsi="Arial" w:cs="Arial"/>
        </w:rPr>
        <w:t xml:space="preserve">. He was the chief accountant of </w:t>
      </w:r>
      <w:proofErr w:type="spellStart"/>
      <w:r w:rsidRPr="005058ED">
        <w:rPr>
          <w:rFonts w:ascii="Arial" w:hAnsi="Arial" w:cs="Arial"/>
        </w:rPr>
        <w:t>Agip</w:t>
      </w:r>
      <w:proofErr w:type="spellEnd"/>
      <w:r w:rsidRPr="005058ED">
        <w:rPr>
          <w:rFonts w:ascii="Arial" w:hAnsi="Arial" w:cs="Arial"/>
        </w:rPr>
        <w:t xml:space="preserve"> and was entrusted with the signed drafts or orders upon Banque du Sud.</w:t>
      </w:r>
      <w:r>
        <w:rPr>
          <w:rFonts w:ascii="Arial" w:hAnsi="Arial" w:cs="Arial"/>
        </w:rPr>
        <w:t>”</w:t>
      </w:r>
    </w:p>
    <w:p w14:paraId="4FCCEC68" w14:textId="50E78257" w:rsidR="005210C2" w:rsidRDefault="00892965" w:rsidP="0027281C">
      <w:pPr>
        <w:spacing w:line="480" w:lineRule="auto"/>
        <w:jc w:val="both"/>
        <w:rPr>
          <w:rFonts w:ascii="Arial" w:hAnsi="Arial" w:cs="Arial"/>
        </w:rPr>
      </w:pPr>
      <w:r>
        <w:rPr>
          <w:rFonts w:ascii="Arial" w:hAnsi="Arial" w:cs="Arial"/>
        </w:rPr>
        <w:t>It</w:t>
      </w:r>
      <w:r w:rsidR="00611BE8" w:rsidRPr="00611BE8">
        <w:rPr>
          <w:rFonts w:ascii="Arial" w:hAnsi="Arial" w:cs="Arial"/>
        </w:rPr>
        <w:t xml:space="preserve"> </w:t>
      </w:r>
      <w:r w:rsidR="00611BE8" w:rsidRPr="007C7A37">
        <w:rPr>
          <w:rFonts w:ascii="Arial" w:hAnsi="Arial" w:cs="Arial"/>
        </w:rPr>
        <w:t>has</w:t>
      </w:r>
      <w:r>
        <w:rPr>
          <w:rFonts w:ascii="Arial" w:hAnsi="Arial" w:cs="Arial"/>
        </w:rPr>
        <w:t xml:space="preserve"> also</w:t>
      </w:r>
      <w:r w:rsidR="00611BE8" w:rsidRPr="007C7A37">
        <w:rPr>
          <w:rFonts w:ascii="Arial" w:hAnsi="Arial" w:cs="Arial"/>
        </w:rPr>
        <w:t xml:space="preserve"> been suggested that a subsequent fiduciary relationship is also sufficient. In the case of </w:t>
      </w:r>
      <w:r w:rsidR="00611BE8" w:rsidRPr="007C7A37">
        <w:rPr>
          <w:rFonts w:ascii="Arial" w:hAnsi="Arial" w:cs="Arial"/>
          <w:i/>
          <w:u w:val="single"/>
        </w:rPr>
        <w:t>Chase Manhattan Bank NA v Israel-British Bank (London) Ltd</w:t>
      </w:r>
      <w:r w:rsidR="00611BE8" w:rsidRPr="007C7A37">
        <w:rPr>
          <w:rFonts w:ascii="Arial" w:hAnsi="Arial" w:cs="Arial"/>
          <w:u w:val="single"/>
        </w:rPr>
        <w:t xml:space="preserve"> [1981] Ch 105</w:t>
      </w:r>
      <w:r w:rsidR="00611BE8" w:rsidRPr="007C7A37">
        <w:rPr>
          <w:rFonts w:ascii="Arial" w:hAnsi="Arial" w:cs="Arial"/>
        </w:rPr>
        <w:t>, Chase Manhattan Bank paid the Israel-British</w:t>
      </w:r>
      <w:r w:rsidR="00611BE8" w:rsidRPr="00611BE8">
        <w:rPr>
          <w:rFonts w:ascii="Arial" w:hAnsi="Arial" w:cs="Arial"/>
        </w:rPr>
        <w:t xml:space="preserve"> bank $1 million. As a result of a clerical error, they paid that sum again later the same day. Chase Manhattan sought to trace the money from the second payment. The difficulty was that there was clearly no pre-existing fiduciary relationship or trust. Nevertheless, Goulding J was prepared to find the existence of a fiduciary relation</w:t>
      </w:r>
      <w:r w:rsidR="005058ED">
        <w:rPr>
          <w:rFonts w:ascii="Arial" w:hAnsi="Arial" w:cs="Arial"/>
        </w:rPr>
        <w:t>ship, saying, at 119, “a</w:t>
      </w:r>
      <w:r w:rsidR="00611BE8" w:rsidRPr="00611BE8">
        <w:rPr>
          <w:rFonts w:ascii="Arial" w:hAnsi="Arial" w:cs="Arial"/>
        </w:rPr>
        <w:t xml:space="preserve"> person who pays money to another under a factual mistake retains an equitable property in it and the conscience of that other is subjected to a fiduciary duty to respect his proprietary right.”</w:t>
      </w:r>
      <w:r>
        <w:rPr>
          <w:rFonts w:ascii="Arial" w:hAnsi="Arial" w:cs="Arial"/>
        </w:rPr>
        <w:t xml:space="preserve"> The finding that ‘equitable property’ was retained </w:t>
      </w:r>
      <w:r w:rsidR="00DA3405">
        <w:rPr>
          <w:rFonts w:ascii="Arial" w:hAnsi="Arial" w:cs="Arial"/>
        </w:rPr>
        <w:t xml:space="preserve">(Chase did not have any equitable interest in the money to start with) </w:t>
      </w:r>
      <w:r>
        <w:rPr>
          <w:rFonts w:ascii="Arial" w:hAnsi="Arial" w:cs="Arial"/>
        </w:rPr>
        <w:t>and that a constructive trust</w:t>
      </w:r>
      <w:r w:rsidR="00DA3405">
        <w:rPr>
          <w:rFonts w:ascii="Arial" w:hAnsi="Arial" w:cs="Arial"/>
        </w:rPr>
        <w:t xml:space="preserve"> arose on</w:t>
      </w:r>
      <w:r>
        <w:rPr>
          <w:rFonts w:ascii="Arial" w:hAnsi="Arial" w:cs="Arial"/>
        </w:rPr>
        <w:t xml:space="preserve"> </w:t>
      </w:r>
      <w:r w:rsidR="00DA3405">
        <w:rPr>
          <w:rFonts w:ascii="Arial" w:hAnsi="Arial" w:cs="Arial"/>
        </w:rPr>
        <w:t xml:space="preserve">the mere </w:t>
      </w:r>
      <w:r>
        <w:rPr>
          <w:rFonts w:ascii="Arial" w:hAnsi="Arial" w:cs="Arial"/>
        </w:rPr>
        <w:t xml:space="preserve">receipt </w:t>
      </w:r>
      <w:r w:rsidR="00DA3405">
        <w:rPr>
          <w:rFonts w:ascii="Arial" w:hAnsi="Arial" w:cs="Arial"/>
        </w:rPr>
        <w:t xml:space="preserve">of the mistaken payment </w:t>
      </w:r>
      <w:r w:rsidRPr="00892965">
        <w:rPr>
          <w:rFonts w:ascii="Arial" w:hAnsi="Arial" w:cs="Arial"/>
        </w:rPr>
        <w:t xml:space="preserve">has not been without its critics, such as the House of Lords in </w:t>
      </w:r>
      <w:r w:rsidRPr="00DA3405">
        <w:rPr>
          <w:rFonts w:ascii="Arial" w:hAnsi="Arial" w:cs="Arial"/>
          <w:i/>
          <w:iCs/>
          <w:u w:val="single"/>
        </w:rPr>
        <w:t>Westdeutsche Landesbank Girozentrale v Islington London Borough Council</w:t>
      </w:r>
      <w:r w:rsidRPr="00DA3405">
        <w:rPr>
          <w:rFonts w:ascii="Arial" w:hAnsi="Arial" w:cs="Arial"/>
          <w:u w:val="single"/>
        </w:rPr>
        <w:t xml:space="preserve"> </w:t>
      </w:r>
      <w:r w:rsidRPr="00DA3405">
        <w:rPr>
          <w:rFonts w:ascii="Arial" w:hAnsi="Arial" w:cs="Arial"/>
          <w:u w:val="single"/>
        </w:rPr>
        <w:lastRenderedPageBreak/>
        <w:t>[1996] AC 669</w:t>
      </w:r>
      <w:r w:rsidRPr="00892965">
        <w:rPr>
          <w:rFonts w:ascii="Arial" w:hAnsi="Arial" w:cs="Arial"/>
        </w:rPr>
        <w:t>.</w:t>
      </w:r>
      <w:r>
        <w:rPr>
          <w:rFonts w:ascii="Arial" w:hAnsi="Arial" w:cs="Arial"/>
        </w:rPr>
        <w:t xml:space="preserve"> However, in the latter</w:t>
      </w:r>
      <w:r w:rsidR="00DA3405">
        <w:rPr>
          <w:rFonts w:ascii="Arial" w:hAnsi="Arial" w:cs="Arial"/>
        </w:rPr>
        <w:t xml:space="preserve"> case the court did agree that a constructive trust could arise once the recipient’s conscience was affected. </w:t>
      </w:r>
      <w:r w:rsidR="00611BE8" w:rsidRPr="00611BE8">
        <w:rPr>
          <w:rFonts w:ascii="Arial" w:hAnsi="Arial" w:cs="Arial"/>
        </w:rPr>
        <w:t xml:space="preserve">On this basis, the fiduciary relationship would have come into being the moment </w:t>
      </w:r>
      <w:r w:rsidR="00DA3405">
        <w:rPr>
          <w:rFonts w:ascii="Arial" w:hAnsi="Arial" w:cs="Arial"/>
        </w:rPr>
        <w:t>the Israel-British Bank</w:t>
      </w:r>
      <w:r w:rsidR="00611BE8" w:rsidRPr="00611BE8">
        <w:rPr>
          <w:rFonts w:ascii="Arial" w:hAnsi="Arial" w:cs="Arial"/>
        </w:rPr>
        <w:t xml:space="preserve"> realised that the payment was mistaken.</w:t>
      </w:r>
    </w:p>
    <w:p w14:paraId="2FEE05E7" w14:textId="77777777" w:rsidR="00DA3405" w:rsidRPr="0027281C" w:rsidRDefault="00DA3405" w:rsidP="0027281C">
      <w:pPr>
        <w:spacing w:line="480" w:lineRule="auto"/>
        <w:jc w:val="both"/>
        <w:rPr>
          <w:rFonts w:ascii="Arial" w:hAnsi="Arial" w:cs="Arial"/>
        </w:rPr>
      </w:pPr>
    </w:p>
    <w:p w14:paraId="7A439A01" w14:textId="6DE8F9DA" w:rsidR="00611BE8" w:rsidRPr="00D02138" w:rsidRDefault="007323BF" w:rsidP="00D02138">
      <w:pPr>
        <w:pStyle w:val="ListParagraph"/>
        <w:numPr>
          <w:ilvl w:val="0"/>
          <w:numId w:val="27"/>
        </w:numPr>
        <w:spacing w:line="480" w:lineRule="auto"/>
        <w:jc w:val="both"/>
        <w:rPr>
          <w:rFonts w:ascii="Arial" w:hAnsi="Arial" w:cs="Arial"/>
        </w:rPr>
      </w:pPr>
      <w:r w:rsidRPr="00D02138">
        <w:rPr>
          <w:rFonts w:ascii="Arial" w:hAnsi="Arial" w:cs="Arial"/>
        </w:rPr>
        <w:t>Mixed funds and traceable property</w:t>
      </w:r>
    </w:p>
    <w:p w14:paraId="491111D4" w14:textId="155DB918" w:rsidR="00B00547" w:rsidRPr="00B00547" w:rsidRDefault="007323BF" w:rsidP="00B00547">
      <w:pPr>
        <w:spacing w:line="480" w:lineRule="auto"/>
        <w:jc w:val="both"/>
        <w:rPr>
          <w:rFonts w:ascii="Arial" w:eastAsia="Calibri" w:hAnsi="Arial" w:cs="Arial"/>
        </w:rPr>
      </w:pPr>
      <w:r>
        <w:rPr>
          <w:rFonts w:ascii="Arial" w:eastAsia="Calibri" w:hAnsi="Arial" w:cs="Arial"/>
        </w:rPr>
        <w:t xml:space="preserve">Which property can I trace into? </w:t>
      </w:r>
      <w:r w:rsidR="6EDB20C5" w:rsidRPr="6EDB20C5">
        <w:rPr>
          <w:rFonts w:ascii="Arial" w:eastAsia="Calibri" w:hAnsi="Arial" w:cs="Arial"/>
        </w:rPr>
        <w:t xml:space="preserve">In practice, </w:t>
      </w:r>
      <w:r>
        <w:rPr>
          <w:rFonts w:ascii="Arial" w:eastAsia="Calibri" w:hAnsi="Arial" w:cs="Arial"/>
        </w:rPr>
        <w:t xml:space="preserve">this question </w:t>
      </w:r>
      <w:r w:rsidR="6EDB20C5" w:rsidRPr="6EDB20C5">
        <w:rPr>
          <w:rFonts w:ascii="Arial" w:eastAsia="Calibri" w:hAnsi="Arial" w:cs="Arial"/>
        </w:rPr>
        <w:t>only arise</w:t>
      </w:r>
      <w:r>
        <w:rPr>
          <w:rFonts w:ascii="Arial" w:eastAsia="Calibri" w:hAnsi="Arial" w:cs="Arial"/>
        </w:rPr>
        <w:t>s</w:t>
      </w:r>
      <w:r w:rsidR="6EDB20C5" w:rsidRPr="6EDB20C5">
        <w:rPr>
          <w:rFonts w:ascii="Arial" w:eastAsia="Calibri" w:hAnsi="Arial" w:cs="Arial"/>
        </w:rPr>
        <w:t xml:space="preserve"> where there has been mixing, as it is straightforward to </w:t>
      </w:r>
      <w:r>
        <w:rPr>
          <w:rFonts w:ascii="Arial" w:eastAsia="Calibri" w:hAnsi="Arial" w:cs="Arial"/>
        </w:rPr>
        <w:t xml:space="preserve">determine the property to </w:t>
      </w:r>
      <w:r w:rsidR="6EDB20C5" w:rsidRPr="6EDB20C5">
        <w:rPr>
          <w:rFonts w:ascii="Arial" w:eastAsia="Calibri" w:hAnsi="Arial" w:cs="Arial"/>
        </w:rPr>
        <w:t xml:space="preserve">trace </w:t>
      </w:r>
      <w:r>
        <w:rPr>
          <w:rFonts w:ascii="Arial" w:eastAsia="Calibri" w:hAnsi="Arial" w:cs="Arial"/>
        </w:rPr>
        <w:t>into if no mixing has taken place. For example</w:t>
      </w:r>
      <w:r w:rsidR="6EDB20C5" w:rsidRPr="6EDB20C5">
        <w:rPr>
          <w:rFonts w:ascii="Arial" w:eastAsia="Calibri" w:hAnsi="Arial" w:cs="Arial"/>
        </w:rPr>
        <w:t>, where a trustee holds land on trust and, in breach of trust, sells it, depositing the proceeds of sale into a bank account with no other funds in it</w:t>
      </w:r>
      <w:r>
        <w:rPr>
          <w:rFonts w:ascii="Arial" w:eastAsia="Calibri" w:hAnsi="Arial" w:cs="Arial"/>
        </w:rPr>
        <w:t>, it is clear that the balance in the bank account represents the substitute asset of the trust property</w:t>
      </w:r>
      <w:r w:rsidR="6EDB20C5" w:rsidRPr="6EDB20C5">
        <w:rPr>
          <w:rFonts w:ascii="Arial" w:eastAsia="Calibri" w:hAnsi="Arial" w:cs="Arial"/>
        </w:rPr>
        <w:t>. Where mixing occurs (e.g.,</w:t>
      </w:r>
      <w:r w:rsidR="6EDB20C5">
        <w:t xml:space="preserve"> </w:t>
      </w:r>
      <w:r w:rsidR="6EDB20C5" w:rsidRPr="6EDB20C5">
        <w:rPr>
          <w:rFonts w:ascii="Arial" w:eastAsia="Calibri" w:hAnsi="Arial" w:cs="Arial"/>
        </w:rPr>
        <w:t>the trustee deposits the proceeds of sale into a bank account which already contains other funds)</w:t>
      </w:r>
      <w:r>
        <w:rPr>
          <w:rFonts w:ascii="Arial" w:eastAsia="Calibri" w:hAnsi="Arial" w:cs="Arial"/>
        </w:rPr>
        <w:t xml:space="preserve">, which is then followed by a transaction (e.g., something is purchased with money from the bank account), it is, however, unclear whether the property purchased from the mixed </w:t>
      </w:r>
      <w:proofErr w:type="gramStart"/>
      <w:r>
        <w:rPr>
          <w:rFonts w:ascii="Arial" w:eastAsia="Calibri" w:hAnsi="Arial" w:cs="Arial"/>
        </w:rPr>
        <w:t>fund</w:t>
      </w:r>
      <w:proofErr w:type="gramEnd"/>
      <w:r>
        <w:rPr>
          <w:rFonts w:ascii="Arial" w:eastAsia="Calibri" w:hAnsi="Arial" w:cs="Arial"/>
        </w:rPr>
        <w:t xml:space="preserve"> or the remaining bank balance is available to the claimant to trace into.</w:t>
      </w:r>
      <w:r w:rsidR="00892965">
        <w:rPr>
          <w:rFonts w:ascii="Arial" w:eastAsia="Calibri" w:hAnsi="Arial" w:cs="Arial"/>
        </w:rPr>
        <w:t xml:space="preserve"> </w:t>
      </w:r>
      <w:r>
        <w:rPr>
          <w:rFonts w:ascii="Arial" w:eastAsia="Calibri" w:hAnsi="Arial" w:cs="Arial"/>
        </w:rPr>
        <w:t xml:space="preserve">In order to answer this question, </w:t>
      </w:r>
      <w:r w:rsidR="6EDB20C5" w:rsidRPr="6EDB20C5">
        <w:rPr>
          <w:rFonts w:ascii="Arial" w:eastAsia="Calibri" w:hAnsi="Arial" w:cs="Arial"/>
        </w:rPr>
        <w:t>a number of rules</w:t>
      </w:r>
      <w:r>
        <w:rPr>
          <w:rFonts w:ascii="Arial" w:eastAsia="Calibri" w:hAnsi="Arial" w:cs="Arial"/>
        </w:rPr>
        <w:t xml:space="preserve"> have been developed</w:t>
      </w:r>
      <w:r w:rsidR="007C7A37">
        <w:rPr>
          <w:rFonts w:ascii="Arial" w:eastAsia="Calibri" w:hAnsi="Arial" w:cs="Arial"/>
        </w:rPr>
        <w:t>:</w:t>
      </w:r>
    </w:p>
    <w:p w14:paraId="6A0A4C77" w14:textId="6A528CB3" w:rsidR="6EDB20C5" w:rsidRDefault="6EDB20C5" w:rsidP="6EDB20C5">
      <w:pPr>
        <w:spacing w:line="480" w:lineRule="auto"/>
        <w:jc w:val="both"/>
        <w:rPr>
          <w:rFonts w:ascii="Arial" w:eastAsia="Calibri" w:hAnsi="Arial" w:cs="Arial"/>
          <w:b/>
          <w:bCs/>
        </w:rPr>
      </w:pPr>
    </w:p>
    <w:p w14:paraId="0E7818F2" w14:textId="28648EF8" w:rsidR="00611BE8" w:rsidRPr="00F83958" w:rsidRDefault="00611BE8" w:rsidP="0008678D">
      <w:pPr>
        <w:spacing w:line="480" w:lineRule="auto"/>
        <w:jc w:val="both"/>
        <w:rPr>
          <w:rFonts w:ascii="Arial" w:eastAsia="Calibri" w:hAnsi="Arial" w:cs="Arial"/>
          <w:bCs/>
        </w:rPr>
      </w:pPr>
      <w:r w:rsidRPr="00F83958">
        <w:rPr>
          <w:rFonts w:ascii="Arial" w:eastAsia="Calibri" w:hAnsi="Arial" w:cs="Arial"/>
          <w:bCs/>
        </w:rPr>
        <w:t>The presumption of honesty</w:t>
      </w:r>
    </w:p>
    <w:p w14:paraId="3061A3B4" w14:textId="25A5594E" w:rsidR="00611BE8" w:rsidRPr="0008678D" w:rsidRDefault="00611BE8" w:rsidP="0008678D">
      <w:pPr>
        <w:spacing w:line="480" w:lineRule="auto"/>
        <w:jc w:val="both"/>
        <w:rPr>
          <w:rFonts w:ascii="Arial" w:eastAsia="Calibri" w:hAnsi="Arial" w:cs="Arial"/>
          <w:b/>
          <w:u w:val="single"/>
        </w:rPr>
      </w:pPr>
      <w:r w:rsidRPr="0008678D">
        <w:rPr>
          <w:rFonts w:ascii="Arial" w:eastAsia="Calibri" w:hAnsi="Arial" w:cs="Arial"/>
        </w:rPr>
        <w:t xml:space="preserve">Where a trustee mixes trust money with </w:t>
      </w:r>
      <w:r w:rsidR="007C7A37">
        <w:rPr>
          <w:rFonts w:ascii="Arial" w:eastAsia="Calibri" w:hAnsi="Arial" w:cs="Arial"/>
        </w:rPr>
        <w:t>their</w:t>
      </w:r>
      <w:r w:rsidRPr="0008678D">
        <w:rPr>
          <w:rFonts w:ascii="Arial" w:eastAsia="Calibri" w:hAnsi="Arial" w:cs="Arial"/>
        </w:rPr>
        <w:t xml:space="preserve"> own money in a bank account, </w:t>
      </w:r>
      <w:r w:rsidR="00001F8E">
        <w:rPr>
          <w:rFonts w:ascii="Arial" w:eastAsia="Calibri" w:hAnsi="Arial" w:cs="Arial"/>
        </w:rPr>
        <w:t>they are</w:t>
      </w:r>
      <w:r w:rsidRPr="0008678D">
        <w:rPr>
          <w:rFonts w:ascii="Arial" w:eastAsia="Calibri" w:hAnsi="Arial" w:cs="Arial"/>
        </w:rPr>
        <w:t xml:space="preserve"> assumed to spend </w:t>
      </w:r>
      <w:r w:rsidR="007C7A37">
        <w:rPr>
          <w:rFonts w:ascii="Arial" w:eastAsia="Calibri" w:hAnsi="Arial" w:cs="Arial"/>
        </w:rPr>
        <w:t>their</w:t>
      </w:r>
      <w:r w:rsidRPr="0008678D">
        <w:rPr>
          <w:rFonts w:ascii="Arial" w:eastAsia="Calibri" w:hAnsi="Arial" w:cs="Arial"/>
        </w:rPr>
        <w:t xml:space="preserve"> own money first, so that the trust money survives. This is often described as a presumption of honesty. The presumption was applied in</w:t>
      </w:r>
      <w:r w:rsidRPr="0008678D">
        <w:rPr>
          <w:rFonts w:ascii="Arial" w:hAnsi="Arial" w:cs="Arial"/>
        </w:rPr>
        <w:t xml:space="preserve"> </w:t>
      </w:r>
      <w:r w:rsidRPr="0008678D">
        <w:rPr>
          <w:rFonts w:ascii="Arial" w:eastAsia="Calibri" w:hAnsi="Arial" w:cs="Arial"/>
          <w:i/>
          <w:u w:val="single"/>
        </w:rPr>
        <w:t>Re Hallet’s Estate</w:t>
      </w:r>
      <w:r w:rsidRPr="0008678D">
        <w:rPr>
          <w:rFonts w:ascii="Arial" w:eastAsia="Calibri" w:hAnsi="Arial" w:cs="Arial"/>
          <w:u w:val="single"/>
        </w:rPr>
        <w:t xml:space="preserve"> (1880) 13 Ch D 696</w:t>
      </w:r>
      <w:r w:rsidRPr="0008678D">
        <w:rPr>
          <w:rFonts w:ascii="Arial" w:hAnsi="Arial" w:cs="Arial"/>
        </w:rPr>
        <w:t>, where a</w:t>
      </w:r>
      <w:r w:rsidRPr="0008678D">
        <w:rPr>
          <w:rFonts w:ascii="Arial" w:eastAsia="Calibri" w:hAnsi="Arial" w:cs="Arial"/>
        </w:rPr>
        <w:t xml:space="preserve"> solicitor was a trustee of his own marriage settlement. A client had also entrusted him with money for the purposes of investment. He paid money from the trust and the client’s money into his bank account. The account also contained the trustee’s own money. Some of the money was then dissipated. On his death, there was enough money in the account to pay the trust and the client but not his other creditors. It was held that the solicitor spent his own </w:t>
      </w:r>
      <w:r w:rsidRPr="0008678D">
        <w:rPr>
          <w:rFonts w:ascii="Arial" w:eastAsia="Calibri" w:hAnsi="Arial" w:cs="Arial"/>
        </w:rPr>
        <w:lastRenderedPageBreak/>
        <w:t>money first, so that the remaining money in the account could be treated as representing the property of the trust and the client, which thus gained priority over the other creditors.</w:t>
      </w:r>
    </w:p>
    <w:p w14:paraId="0DB78F73" w14:textId="078C4355" w:rsidR="00611BE8" w:rsidRDefault="00611BE8" w:rsidP="0008678D">
      <w:pPr>
        <w:spacing w:line="480" w:lineRule="auto"/>
        <w:jc w:val="both"/>
        <w:rPr>
          <w:rFonts w:ascii="Arial" w:eastAsia="Calibri" w:hAnsi="Arial" w:cs="Arial"/>
        </w:rPr>
      </w:pPr>
      <w:r w:rsidRPr="0008678D">
        <w:rPr>
          <w:rFonts w:ascii="Arial" w:eastAsia="Calibri" w:hAnsi="Arial" w:cs="Arial"/>
        </w:rPr>
        <w:t xml:space="preserve">However, in situations where the trustee first buys another asset with the mixed fund and then dissipates the balance of the fund, the presumption in </w:t>
      </w:r>
      <w:r w:rsidRPr="0008678D">
        <w:rPr>
          <w:rFonts w:ascii="Arial" w:eastAsia="Calibri" w:hAnsi="Arial" w:cs="Arial"/>
          <w:i/>
          <w:u w:val="single"/>
        </w:rPr>
        <w:t>Re Hallett’s Estate</w:t>
      </w:r>
      <w:r w:rsidRPr="0008678D">
        <w:rPr>
          <w:rFonts w:ascii="Arial" w:eastAsia="Calibri" w:hAnsi="Arial" w:cs="Arial"/>
          <w:i/>
        </w:rPr>
        <w:t xml:space="preserve"> </w:t>
      </w:r>
      <w:r w:rsidRPr="0008678D">
        <w:rPr>
          <w:rFonts w:ascii="Arial" w:eastAsia="Calibri" w:hAnsi="Arial" w:cs="Arial"/>
        </w:rPr>
        <w:t xml:space="preserve">does not apply, as </w:t>
      </w:r>
      <w:r w:rsidR="0008678D" w:rsidRPr="0008678D">
        <w:rPr>
          <w:rFonts w:ascii="Arial" w:eastAsia="Calibri" w:hAnsi="Arial" w:cs="Arial"/>
        </w:rPr>
        <w:t xml:space="preserve">here </w:t>
      </w:r>
      <w:r w:rsidRPr="0008678D">
        <w:rPr>
          <w:rFonts w:ascii="Arial" w:eastAsia="Calibri" w:hAnsi="Arial" w:cs="Arial"/>
        </w:rPr>
        <w:t xml:space="preserve">it would work against the beneficiary. This was established in </w:t>
      </w:r>
      <w:r w:rsidRPr="0008678D">
        <w:rPr>
          <w:rFonts w:ascii="Arial" w:eastAsia="Calibri" w:hAnsi="Arial" w:cs="Arial"/>
          <w:i/>
          <w:u w:val="single"/>
        </w:rPr>
        <w:t xml:space="preserve">Re </w:t>
      </w:r>
      <w:proofErr w:type="spellStart"/>
      <w:r w:rsidRPr="0008678D">
        <w:rPr>
          <w:rFonts w:ascii="Arial" w:eastAsia="Calibri" w:hAnsi="Arial" w:cs="Arial"/>
          <w:i/>
          <w:u w:val="single"/>
        </w:rPr>
        <w:t>Oatway</w:t>
      </w:r>
      <w:proofErr w:type="spellEnd"/>
      <w:r w:rsidRPr="0008678D">
        <w:rPr>
          <w:rFonts w:ascii="Arial" w:eastAsia="Calibri" w:hAnsi="Arial" w:cs="Arial"/>
          <w:u w:val="single"/>
        </w:rPr>
        <w:t xml:space="preserve"> [1903] 2 Ch 356</w:t>
      </w:r>
      <w:r w:rsidRPr="0008678D">
        <w:rPr>
          <w:rFonts w:ascii="Arial" w:eastAsia="Calibri" w:hAnsi="Arial" w:cs="Arial"/>
        </w:rPr>
        <w:t xml:space="preserve">, where a trustee misappropriated £3,000 from a trust. He paid this money into a bank account mixing it with his own money. He subsequently purchased shares in his own name. At the time of the purchase there was enough of his own money in the account to cover the cost of this purchase. Equally, the trust’s money alone would more than have covered the cost of purchase. After the purchase, the balance of the account was dissipated. Applying the presumption in </w:t>
      </w:r>
      <w:r w:rsidRPr="0008678D">
        <w:rPr>
          <w:rFonts w:ascii="Arial" w:eastAsia="Calibri" w:hAnsi="Arial" w:cs="Arial"/>
          <w:i/>
          <w:u w:val="single"/>
        </w:rPr>
        <w:t>Re Hallett’s Estate</w:t>
      </w:r>
      <w:r w:rsidRPr="0008678D">
        <w:rPr>
          <w:rFonts w:ascii="Arial" w:eastAsia="Calibri" w:hAnsi="Arial" w:cs="Arial"/>
        </w:rPr>
        <w:t>, the shares would have been bought with the trustee</w:t>
      </w:r>
      <w:r w:rsidR="0008678D">
        <w:rPr>
          <w:rFonts w:ascii="Arial" w:eastAsia="Calibri" w:hAnsi="Arial" w:cs="Arial"/>
        </w:rPr>
        <w:t>’s own money. However, Joyce J, at 360,</w:t>
      </w:r>
      <w:r w:rsidRPr="0008678D">
        <w:rPr>
          <w:rFonts w:ascii="Arial" w:eastAsia="Calibri" w:hAnsi="Arial" w:cs="Arial"/>
        </w:rPr>
        <w:t xml:space="preserve"> refused to apply that presumption:</w:t>
      </w:r>
    </w:p>
    <w:p w14:paraId="2AFFC75B" w14:textId="58A9F4A3" w:rsidR="0008678D" w:rsidRPr="0008678D" w:rsidRDefault="0008678D" w:rsidP="0008678D">
      <w:pPr>
        <w:spacing w:line="480" w:lineRule="auto"/>
        <w:ind w:left="720"/>
        <w:jc w:val="both"/>
        <w:rPr>
          <w:rFonts w:ascii="Arial" w:eastAsia="Calibri" w:hAnsi="Arial" w:cs="Arial"/>
        </w:rPr>
      </w:pPr>
      <w:r>
        <w:rPr>
          <w:rFonts w:ascii="Arial" w:eastAsia="Calibri" w:hAnsi="Arial" w:cs="Arial"/>
        </w:rPr>
        <w:t>“</w:t>
      </w:r>
      <w:r w:rsidRPr="0008678D">
        <w:rPr>
          <w:rFonts w:ascii="Arial" w:eastAsia="Calibri" w:hAnsi="Arial" w:cs="Arial"/>
        </w:rPr>
        <w:t>It is, in my opinion, equally clear that when any of the money drawn out has been invested, and the investment remains in the name or under the control of the trustee, the rest of the balance having been afterwards dissipated by him, he cannot maintain that the investment which remains represents his own money alone, and that what has been spent and can no longer be traced and recovered was the money belonging to the trust.</w:t>
      </w:r>
      <w:r>
        <w:rPr>
          <w:rFonts w:ascii="Arial" w:eastAsia="Calibri" w:hAnsi="Arial" w:cs="Arial"/>
        </w:rPr>
        <w:t>”</w:t>
      </w:r>
    </w:p>
    <w:p w14:paraId="62227DC6" w14:textId="77777777" w:rsidR="00611BE8" w:rsidRPr="0008678D" w:rsidRDefault="00611BE8" w:rsidP="0008678D">
      <w:pPr>
        <w:spacing w:line="480" w:lineRule="auto"/>
        <w:jc w:val="both"/>
        <w:rPr>
          <w:rFonts w:ascii="Arial" w:hAnsi="Arial" w:cs="Arial"/>
        </w:rPr>
      </w:pPr>
      <w:r w:rsidRPr="0008678D">
        <w:rPr>
          <w:rFonts w:ascii="Arial" w:hAnsi="Arial" w:cs="Arial"/>
        </w:rPr>
        <w:t xml:space="preserve">Accordingly, the shares were considered to have been purchased with the trust money. </w:t>
      </w:r>
    </w:p>
    <w:p w14:paraId="122D50EB" w14:textId="28903511" w:rsidR="00611BE8" w:rsidRPr="0008678D" w:rsidRDefault="00611BE8" w:rsidP="0008678D">
      <w:pPr>
        <w:spacing w:line="480" w:lineRule="auto"/>
        <w:jc w:val="both"/>
        <w:rPr>
          <w:rFonts w:ascii="Arial" w:hAnsi="Arial" w:cs="Arial"/>
        </w:rPr>
      </w:pPr>
      <w:r w:rsidRPr="0008678D">
        <w:rPr>
          <w:rFonts w:ascii="Arial" w:hAnsi="Arial" w:cs="Arial"/>
        </w:rPr>
        <w:t xml:space="preserve">In the case of </w:t>
      </w:r>
      <w:proofErr w:type="spellStart"/>
      <w:r w:rsidRPr="0008678D">
        <w:rPr>
          <w:rFonts w:ascii="Arial" w:hAnsi="Arial" w:cs="Arial"/>
          <w:i/>
          <w:u w:val="single"/>
        </w:rPr>
        <w:t>Shalson</w:t>
      </w:r>
      <w:proofErr w:type="spellEnd"/>
      <w:r w:rsidRPr="0008678D">
        <w:rPr>
          <w:rFonts w:ascii="Arial" w:hAnsi="Arial" w:cs="Arial"/>
          <w:i/>
          <w:u w:val="single"/>
        </w:rPr>
        <w:t xml:space="preserve"> v Russo</w:t>
      </w:r>
      <w:r w:rsidRPr="0008678D">
        <w:rPr>
          <w:rFonts w:ascii="Arial" w:hAnsi="Arial" w:cs="Arial"/>
          <w:u w:val="single"/>
        </w:rPr>
        <w:t xml:space="preserve"> [2005] Ch 281</w:t>
      </w:r>
      <w:r w:rsidR="0008678D">
        <w:rPr>
          <w:rFonts w:ascii="Arial" w:hAnsi="Arial" w:cs="Arial"/>
          <w:u w:val="single"/>
        </w:rPr>
        <w:t>,</w:t>
      </w:r>
      <w:r w:rsidRPr="0008678D">
        <w:rPr>
          <w:rFonts w:ascii="Arial" w:hAnsi="Arial" w:cs="Arial"/>
        </w:rPr>
        <w:t xml:space="preserve"> the question was considered what should happen when sufficient funds remained in the account to satisfy the claims of the beneficiary and the trustee had also made a profitable investment from the fund (which the beneficiary might want to claim instead of the money in the account in order to profit from a possible rise in value of the investment). Rimer J thought that in such a case, the beneficiary had the right to ‘cherry pick’ between the assets. In the subsequent case of </w:t>
      </w:r>
      <w:r w:rsidRPr="0008678D">
        <w:rPr>
          <w:rFonts w:ascii="Arial" w:hAnsi="Arial" w:cs="Arial"/>
          <w:i/>
          <w:u w:val="single"/>
        </w:rPr>
        <w:t>Turner v Jacob</w:t>
      </w:r>
      <w:r w:rsidRPr="0008678D">
        <w:rPr>
          <w:rFonts w:ascii="Arial" w:hAnsi="Arial" w:cs="Arial"/>
          <w:u w:val="single"/>
        </w:rPr>
        <w:t xml:space="preserve"> [2006] EWHC 1317</w:t>
      </w:r>
      <w:r w:rsidRPr="0008678D">
        <w:rPr>
          <w:rFonts w:ascii="Arial" w:hAnsi="Arial" w:cs="Arial"/>
        </w:rPr>
        <w:t xml:space="preserve"> Patten J, without considering </w:t>
      </w:r>
      <w:proofErr w:type="spellStart"/>
      <w:r w:rsidRPr="0008678D">
        <w:rPr>
          <w:rFonts w:ascii="Arial" w:hAnsi="Arial" w:cs="Arial"/>
          <w:i/>
          <w:u w:val="single"/>
        </w:rPr>
        <w:t>Shalson</w:t>
      </w:r>
      <w:proofErr w:type="spellEnd"/>
      <w:r w:rsidRPr="0008678D">
        <w:rPr>
          <w:rFonts w:ascii="Arial" w:hAnsi="Arial" w:cs="Arial"/>
          <w:i/>
          <w:u w:val="single"/>
        </w:rPr>
        <w:t xml:space="preserve"> v Russo</w:t>
      </w:r>
      <w:r w:rsidRPr="0008678D">
        <w:rPr>
          <w:rFonts w:ascii="Arial" w:hAnsi="Arial" w:cs="Arial"/>
        </w:rPr>
        <w:t xml:space="preserve">, advanced the view that the beneficiary </w:t>
      </w:r>
      <w:r w:rsidRPr="0008678D">
        <w:rPr>
          <w:rFonts w:ascii="Arial" w:hAnsi="Arial" w:cs="Arial"/>
        </w:rPr>
        <w:lastRenderedPageBreak/>
        <w:t>should not be able to choose which asset to trace into if sufficient funds remained in the account. However, Rimer J’s view is generally preferred, as it fits within the principle that any presumption applied should work against the wrongdoing trustee.</w:t>
      </w:r>
    </w:p>
    <w:p w14:paraId="4485EC43" w14:textId="77777777" w:rsidR="0027281C" w:rsidRPr="00611BE8" w:rsidRDefault="0027281C" w:rsidP="0008678D">
      <w:pPr>
        <w:pStyle w:val="ListParagraph"/>
        <w:spacing w:line="480" w:lineRule="auto"/>
        <w:ind w:left="360"/>
        <w:jc w:val="both"/>
        <w:rPr>
          <w:rFonts w:ascii="Arial" w:hAnsi="Arial" w:cs="Arial"/>
          <w:b/>
        </w:rPr>
      </w:pPr>
    </w:p>
    <w:p w14:paraId="049E69DC" w14:textId="77777777" w:rsidR="00611BE8" w:rsidRPr="00F83958" w:rsidRDefault="00611BE8" w:rsidP="0008678D">
      <w:pPr>
        <w:spacing w:line="480" w:lineRule="auto"/>
        <w:jc w:val="both"/>
        <w:rPr>
          <w:rFonts w:ascii="Arial" w:hAnsi="Arial" w:cs="Arial"/>
          <w:bCs/>
        </w:rPr>
      </w:pPr>
      <w:r w:rsidRPr="00F83958">
        <w:rPr>
          <w:rFonts w:ascii="Arial" w:hAnsi="Arial" w:cs="Arial"/>
          <w:bCs/>
        </w:rPr>
        <w:t>The lowest intermediate balance rule</w:t>
      </w:r>
    </w:p>
    <w:p w14:paraId="05FE6152" w14:textId="77777777" w:rsidR="00C63735" w:rsidRDefault="00611BE8" w:rsidP="00C63735">
      <w:pPr>
        <w:spacing w:line="480" w:lineRule="auto"/>
        <w:jc w:val="both"/>
        <w:rPr>
          <w:rFonts w:ascii="Arial" w:hAnsi="Arial" w:cs="Arial"/>
        </w:rPr>
      </w:pPr>
      <w:r w:rsidRPr="00ED14B8">
        <w:rPr>
          <w:rFonts w:ascii="Arial" w:hAnsi="Arial" w:cs="Arial"/>
        </w:rPr>
        <w:t xml:space="preserve">According to this rule, if trust money was deposited into an account from which subsequent withdrawals were made, the maximum claim the beneficiary has to the money remaining in the account is the lowest intermediate balance between the time of deposit and the time of claim. </w:t>
      </w:r>
    </w:p>
    <w:p w14:paraId="3F7DFCCE" w14:textId="18748626" w:rsidR="00ED14B8" w:rsidRDefault="00C63735" w:rsidP="00C63735">
      <w:pPr>
        <w:spacing w:line="480" w:lineRule="auto"/>
        <w:jc w:val="both"/>
        <w:rPr>
          <w:rFonts w:ascii="Arial" w:hAnsi="Arial" w:cs="Arial"/>
        </w:rPr>
      </w:pPr>
      <w:r w:rsidRPr="00C63735">
        <w:rPr>
          <w:rFonts w:ascii="Arial" w:hAnsi="Arial" w:cs="Arial"/>
        </w:rPr>
        <w:t>Let’s take a</w:t>
      </w:r>
      <w:r>
        <w:rPr>
          <w:rFonts w:ascii="Arial" w:hAnsi="Arial" w:cs="Arial"/>
        </w:rPr>
        <w:t xml:space="preserve">n example to explain this rule: </w:t>
      </w:r>
      <w:r w:rsidRPr="00C63735">
        <w:rPr>
          <w:rFonts w:ascii="Arial" w:hAnsi="Arial" w:cs="Arial"/>
        </w:rPr>
        <w:t xml:space="preserve">A trustee misappropriates £100 belonging to a beneficiary and mixes it with £100 of their own money in the trustee’s bank account. The trustee then spends £150 from the account on a dinner (i.e. dissipates the £150). This leaves £50 in the bank account. Imagine that the trustee later deposits £50 of </w:t>
      </w:r>
      <w:r w:rsidR="007C7A37">
        <w:rPr>
          <w:rFonts w:ascii="Arial" w:hAnsi="Arial" w:cs="Arial"/>
        </w:rPr>
        <w:t>their</w:t>
      </w:r>
      <w:r w:rsidRPr="00C63735">
        <w:rPr>
          <w:rFonts w:ascii="Arial" w:hAnsi="Arial" w:cs="Arial"/>
        </w:rPr>
        <w:t xml:space="preserve"> own money into the account. The account now contains £100 yet the beneficiary cannot claim this full £100. The beneficiary is limited to tracing into £50 and not the additional £50 deposited by the trustee. Why? Tracing is all about attributing a claimant’s proprietary interest to substitute property. This additional, deposited £50 cannot be said to be attributable to the beneficiary. It belongs to the trustee. The claimant is limited to tracing into the lowest intermediate balance; namely the £50 that remained after the trustee had dissipated the £150.</w:t>
      </w:r>
    </w:p>
    <w:p w14:paraId="4C4FBE6A" w14:textId="46F2AAF0" w:rsidR="00611BE8" w:rsidRDefault="00611BE8" w:rsidP="00ED14B8">
      <w:pPr>
        <w:spacing w:line="480" w:lineRule="auto"/>
        <w:jc w:val="both"/>
        <w:rPr>
          <w:rFonts w:ascii="Arial" w:hAnsi="Arial" w:cs="Arial"/>
        </w:rPr>
      </w:pPr>
      <w:r w:rsidRPr="00ED14B8">
        <w:rPr>
          <w:rFonts w:ascii="Arial" w:hAnsi="Arial" w:cs="Arial"/>
        </w:rPr>
        <w:t xml:space="preserve">This rule was applied in </w:t>
      </w:r>
      <w:r w:rsidRPr="00ED14B8">
        <w:rPr>
          <w:rFonts w:ascii="Arial" w:hAnsi="Arial" w:cs="Arial"/>
          <w:i/>
          <w:u w:val="single"/>
        </w:rPr>
        <w:t>James Roscoe (Bolton) Ltd v Winder</w:t>
      </w:r>
      <w:r w:rsidRPr="00ED14B8">
        <w:rPr>
          <w:rFonts w:ascii="Arial" w:hAnsi="Arial" w:cs="Arial"/>
          <w:u w:val="single"/>
        </w:rPr>
        <w:t xml:space="preserve"> [1915] 1 Ch 62</w:t>
      </w:r>
      <w:r w:rsidRPr="00ED14B8">
        <w:rPr>
          <w:rFonts w:ascii="Arial" w:hAnsi="Arial" w:cs="Arial"/>
        </w:rPr>
        <w:t>. Here, the claimant had sold his business to Winder. Winder agreed that he would collect in debts owed before the sale and pay them over to the claimant. Winder appropriated £455 18s 11d of these payments, which he paid into his own bank account. After a few days the balance was reduced to £25 18s as the money was dissipated. By Winder’s death, the balance in the account had risen to £358. It was held that the debts were held on trust but that the claimant only had a charge over £25 18s. As per Sargant J, at 68:</w:t>
      </w:r>
    </w:p>
    <w:p w14:paraId="270865CC" w14:textId="77777777" w:rsidR="00C63735" w:rsidRDefault="00C63735" w:rsidP="00C63735">
      <w:pPr>
        <w:spacing w:line="480" w:lineRule="auto"/>
        <w:ind w:left="720"/>
        <w:jc w:val="both"/>
        <w:rPr>
          <w:rFonts w:ascii="Arial" w:hAnsi="Arial" w:cs="Arial"/>
        </w:rPr>
      </w:pPr>
      <w:r>
        <w:rPr>
          <w:rFonts w:ascii="Arial" w:hAnsi="Arial" w:cs="Arial"/>
        </w:rPr>
        <w:lastRenderedPageBreak/>
        <w:t>“</w:t>
      </w:r>
      <w:r w:rsidRPr="00C63735">
        <w:rPr>
          <w:rFonts w:ascii="Arial" w:hAnsi="Arial" w:cs="Arial"/>
        </w:rPr>
        <w:t>The result of that seems to me to be that the trust moneys cannot possibly be traced into this common fund, which was standing to the debtor's credit at his death, to an extent of more than 25l. 18s., because, although prima facie under the second rule in In re Hallett's Estate any drawings out by the debtor ought to be attributed to the private moneys which he had at the bank and not to the trust moneys, yet, when the drawings out had reached such an amount that the whole of his private money part had been exhausted, it necessarily followed that the rest of the drawings must have been against trust moneys. There being on May 21, 1913, only 25l. 18s., in all, standing to the credit of the debtor's account, it is quite clear that on that day he must have denuded his account of all the trust moneys there - the whole 455l. 18s. 11d. - except to the extent of 25l. 18s.</w:t>
      </w:r>
      <w:r>
        <w:rPr>
          <w:rFonts w:ascii="Arial" w:hAnsi="Arial" w:cs="Arial"/>
        </w:rPr>
        <w:t>”</w:t>
      </w:r>
    </w:p>
    <w:p w14:paraId="6618A48E" w14:textId="13F028B7" w:rsidR="006417DC" w:rsidRDefault="00611BE8" w:rsidP="00C63735">
      <w:pPr>
        <w:spacing w:line="480" w:lineRule="auto"/>
        <w:jc w:val="both"/>
        <w:rPr>
          <w:rFonts w:ascii="Arial" w:eastAsia="Calibri" w:hAnsi="Arial" w:cs="Arial"/>
          <w:b/>
        </w:rPr>
      </w:pPr>
      <w:r w:rsidRPr="00611BE8">
        <w:rPr>
          <w:rFonts w:ascii="Arial" w:hAnsi="Arial" w:cs="Arial"/>
        </w:rPr>
        <w:t>Th</w:t>
      </w:r>
      <w:r w:rsidR="00C63735">
        <w:rPr>
          <w:rFonts w:ascii="Arial" w:hAnsi="Arial" w:cs="Arial"/>
        </w:rPr>
        <w:t>e</w:t>
      </w:r>
      <w:r w:rsidRPr="00611BE8">
        <w:rPr>
          <w:rFonts w:ascii="Arial" w:hAnsi="Arial" w:cs="Arial"/>
        </w:rPr>
        <w:t xml:space="preserve"> presumption can only be rebutted if the beneficiary can show that subsequent credits to the account were specially intended to replenish the trust fund. There must be some clear evidence of this intention, as it will not be presumed.</w:t>
      </w:r>
      <w:r w:rsidR="00C63735" w:rsidRPr="00611BE8">
        <w:rPr>
          <w:rFonts w:ascii="Arial" w:eastAsia="Calibri" w:hAnsi="Arial" w:cs="Arial"/>
          <w:b/>
        </w:rPr>
        <w:t xml:space="preserve"> </w:t>
      </w:r>
    </w:p>
    <w:p w14:paraId="17E6DEAA" w14:textId="77777777" w:rsidR="0027281C" w:rsidRDefault="0027281C" w:rsidP="6EDB20C5">
      <w:pPr>
        <w:spacing w:line="480" w:lineRule="auto"/>
        <w:jc w:val="both"/>
        <w:rPr>
          <w:rFonts w:ascii="Arial" w:eastAsia="Calibri" w:hAnsi="Arial" w:cs="Arial"/>
        </w:rPr>
      </w:pPr>
    </w:p>
    <w:p w14:paraId="234C936A" w14:textId="60C59B62" w:rsidR="00611BE8" w:rsidRPr="00F83958" w:rsidRDefault="6EDB20C5" w:rsidP="6EDB20C5">
      <w:pPr>
        <w:spacing w:line="480" w:lineRule="auto"/>
        <w:jc w:val="both"/>
        <w:rPr>
          <w:rFonts w:ascii="Arial" w:eastAsia="Calibri" w:hAnsi="Arial" w:cs="Arial"/>
        </w:rPr>
      </w:pPr>
      <w:r w:rsidRPr="00F83958">
        <w:rPr>
          <w:rFonts w:ascii="Arial" w:eastAsia="Calibri" w:hAnsi="Arial" w:cs="Arial"/>
        </w:rPr>
        <w:t>The rule in Clayton’s Case/FIFO</w:t>
      </w:r>
    </w:p>
    <w:p w14:paraId="37CD1519" w14:textId="4CFF39D3" w:rsidR="00C93D64" w:rsidRDefault="00C93D64" w:rsidP="00C63735">
      <w:pPr>
        <w:spacing w:line="480" w:lineRule="auto"/>
        <w:jc w:val="both"/>
        <w:rPr>
          <w:rFonts w:ascii="Arial" w:eastAsia="Calibri" w:hAnsi="Arial" w:cs="Arial"/>
        </w:rPr>
      </w:pPr>
      <w:r>
        <w:rPr>
          <w:rFonts w:ascii="Arial" w:eastAsia="Calibri" w:hAnsi="Arial" w:cs="Arial"/>
        </w:rPr>
        <w:t xml:space="preserve">This rule applies to situations in which </w:t>
      </w:r>
      <w:r w:rsidRPr="00C63735">
        <w:rPr>
          <w:rFonts w:ascii="Arial" w:eastAsia="Calibri" w:hAnsi="Arial" w:cs="Arial"/>
        </w:rPr>
        <w:t xml:space="preserve">monies of two trusts or the monies of one trust and of an innocent </w:t>
      </w:r>
      <w:r w:rsidR="006417DC">
        <w:rPr>
          <w:rFonts w:ascii="Arial" w:eastAsia="Calibri" w:hAnsi="Arial" w:cs="Arial"/>
        </w:rPr>
        <w:t xml:space="preserve">party </w:t>
      </w:r>
      <w:r w:rsidRPr="00C63735">
        <w:rPr>
          <w:rFonts w:ascii="Arial" w:eastAsia="Calibri" w:hAnsi="Arial" w:cs="Arial"/>
        </w:rPr>
        <w:t xml:space="preserve">have been mixed in a </w:t>
      </w:r>
      <w:r w:rsidR="00ED00A1">
        <w:rPr>
          <w:rFonts w:ascii="Arial" w:eastAsia="Calibri" w:hAnsi="Arial" w:cs="Arial"/>
        </w:rPr>
        <w:t xml:space="preserve">(current) </w:t>
      </w:r>
      <w:r w:rsidRPr="00C63735">
        <w:rPr>
          <w:rFonts w:ascii="Arial" w:eastAsia="Calibri" w:hAnsi="Arial" w:cs="Arial"/>
        </w:rPr>
        <w:t>bank account</w:t>
      </w:r>
      <w:r w:rsidR="006417DC">
        <w:rPr>
          <w:rFonts w:ascii="Arial" w:eastAsia="Calibri" w:hAnsi="Arial" w:cs="Arial"/>
        </w:rPr>
        <w:t>. It is based on the equitable maxim ‘where equities are equal, the first in time prevails’.</w:t>
      </w:r>
    </w:p>
    <w:p w14:paraId="34FAF1B8" w14:textId="6891C815" w:rsidR="00C93D64" w:rsidRDefault="6EDB20C5" w:rsidP="00C63735">
      <w:pPr>
        <w:spacing w:line="480" w:lineRule="auto"/>
        <w:jc w:val="both"/>
        <w:rPr>
          <w:rFonts w:ascii="Arial" w:eastAsia="Calibri" w:hAnsi="Arial" w:cs="Arial"/>
        </w:rPr>
      </w:pPr>
      <w:r w:rsidRPr="6EDB20C5">
        <w:rPr>
          <w:rFonts w:ascii="Arial" w:eastAsia="Calibri" w:hAnsi="Arial" w:cs="Arial"/>
        </w:rPr>
        <w:t xml:space="preserve">The rule in </w:t>
      </w:r>
      <w:r w:rsidRPr="6EDB20C5">
        <w:rPr>
          <w:rFonts w:ascii="Arial" w:eastAsia="Calibri" w:hAnsi="Arial" w:cs="Arial"/>
          <w:i/>
          <w:iCs/>
          <w:u w:val="single"/>
        </w:rPr>
        <w:t>Claytons’ Case</w:t>
      </w:r>
      <w:r w:rsidRPr="6EDB20C5">
        <w:rPr>
          <w:rFonts w:ascii="Arial" w:eastAsia="Calibri" w:hAnsi="Arial" w:cs="Arial"/>
          <w:u w:val="single"/>
        </w:rPr>
        <w:t xml:space="preserve"> (1817) 1 Mer 572</w:t>
      </w:r>
      <w:r w:rsidRPr="6EDB20C5">
        <w:rPr>
          <w:rFonts w:ascii="Arial" w:eastAsia="Calibri" w:hAnsi="Arial" w:cs="Arial"/>
        </w:rPr>
        <w:t xml:space="preserve"> (also called the ‘first in, first out (FIFO) rule’) is an evidential presumption that follows the chronology of credits and debits to a bank account to the effect that withdrawals out of the account are presumed to be made in the same order as payments in. The result is that if two separate credits are made to an account, followed by a debit, the debit will be attributed to the credit that was made first in time. </w:t>
      </w:r>
    </w:p>
    <w:p w14:paraId="46E0B6E0" w14:textId="6F1C7117" w:rsidR="00C93D64" w:rsidRDefault="00611BE8" w:rsidP="00C63735">
      <w:pPr>
        <w:spacing w:line="480" w:lineRule="auto"/>
        <w:jc w:val="both"/>
        <w:rPr>
          <w:rFonts w:ascii="Arial" w:hAnsi="Arial" w:cs="Arial"/>
        </w:rPr>
      </w:pPr>
      <w:r w:rsidRPr="00C63735">
        <w:rPr>
          <w:rFonts w:ascii="Arial" w:hAnsi="Arial" w:cs="Arial"/>
        </w:rPr>
        <w:t xml:space="preserve">The apparent inequity in the operation of the rule in Clayton’s Case opens it up to criticism. The problem with the rule is that it can produce unfair results where one innocent party will </w:t>
      </w:r>
      <w:r w:rsidRPr="00C63735">
        <w:rPr>
          <w:rFonts w:ascii="Arial" w:hAnsi="Arial" w:cs="Arial"/>
        </w:rPr>
        <w:lastRenderedPageBreak/>
        <w:t xml:space="preserve">recover in full and the other will recover nothing. It is now the case that the rule in Clayton’s Case will not be applied if it contradicted either the express or implied intentions of the claimants. In </w:t>
      </w:r>
      <w:r w:rsidRPr="00C63735">
        <w:rPr>
          <w:rFonts w:ascii="Arial" w:hAnsi="Arial" w:cs="Arial"/>
          <w:i/>
          <w:u w:val="single"/>
        </w:rPr>
        <w:t>Barlow Clowes International v Vaughan</w:t>
      </w:r>
      <w:r w:rsidRPr="00C63735">
        <w:rPr>
          <w:rFonts w:ascii="Arial" w:hAnsi="Arial" w:cs="Arial"/>
          <w:u w:val="single"/>
        </w:rPr>
        <w:t xml:space="preserve"> [1992] 4 All ER 22</w:t>
      </w:r>
      <w:r w:rsidRPr="00C63735">
        <w:rPr>
          <w:rFonts w:ascii="Arial" w:hAnsi="Arial" w:cs="Arial"/>
        </w:rPr>
        <w:t xml:space="preserve">, investors’ money was deposited with Barlow Clowes (an investment company), but the money was misapplied and the company was left owing £115m to investors with insufficient assets to cover the amount. The later investors argued that the rule in Clayton’s Case should be applied (as this would have benefited them). The Court of Appeal accepted the general rule but said that it could be departed from. In the circumstances of the case, the court decided that it would be against the express or presumed intention of the investors to apply the rule in Clayton’s case and adopted the </w:t>
      </w:r>
      <w:proofErr w:type="spellStart"/>
      <w:r w:rsidRPr="00C63735">
        <w:rPr>
          <w:rFonts w:ascii="Arial" w:hAnsi="Arial" w:cs="Arial"/>
          <w:i/>
        </w:rPr>
        <w:t>pari</w:t>
      </w:r>
      <w:proofErr w:type="spellEnd"/>
      <w:r w:rsidRPr="00C63735">
        <w:rPr>
          <w:rFonts w:ascii="Arial" w:hAnsi="Arial" w:cs="Arial"/>
          <w:i/>
        </w:rPr>
        <w:t xml:space="preserve"> passu</w:t>
      </w:r>
      <w:r w:rsidRPr="00C63735">
        <w:rPr>
          <w:rFonts w:ascii="Arial" w:hAnsi="Arial" w:cs="Arial"/>
        </w:rPr>
        <w:t xml:space="preserve"> solution instead (i.e., the investors would share the balance in proportion to their original contributions</w:t>
      </w:r>
      <w:r w:rsidR="006417DC">
        <w:rPr>
          <w:rFonts w:ascii="Arial" w:hAnsi="Arial" w:cs="Arial"/>
        </w:rPr>
        <w:t xml:space="preserve">, </w:t>
      </w:r>
      <w:r w:rsidR="006417DC" w:rsidRPr="006417DC">
        <w:rPr>
          <w:rFonts w:ascii="Arial" w:hAnsi="Arial" w:cs="Arial"/>
        </w:rPr>
        <w:t>with losses and gains being borne by the contributors rateably</w:t>
      </w:r>
      <w:r w:rsidRPr="00C63735">
        <w:rPr>
          <w:rFonts w:ascii="Arial" w:hAnsi="Arial" w:cs="Arial"/>
        </w:rPr>
        <w:t>).</w:t>
      </w:r>
      <w:r w:rsidR="00C93D64">
        <w:rPr>
          <w:rFonts w:ascii="Arial" w:hAnsi="Arial" w:cs="Arial"/>
        </w:rPr>
        <w:t xml:space="preserve"> According to Woolf</w:t>
      </w:r>
      <w:r w:rsidR="007C7A37">
        <w:rPr>
          <w:rFonts w:ascii="Arial" w:hAnsi="Arial" w:cs="Arial"/>
        </w:rPr>
        <w:t xml:space="preserve"> LJ</w:t>
      </w:r>
      <w:r w:rsidR="00C93D64">
        <w:rPr>
          <w:rFonts w:ascii="Arial" w:hAnsi="Arial" w:cs="Arial"/>
        </w:rPr>
        <w:t xml:space="preserve">, at 39: </w:t>
      </w:r>
    </w:p>
    <w:p w14:paraId="4BC011E3" w14:textId="15505BDC" w:rsidR="00611BE8" w:rsidRPr="00C63735" w:rsidRDefault="00C93D64" w:rsidP="00C93D64">
      <w:pPr>
        <w:spacing w:line="480" w:lineRule="auto"/>
        <w:ind w:left="720"/>
        <w:jc w:val="both"/>
        <w:rPr>
          <w:rFonts w:ascii="Arial" w:hAnsi="Arial" w:cs="Arial"/>
        </w:rPr>
      </w:pPr>
      <w:r>
        <w:rPr>
          <w:rFonts w:ascii="Arial" w:hAnsi="Arial" w:cs="Arial"/>
        </w:rPr>
        <w:t>“</w:t>
      </w:r>
      <w:r w:rsidRPr="00C93D64">
        <w:rPr>
          <w:rFonts w:ascii="Arial" w:hAnsi="Arial" w:cs="Arial"/>
        </w:rPr>
        <w:t>The rule need only be applied when it is convenient to do so and when its application can be said to do broad justice having regard to the nature of the competing claims</w:t>
      </w:r>
      <w:proofErr w:type="gramStart"/>
      <w:r w:rsidRPr="00C93D64">
        <w:rPr>
          <w:rFonts w:ascii="Arial" w:hAnsi="Arial" w:cs="Arial"/>
        </w:rPr>
        <w:t>. . . .</w:t>
      </w:r>
      <w:proofErr w:type="gramEnd"/>
      <w:r w:rsidRPr="00C93D64">
        <w:rPr>
          <w:rFonts w:ascii="Arial" w:hAnsi="Arial" w:cs="Arial"/>
        </w:rPr>
        <w:t xml:space="preserve"> It is not applied if this is the intention or presumed intention of the beneficiaries. The rule is sensibly not applied when the cost of applying it is likely to exhaust the fund available for the beneficiaries.</w:t>
      </w:r>
      <w:r>
        <w:rPr>
          <w:rFonts w:ascii="Arial" w:hAnsi="Arial" w:cs="Arial"/>
        </w:rPr>
        <w:t>”</w:t>
      </w:r>
    </w:p>
    <w:p w14:paraId="6819A23A" w14:textId="35F1AFE6" w:rsidR="00611BE8" w:rsidRDefault="00611BE8" w:rsidP="00C93D64">
      <w:pPr>
        <w:spacing w:line="480" w:lineRule="auto"/>
        <w:jc w:val="both"/>
        <w:rPr>
          <w:rFonts w:ascii="Arial" w:eastAsia="Calibri" w:hAnsi="Arial" w:cs="Arial"/>
        </w:rPr>
      </w:pPr>
      <w:r w:rsidRPr="00C93D64">
        <w:rPr>
          <w:rFonts w:ascii="Arial" w:eastAsia="Calibri" w:hAnsi="Arial" w:cs="Arial"/>
        </w:rPr>
        <w:t xml:space="preserve">In </w:t>
      </w:r>
      <w:r w:rsidRPr="00C93D64">
        <w:rPr>
          <w:rFonts w:ascii="Arial" w:eastAsia="Calibri" w:hAnsi="Arial" w:cs="Arial"/>
          <w:i/>
          <w:u w:val="single"/>
        </w:rPr>
        <w:t>Commerzbank AG v IMB Morgan plc</w:t>
      </w:r>
      <w:r w:rsidRPr="00C93D64">
        <w:rPr>
          <w:rFonts w:ascii="Arial" w:eastAsia="Calibri" w:hAnsi="Arial" w:cs="Arial"/>
          <w:u w:val="single"/>
        </w:rPr>
        <w:t xml:space="preserve"> [2004] EWHC 2771</w:t>
      </w:r>
      <w:r w:rsidRPr="00C93D64">
        <w:rPr>
          <w:rFonts w:ascii="Arial" w:eastAsia="Calibri" w:hAnsi="Arial" w:cs="Arial"/>
        </w:rPr>
        <w:t xml:space="preserve"> it was further held that, irrespective of the parties intentions, the rule would not be applied if it would produce an unjust result, and in </w:t>
      </w:r>
      <w:r w:rsidRPr="00C93D64">
        <w:rPr>
          <w:rFonts w:ascii="Arial" w:eastAsia="Calibri" w:hAnsi="Arial" w:cs="Arial"/>
          <w:i/>
          <w:u w:val="single"/>
        </w:rPr>
        <w:t xml:space="preserve">Charity Commission v </w:t>
      </w:r>
      <w:proofErr w:type="spellStart"/>
      <w:r w:rsidRPr="00C93D64">
        <w:rPr>
          <w:rFonts w:ascii="Arial" w:eastAsia="Calibri" w:hAnsi="Arial" w:cs="Arial"/>
          <w:i/>
          <w:u w:val="single"/>
        </w:rPr>
        <w:t>Framjee</w:t>
      </w:r>
      <w:proofErr w:type="spellEnd"/>
      <w:r w:rsidRPr="00C93D64">
        <w:rPr>
          <w:rFonts w:ascii="Arial" w:eastAsia="Calibri" w:hAnsi="Arial" w:cs="Arial"/>
          <w:u w:val="single"/>
        </w:rPr>
        <w:t xml:space="preserve"> [2014] EWHC 2507 (CH)</w:t>
      </w:r>
      <w:r w:rsidR="00C93D64">
        <w:rPr>
          <w:rFonts w:ascii="Arial" w:eastAsia="Calibri" w:hAnsi="Arial" w:cs="Arial"/>
        </w:rPr>
        <w:t xml:space="preserve"> Henderson J, at 49,</w:t>
      </w:r>
      <w:r w:rsidRPr="00C93D64">
        <w:rPr>
          <w:rFonts w:ascii="Arial" w:eastAsia="Calibri" w:hAnsi="Arial" w:cs="Arial"/>
        </w:rPr>
        <w:t xml:space="preserve"> stated that “although the rule in Clayton’s case is probably still the default rule in England and Wales which has to be applied in the absence of anything better, it may be displaced with relative ease in favour of a solution which produces a fairer result . . ..”</w:t>
      </w:r>
    </w:p>
    <w:p w14:paraId="02398447" w14:textId="77777777" w:rsidR="00DA3405" w:rsidRDefault="00DA3405" w:rsidP="00C93D64">
      <w:pPr>
        <w:spacing w:line="480" w:lineRule="auto"/>
        <w:jc w:val="both"/>
        <w:rPr>
          <w:rFonts w:ascii="Arial" w:eastAsia="Calibri" w:hAnsi="Arial" w:cs="Arial"/>
        </w:rPr>
      </w:pPr>
    </w:p>
    <w:p w14:paraId="6E057546" w14:textId="7B89651C" w:rsidR="004D2094" w:rsidRPr="00F83958" w:rsidRDefault="004D2094" w:rsidP="004D2094">
      <w:pPr>
        <w:spacing w:line="480" w:lineRule="auto"/>
        <w:jc w:val="both"/>
        <w:rPr>
          <w:rFonts w:ascii="Arial" w:eastAsia="Calibri" w:hAnsi="Arial" w:cs="Arial"/>
        </w:rPr>
      </w:pPr>
      <w:r w:rsidRPr="00F83958">
        <w:rPr>
          <w:rFonts w:ascii="Arial" w:eastAsia="Calibri" w:hAnsi="Arial" w:cs="Arial"/>
        </w:rPr>
        <w:t xml:space="preserve">The </w:t>
      </w:r>
      <w:r>
        <w:rPr>
          <w:rFonts w:ascii="Arial" w:eastAsia="Calibri" w:hAnsi="Arial" w:cs="Arial"/>
        </w:rPr>
        <w:t>rolling charge/North American approach</w:t>
      </w:r>
    </w:p>
    <w:p w14:paraId="25EA83B2" w14:textId="77777777" w:rsidR="00206904" w:rsidRDefault="00ED00A1" w:rsidP="00C93D64">
      <w:pPr>
        <w:spacing w:line="480" w:lineRule="auto"/>
        <w:jc w:val="both"/>
        <w:rPr>
          <w:rFonts w:ascii="Arial" w:eastAsia="Calibri" w:hAnsi="Arial" w:cs="Arial"/>
        </w:rPr>
      </w:pPr>
      <w:r>
        <w:rPr>
          <w:rFonts w:ascii="Arial" w:eastAsia="Calibri" w:hAnsi="Arial" w:cs="Arial"/>
        </w:rPr>
        <w:lastRenderedPageBreak/>
        <w:t xml:space="preserve">This rule avoids the outcome whereby later deposits into an account that have </w:t>
      </w:r>
      <w:r w:rsidRPr="00393C49">
        <w:rPr>
          <w:rFonts w:ascii="Arial" w:eastAsia="Calibri" w:hAnsi="Arial" w:cs="Arial"/>
          <w:i/>
          <w:iCs/>
        </w:rPr>
        <w:t>not</w:t>
      </w:r>
      <w:r>
        <w:rPr>
          <w:rFonts w:ascii="Arial" w:eastAsia="Calibri" w:hAnsi="Arial" w:cs="Arial"/>
        </w:rPr>
        <w:t xml:space="preserve"> been </w:t>
      </w:r>
      <w:r w:rsidR="00264584">
        <w:rPr>
          <w:rFonts w:ascii="Arial" w:eastAsia="Calibri" w:hAnsi="Arial" w:cs="Arial"/>
        </w:rPr>
        <w:t>withdrawn</w:t>
      </w:r>
      <w:r>
        <w:rPr>
          <w:rFonts w:ascii="Arial" w:eastAsia="Calibri" w:hAnsi="Arial" w:cs="Arial"/>
        </w:rPr>
        <w:t xml:space="preserve"> subsidise earlier deposits that </w:t>
      </w:r>
      <w:r w:rsidRPr="00393C49">
        <w:rPr>
          <w:rFonts w:ascii="Arial" w:eastAsia="Calibri" w:hAnsi="Arial" w:cs="Arial"/>
          <w:i/>
          <w:iCs/>
        </w:rPr>
        <w:t>have</w:t>
      </w:r>
      <w:r>
        <w:rPr>
          <w:rFonts w:ascii="Arial" w:eastAsia="Calibri" w:hAnsi="Arial" w:cs="Arial"/>
        </w:rPr>
        <w:t xml:space="preserve"> been </w:t>
      </w:r>
      <w:r w:rsidR="00264584">
        <w:rPr>
          <w:rFonts w:ascii="Arial" w:eastAsia="Calibri" w:hAnsi="Arial" w:cs="Arial"/>
        </w:rPr>
        <w:t>withdrawn</w:t>
      </w:r>
      <w:r>
        <w:rPr>
          <w:rFonts w:ascii="Arial" w:eastAsia="Calibri" w:hAnsi="Arial" w:cs="Arial"/>
        </w:rPr>
        <w:t xml:space="preserve">. </w:t>
      </w:r>
      <w:r w:rsidR="004D2094" w:rsidRPr="004D2094">
        <w:rPr>
          <w:rFonts w:ascii="Arial" w:eastAsia="Calibri" w:hAnsi="Arial" w:cs="Arial"/>
        </w:rPr>
        <w:t xml:space="preserve">Each shortfall-generating withdrawal </w:t>
      </w:r>
      <w:r w:rsidR="00264584">
        <w:rPr>
          <w:rFonts w:ascii="Arial" w:eastAsia="Calibri" w:hAnsi="Arial" w:cs="Arial"/>
        </w:rPr>
        <w:t>is</w:t>
      </w:r>
      <w:r w:rsidR="004D2094" w:rsidRPr="004D2094">
        <w:rPr>
          <w:rFonts w:ascii="Arial" w:eastAsia="Calibri" w:hAnsi="Arial" w:cs="Arial"/>
        </w:rPr>
        <w:t xml:space="preserve"> treated as a </w:t>
      </w:r>
      <w:r w:rsidR="004D2094" w:rsidRPr="00393C49">
        <w:rPr>
          <w:rFonts w:ascii="Arial" w:eastAsia="Calibri" w:hAnsi="Arial" w:cs="Arial"/>
          <w:i/>
          <w:iCs/>
        </w:rPr>
        <w:t>pro rata</w:t>
      </w:r>
      <w:r w:rsidR="004D2094" w:rsidRPr="004D2094">
        <w:rPr>
          <w:rFonts w:ascii="Arial" w:eastAsia="Calibri" w:hAnsi="Arial" w:cs="Arial"/>
        </w:rPr>
        <w:t xml:space="preserve"> reduction of the deposits held at the moment immediately prior </w:t>
      </w:r>
      <w:r w:rsidR="00264584">
        <w:rPr>
          <w:rFonts w:ascii="Arial" w:eastAsia="Calibri" w:hAnsi="Arial" w:cs="Arial"/>
        </w:rPr>
        <w:t xml:space="preserve">to </w:t>
      </w:r>
      <w:r w:rsidR="004D2094" w:rsidRPr="004D2094">
        <w:rPr>
          <w:rFonts w:ascii="Arial" w:eastAsia="Calibri" w:hAnsi="Arial" w:cs="Arial"/>
        </w:rPr>
        <w:t>the withdrawal.</w:t>
      </w:r>
      <w:r w:rsidR="00264584">
        <w:rPr>
          <w:rFonts w:ascii="Arial" w:eastAsia="Calibri" w:hAnsi="Arial" w:cs="Arial"/>
        </w:rPr>
        <w:t xml:space="preserve"> So, for example, if </w:t>
      </w:r>
      <w:r w:rsidR="00393C49">
        <w:rPr>
          <w:rFonts w:ascii="Arial" w:eastAsia="Calibri" w:hAnsi="Arial" w:cs="Arial"/>
        </w:rPr>
        <w:t xml:space="preserve">three innocent parties </w:t>
      </w:r>
      <w:r w:rsidR="00264584">
        <w:rPr>
          <w:rFonts w:ascii="Arial" w:eastAsia="Calibri" w:hAnsi="Arial" w:cs="Arial"/>
        </w:rPr>
        <w:t>A, B and C contribute £100, £200 and £400 respectively to an account, from which £100 is then withdrawn</w:t>
      </w:r>
      <w:r w:rsidR="00393C49">
        <w:rPr>
          <w:rFonts w:ascii="Arial" w:eastAsia="Calibri" w:hAnsi="Arial" w:cs="Arial"/>
        </w:rPr>
        <w:t xml:space="preserve"> in breach</w:t>
      </w:r>
      <w:r w:rsidR="00264584">
        <w:rPr>
          <w:rFonts w:ascii="Arial" w:eastAsia="Calibri" w:hAnsi="Arial" w:cs="Arial"/>
        </w:rPr>
        <w:t>, the remaining £600 will be split by dividing the £100 withdrawal by seven parts, of which one part is attributed as a loss to A, two parts are attributed as a loss to B and four parts are attributed as a loss to C</w:t>
      </w:r>
      <w:r w:rsidR="00393C49">
        <w:rPr>
          <w:rFonts w:ascii="Arial" w:eastAsia="Calibri" w:hAnsi="Arial" w:cs="Arial"/>
        </w:rPr>
        <w:t xml:space="preserve"> in accordance with the size of their contributions</w:t>
      </w:r>
      <w:r w:rsidR="00264584">
        <w:rPr>
          <w:rFonts w:ascii="Arial" w:eastAsia="Calibri" w:hAnsi="Arial" w:cs="Arial"/>
        </w:rPr>
        <w:t xml:space="preserve">. Accordingly, A receives </w:t>
      </w:r>
      <w:r w:rsidR="00393C49">
        <w:rPr>
          <w:rFonts w:ascii="Arial" w:eastAsia="Calibri" w:hAnsi="Arial" w:cs="Arial"/>
        </w:rPr>
        <w:t xml:space="preserve">£85.72 </w:t>
      </w:r>
      <w:r w:rsidR="00264584">
        <w:rPr>
          <w:rFonts w:ascii="Arial" w:eastAsia="Calibri" w:hAnsi="Arial" w:cs="Arial"/>
        </w:rPr>
        <w:t xml:space="preserve">(£100-£14.28), B receives </w:t>
      </w:r>
      <w:r w:rsidR="00393C49">
        <w:rPr>
          <w:rFonts w:ascii="Arial" w:eastAsia="Calibri" w:hAnsi="Arial" w:cs="Arial"/>
        </w:rPr>
        <w:t xml:space="preserve">£171.44 </w:t>
      </w:r>
      <w:r w:rsidR="00264584">
        <w:rPr>
          <w:rFonts w:ascii="Arial" w:eastAsia="Calibri" w:hAnsi="Arial" w:cs="Arial"/>
        </w:rPr>
        <w:t>(£200-£28.56) and C receives</w:t>
      </w:r>
      <w:r w:rsidR="00393C49">
        <w:rPr>
          <w:rFonts w:ascii="Arial" w:eastAsia="Calibri" w:hAnsi="Arial" w:cs="Arial"/>
        </w:rPr>
        <w:t xml:space="preserve"> £342.88</w:t>
      </w:r>
      <w:r w:rsidR="00264584">
        <w:rPr>
          <w:rFonts w:ascii="Arial" w:eastAsia="Calibri" w:hAnsi="Arial" w:cs="Arial"/>
        </w:rPr>
        <w:t xml:space="preserve"> (£400-£57.12). </w:t>
      </w:r>
      <w:r w:rsidR="00393C49">
        <w:rPr>
          <w:rFonts w:ascii="Arial" w:eastAsia="Calibri" w:hAnsi="Arial" w:cs="Arial"/>
        </w:rPr>
        <w:t xml:space="preserve">If another withdrawal is then made, the same approach is adopted, starting from the position that A contributed £85.72, B £171.44 and C £342.88 to the account. </w:t>
      </w:r>
    </w:p>
    <w:p w14:paraId="0BAC30A4" w14:textId="0BD010AB" w:rsidR="004D2094" w:rsidRPr="00C93D64" w:rsidRDefault="00393C49" w:rsidP="00C93D64">
      <w:pPr>
        <w:spacing w:line="480" w:lineRule="auto"/>
        <w:jc w:val="both"/>
        <w:rPr>
          <w:rFonts w:ascii="Arial" w:eastAsia="Calibri" w:hAnsi="Arial" w:cs="Arial"/>
        </w:rPr>
      </w:pPr>
      <w:r>
        <w:rPr>
          <w:rFonts w:ascii="Arial" w:eastAsia="Calibri" w:hAnsi="Arial" w:cs="Arial"/>
        </w:rPr>
        <w:t>As you will realise, th</w:t>
      </w:r>
      <w:r w:rsidR="00206904">
        <w:rPr>
          <w:rFonts w:ascii="Arial" w:eastAsia="Calibri" w:hAnsi="Arial" w:cs="Arial"/>
        </w:rPr>
        <w:t xml:space="preserve">e calculations required for this </w:t>
      </w:r>
      <w:r>
        <w:rPr>
          <w:rFonts w:ascii="Arial" w:eastAsia="Calibri" w:hAnsi="Arial" w:cs="Arial"/>
        </w:rPr>
        <w:t>approach become more complex the more contributors there are and the more withdrawals have been made. It also requires</w:t>
      </w:r>
      <w:r w:rsidR="00206904">
        <w:rPr>
          <w:rFonts w:ascii="Arial" w:eastAsia="Calibri" w:hAnsi="Arial" w:cs="Arial"/>
        </w:rPr>
        <w:t xml:space="preserve"> accurate transaction</w:t>
      </w:r>
      <w:r>
        <w:rPr>
          <w:rFonts w:ascii="Arial" w:eastAsia="Calibri" w:hAnsi="Arial" w:cs="Arial"/>
        </w:rPr>
        <w:t xml:space="preserve"> records. Unsurprisingly, therefore</w:t>
      </w:r>
      <w:r w:rsidR="00206904">
        <w:rPr>
          <w:rFonts w:ascii="Arial" w:eastAsia="Calibri" w:hAnsi="Arial" w:cs="Arial"/>
        </w:rPr>
        <w:t>,</w:t>
      </w:r>
      <w:r>
        <w:rPr>
          <w:rFonts w:ascii="Arial" w:eastAsia="Calibri" w:hAnsi="Arial" w:cs="Arial"/>
        </w:rPr>
        <w:t xml:space="preserve"> it was held in </w:t>
      </w:r>
      <w:r w:rsidRPr="00C63735">
        <w:rPr>
          <w:rFonts w:ascii="Arial" w:hAnsi="Arial" w:cs="Arial"/>
          <w:i/>
          <w:u w:val="single"/>
        </w:rPr>
        <w:t>Barlow Clowes International v Vaughan</w:t>
      </w:r>
      <w:r w:rsidRPr="00C63735">
        <w:rPr>
          <w:rFonts w:ascii="Arial" w:hAnsi="Arial" w:cs="Arial"/>
          <w:u w:val="single"/>
        </w:rPr>
        <w:t xml:space="preserve"> [1992] 4 All ER 22</w:t>
      </w:r>
      <w:r w:rsidR="004D2094" w:rsidRPr="004D2094">
        <w:rPr>
          <w:rFonts w:ascii="Arial" w:eastAsia="Calibri" w:hAnsi="Arial" w:cs="Arial"/>
        </w:rPr>
        <w:t xml:space="preserve"> </w:t>
      </w:r>
      <w:r>
        <w:rPr>
          <w:rFonts w:ascii="Arial" w:eastAsia="Calibri" w:hAnsi="Arial" w:cs="Arial"/>
        </w:rPr>
        <w:t xml:space="preserve">that </w:t>
      </w:r>
      <w:r w:rsidR="004D2094" w:rsidRPr="004D2094">
        <w:rPr>
          <w:rFonts w:ascii="Arial" w:eastAsia="Calibri" w:hAnsi="Arial" w:cs="Arial"/>
        </w:rPr>
        <w:t>this approach</w:t>
      </w:r>
      <w:r w:rsidR="00206904">
        <w:rPr>
          <w:rFonts w:ascii="Arial" w:eastAsia="Calibri" w:hAnsi="Arial" w:cs="Arial"/>
        </w:rPr>
        <w:t xml:space="preserve"> was too costly in the circumstances: “</w:t>
      </w:r>
      <w:r w:rsidR="00206904" w:rsidRPr="00206904">
        <w:rPr>
          <w:rFonts w:ascii="Arial" w:eastAsia="Calibri" w:hAnsi="Arial" w:cs="Arial"/>
        </w:rPr>
        <w:t>This solution should produce the most just result, but in this case, as counsel accept it is not a live contender, since while it might just be possible to perform the exercise the costs involved would be out of all proportion even to the sizeable sums which are here involved</w:t>
      </w:r>
      <w:r w:rsidR="00206904">
        <w:rPr>
          <w:rFonts w:ascii="Arial" w:eastAsia="Calibri" w:hAnsi="Arial" w:cs="Arial"/>
        </w:rPr>
        <w:t>” (Woolf</w:t>
      </w:r>
      <w:r w:rsidR="007C7A37">
        <w:rPr>
          <w:rFonts w:ascii="Arial" w:eastAsia="Calibri" w:hAnsi="Arial" w:cs="Arial"/>
        </w:rPr>
        <w:t xml:space="preserve"> LJ</w:t>
      </w:r>
      <w:r w:rsidR="00206904">
        <w:rPr>
          <w:rFonts w:ascii="Arial" w:eastAsia="Calibri" w:hAnsi="Arial" w:cs="Arial"/>
        </w:rPr>
        <w:t>). Costs of administrating an insolvency need to be considered, as they are likely to come out of the asset pool.</w:t>
      </w:r>
    </w:p>
    <w:bookmarkEnd w:id="0"/>
    <w:bookmarkEnd w:id="1"/>
    <w:p w14:paraId="4ABEDBEF" w14:textId="67C47F78" w:rsidR="00657E40" w:rsidRPr="00657E40" w:rsidRDefault="00657E40" w:rsidP="7728179B">
      <w:pPr>
        <w:pStyle w:val="ListParagraph"/>
        <w:spacing w:after="120" w:line="480" w:lineRule="auto"/>
        <w:ind w:left="357"/>
        <w:jc w:val="both"/>
        <w:rPr>
          <w:rFonts w:ascii="Arial" w:eastAsia="Times New Roman" w:hAnsi="Arial" w:cs="Arial"/>
          <w:lang w:bidi="en-US"/>
        </w:rPr>
      </w:pPr>
    </w:p>
    <w:sectPr w:rsidR="00657E40" w:rsidRPr="00657E40" w:rsidSect="00B869B7">
      <w:headerReference w:type="default" r:id="rId9"/>
      <w:footerReference w:type="default" r:id="rId10"/>
      <w:headerReference w:type="first" r:id="rId11"/>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476D5F" w14:textId="77777777" w:rsidR="008E0AFB" w:rsidRDefault="008E0AFB" w:rsidP="00177ED8">
      <w:pPr>
        <w:spacing w:after="0" w:line="240" w:lineRule="auto"/>
      </w:pPr>
      <w:r>
        <w:separator/>
      </w:r>
    </w:p>
  </w:endnote>
  <w:endnote w:type="continuationSeparator" w:id="0">
    <w:p w14:paraId="11E2E278" w14:textId="77777777" w:rsidR="008E0AFB" w:rsidRDefault="008E0AFB"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5F7A13DA" w14:textId="5F07CEB5"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B76527">
              <w:rPr>
                <w:rFonts w:ascii="Arial" w:hAnsi="Arial" w:cs="Arial"/>
                <w:bCs/>
                <w:noProof/>
                <w:sz w:val="20"/>
                <w:szCs w:val="20"/>
              </w:rPr>
              <w:t>12</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B76527">
              <w:rPr>
                <w:rFonts w:ascii="Arial" w:hAnsi="Arial" w:cs="Arial"/>
                <w:bCs/>
                <w:noProof/>
                <w:sz w:val="20"/>
                <w:szCs w:val="20"/>
              </w:rPr>
              <w:t>12</w:t>
            </w:r>
            <w:r w:rsidRPr="00B869B7">
              <w:rPr>
                <w:rFonts w:ascii="Arial" w:hAnsi="Arial" w:cs="Arial"/>
                <w:bCs/>
                <w:sz w:val="20"/>
                <w:szCs w:val="20"/>
              </w:rPr>
              <w:fldChar w:fldCharType="end"/>
            </w:r>
          </w:p>
        </w:sdtContent>
      </w:sdt>
    </w:sdtContent>
  </w:sdt>
  <w:p w14:paraId="69588BCD"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4A68C6" w14:textId="77777777" w:rsidR="008E0AFB" w:rsidRDefault="008E0AFB" w:rsidP="00177ED8">
      <w:pPr>
        <w:spacing w:after="0" w:line="240" w:lineRule="auto"/>
      </w:pPr>
      <w:r>
        <w:separator/>
      </w:r>
    </w:p>
  </w:footnote>
  <w:footnote w:type="continuationSeparator" w:id="0">
    <w:p w14:paraId="6C7C8E7B" w14:textId="77777777" w:rsidR="008E0AFB" w:rsidRDefault="008E0AFB"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C5858A" w14:textId="5FB2ED51" w:rsidR="00F77345" w:rsidRDefault="00F33B97" w:rsidP="00F33B97">
    <w:pPr>
      <w:pStyle w:val="Header"/>
      <w:jc w:val="right"/>
    </w:pPr>
    <w:r>
      <w:rPr>
        <w:rFonts w:ascii="Arial" w:hAnsi="Arial" w:cs="Arial"/>
      </w:rPr>
      <w:t>Trusts Law Week 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CA92F8" w14:textId="4D0AE1EB" w:rsidR="00F33B97" w:rsidRDefault="00F33B97">
    <w:pPr>
      <w:pStyle w:val="Header"/>
    </w:pPr>
  </w:p>
  <w:p w14:paraId="405A6695"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671E8"/>
    <w:multiLevelType w:val="hybridMultilevel"/>
    <w:tmpl w:val="46744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6C51C4"/>
    <w:multiLevelType w:val="hybridMultilevel"/>
    <w:tmpl w:val="4B101040"/>
    <w:lvl w:ilvl="0" w:tplc="E01064CA">
      <w:start w:val="1"/>
      <w:numFmt w:val="bullet"/>
      <w:lvlText w:val=""/>
      <w:lvlJc w:val="left"/>
      <w:pPr>
        <w:ind w:left="720" w:hanging="360"/>
      </w:pPr>
      <w:rPr>
        <w:rFonts w:ascii="Symbol" w:hAnsi="Symbol" w:hint="default"/>
      </w:rPr>
    </w:lvl>
    <w:lvl w:ilvl="1" w:tplc="07746D78">
      <w:start w:val="1"/>
      <w:numFmt w:val="bullet"/>
      <w:lvlText w:val="o"/>
      <w:lvlJc w:val="left"/>
      <w:pPr>
        <w:ind w:left="1440" w:hanging="360"/>
      </w:pPr>
      <w:rPr>
        <w:rFonts w:ascii="Courier New" w:hAnsi="Courier New" w:hint="default"/>
      </w:rPr>
    </w:lvl>
    <w:lvl w:ilvl="2" w:tplc="3710C65C">
      <w:start w:val="1"/>
      <w:numFmt w:val="bullet"/>
      <w:lvlText w:val=""/>
      <w:lvlJc w:val="left"/>
      <w:pPr>
        <w:ind w:left="2160" w:hanging="360"/>
      </w:pPr>
      <w:rPr>
        <w:rFonts w:ascii="Wingdings" w:hAnsi="Wingdings" w:hint="default"/>
      </w:rPr>
    </w:lvl>
    <w:lvl w:ilvl="3" w:tplc="61B4B1E6">
      <w:start w:val="1"/>
      <w:numFmt w:val="bullet"/>
      <w:lvlText w:val=""/>
      <w:lvlJc w:val="left"/>
      <w:pPr>
        <w:ind w:left="2880" w:hanging="360"/>
      </w:pPr>
      <w:rPr>
        <w:rFonts w:ascii="Symbol" w:hAnsi="Symbol" w:hint="default"/>
      </w:rPr>
    </w:lvl>
    <w:lvl w:ilvl="4" w:tplc="361EABD2">
      <w:start w:val="1"/>
      <w:numFmt w:val="bullet"/>
      <w:lvlText w:val="o"/>
      <w:lvlJc w:val="left"/>
      <w:pPr>
        <w:ind w:left="3600" w:hanging="360"/>
      </w:pPr>
      <w:rPr>
        <w:rFonts w:ascii="Courier New" w:hAnsi="Courier New" w:hint="default"/>
      </w:rPr>
    </w:lvl>
    <w:lvl w:ilvl="5" w:tplc="0BDEB2A4">
      <w:start w:val="1"/>
      <w:numFmt w:val="bullet"/>
      <w:lvlText w:val=""/>
      <w:lvlJc w:val="left"/>
      <w:pPr>
        <w:ind w:left="4320" w:hanging="360"/>
      </w:pPr>
      <w:rPr>
        <w:rFonts w:ascii="Wingdings" w:hAnsi="Wingdings" w:hint="default"/>
      </w:rPr>
    </w:lvl>
    <w:lvl w:ilvl="6" w:tplc="C41CFAAC">
      <w:start w:val="1"/>
      <w:numFmt w:val="bullet"/>
      <w:lvlText w:val=""/>
      <w:lvlJc w:val="left"/>
      <w:pPr>
        <w:ind w:left="5040" w:hanging="360"/>
      </w:pPr>
      <w:rPr>
        <w:rFonts w:ascii="Symbol" w:hAnsi="Symbol" w:hint="default"/>
      </w:rPr>
    </w:lvl>
    <w:lvl w:ilvl="7" w:tplc="4AAC0490">
      <w:start w:val="1"/>
      <w:numFmt w:val="bullet"/>
      <w:lvlText w:val="o"/>
      <w:lvlJc w:val="left"/>
      <w:pPr>
        <w:ind w:left="5760" w:hanging="360"/>
      </w:pPr>
      <w:rPr>
        <w:rFonts w:ascii="Courier New" w:hAnsi="Courier New" w:hint="default"/>
      </w:rPr>
    </w:lvl>
    <w:lvl w:ilvl="8" w:tplc="79E23FCE">
      <w:start w:val="1"/>
      <w:numFmt w:val="bullet"/>
      <w:lvlText w:val=""/>
      <w:lvlJc w:val="left"/>
      <w:pPr>
        <w:ind w:left="6480" w:hanging="360"/>
      </w:pPr>
      <w:rPr>
        <w:rFonts w:ascii="Wingdings" w:hAnsi="Wingdings" w:hint="default"/>
      </w:rPr>
    </w:lvl>
  </w:abstractNum>
  <w:abstractNum w:abstractNumId="2" w15:restartNumberingAfterBreak="0">
    <w:nsid w:val="1D5E57B4"/>
    <w:multiLevelType w:val="hybridMultilevel"/>
    <w:tmpl w:val="F39AE014"/>
    <w:lvl w:ilvl="0" w:tplc="F3047A7C">
      <w:start w:val="1"/>
      <w:numFmt w:val="decimal"/>
      <w:lvlText w:val="(%1)"/>
      <w:lvlJc w:val="left"/>
      <w:pPr>
        <w:ind w:left="360" w:hanging="360"/>
      </w:pPr>
      <w:rPr>
        <w:rFonts w:asciiTheme="minorHAnsi" w:eastAsia="Times New Roman" w:hAnsiTheme="minorHAnsi" w:cstheme="minorHAnsi"/>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D6614A"/>
    <w:multiLevelType w:val="hybridMultilevel"/>
    <w:tmpl w:val="3EF811DC"/>
    <w:lvl w:ilvl="0" w:tplc="FB686F5C">
      <w:start w:val="1"/>
      <w:numFmt w:val="bullet"/>
      <w:lvlText w:val=""/>
      <w:lvlJc w:val="left"/>
      <w:pPr>
        <w:ind w:left="360" w:hanging="360"/>
      </w:pPr>
      <w:rPr>
        <w:rFonts w:ascii="Wingdings" w:hAnsi="Wingdings" w:hint="default"/>
        <w:b/>
        <w:bCs/>
        <w:color w:val="653265"/>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05045B3"/>
    <w:multiLevelType w:val="hybridMultilevel"/>
    <w:tmpl w:val="4FEC7EE2"/>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055020F"/>
    <w:multiLevelType w:val="hybridMultilevel"/>
    <w:tmpl w:val="F1640B2A"/>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BC317E6"/>
    <w:multiLevelType w:val="hybridMultilevel"/>
    <w:tmpl w:val="12406DFC"/>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0AE2F79"/>
    <w:multiLevelType w:val="hybridMultilevel"/>
    <w:tmpl w:val="9AA4EC3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3661E40"/>
    <w:multiLevelType w:val="hybridMultilevel"/>
    <w:tmpl w:val="52BC8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885E17"/>
    <w:multiLevelType w:val="hybridMultilevel"/>
    <w:tmpl w:val="E710E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483CCD"/>
    <w:multiLevelType w:val="hybridMultilevel"/>
    <w:tmpl w:val="4AD6849A"/>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D80230C"/>
    <w:multiLevelType w:val="hybridMultilevel"/>
    <w:tmpl w:val="6A189C92"/>
    <w:lvl w:ilvl="0" w:tplc="0B4EF84E">
      <w:start w:val="1"/>
      <w:numFmt w:val="bullet"/>
      <w:lvlText w:val=""/>
      <w:lvlJc w:val="left"/>
      <w:pPr>
        <w:tabs>
          <w:tab w:val="num" w:pos="720"/>
        </w:tabs>
        <w:ind w:left="720" w:hanging="360"/>
      </w:pPr>
      <w:rPr>
        <w:rFonts w:ascii="Symbol" w:hAnsi="Symbol" w:hint="default"/>
        <w:sz w:val="20"/>
      </w:rPr>
    </w:lvl>
    <w:lvl w:ilvl="1" w:tplc="69E27F8E" w:tentative="1">
      <w:start w:val="1"/>
      <w:numFmt w:val="bullet"/>
      <w:lvlText w:val=""/>
      <w:lvlJc w:val="left"/>
      <w:pPr>
        <w:tabs>
          <w:tab w:val="num" w:pos="1440"/>
        </w:tabs>
        <w:ind w:left="1440" w:hanging="360"/>
      </w:pPr>
      <w:rPr>
        <w:rFonts w:ascii="Symbol" w:hAnsi="Symbol" w:hint="default"/>
        <w:sz w:val="20"/>
      </w:rPr>
    </w:lvl>
    <w:lvl w:ilvl="2" w:tplc="F0A23168" w:tentative="1">
      <w:start w:val="1"/>
      <w:numFmt w:val="bullet"/>
      <w:lvlText w:val=""/>
      <w:lvlJc w:val="left"/>
      <w:pPr>
        <w:tabs>
          <w:tab w:val="num" w:pos="2160"/>
        </w:tabs>
        <w:ind w:left="2160" w:hanging="360"/>
      </w:pPr>
      <w:rPr>
        <w:rFonts w:ascii="Symbol" w:hAnsi="Symbol" w:hint="default"/>
        <w:sz w:val="20"/>
      </w:rPr>
    </w:lvl>
    <w:lvl w:ilvl="3" w:tplc="CA9A09A4" w:tentative="1">
      <w:start w:val="1"/>
      <w:numFmt w:val="bullet"/>
      <w:lvlText w:val=""/>
      <w:lvlJc w:val="left"/>
      <w:pPr>
        <w:tabs>
          <w:tab w:val="num" w:pos="2880"/>
        </w:tabs>
        <w:ind w:left="2880" w:hanging="360"/>
      </w:pPr>
      <w:rPr>
        <w:rFonts w:ascii="Symbol" w:hAnsi="Symbol" w:hint="default"/>
        <w:sz w:val="20"/>
      </w:rPr>
    </w:lvl>
    <w:lvl w:ilvl="4" w:tplc="5D2CD450" w:tentative="1">
      <w:start w:val="1"/>
      <w:numFmt w:val="bullet"/>
      <w:lvlText w:val=""/>
      <w:lvlJc w:val="left"/>
      <w:pPr>
        <w:tabs>
          <w:tab w:val="num" w:pos="3600"/>
        </w:tabs>
        <w:ind w:left="3600" w:hanging="360"/>
      </w:pPr>
      <w:rPr>
        <w:rFonts w:ascii="Symbol" w:hAnsi="Symbol" w:hint="default"/>
        <w:sz w:val="20"/>
      </w:rPr>
    </w:lvl>
    <w:lvl w:ilvl="5" w:tplc="B68CAE9E" w:tentative="1">
      <w:start w:val="1"/>
      <w:numFmt w:val="bullet"/>
      <w:lvlText w:val=""/>
      <w:lvlJc w:val="left"/>
      <w:pPr>
        <w:tabs>
          <w:tab w:val="num" w:pos="4320"/>
        </w:tabs>
        <w:ind w:left="4320" w:hanging="360"/>
      </w:pPr>
      <w:rPr>
        <w:rFonts w:ascii="Symbol" w:hAnsi="Symbol" w:hint="default"/>
        <w:sz w:val="20"/>
      </w:rPr>
    </w:lvl>
    <w:lvl w:ilvl="6" w:tplc="81A05E74" w:tentative="1">
      <w:start w:val="1"/>
      <w:numFmt w:val="bullet"/>
      <w:lvlText w:val=""/>
      <w:lvlJc w:val="left"/>
      <w:pPr>
        <w:tabs>
          <w:tab w:val="num" w:pos="5040"/>
        </w:tabs>
        <w:ind w:left="5040" w:hanging="360"/>
      </w:pPr>
      <w:rPr>
        <w:rFonts w:ascii="Symbol" w:hAnsi="Symbol" w:hint="default"/>
        <w:sz w:val="20"/>
      </w:rPr>
    </w:lvl>
    <w:lvl w:ilvl="7" w:tplc="F578BE7A" w:tentative="1">
      <w:start w:val="1"/>
      <w:numFmt w:val="bullet"/>
      <w:lvlText w:val=""/>
      <w:lvlJc w:val="left"/>
      <w:pPr>
        <w:tabs>
          <w:tab w:val="num" w:pos="5760"/>
        </w:tabs>
        <w:ind w:left="5760" w:hanging="360"/>
      </w:pPr>
      <w:rPr>
        <w:rFonts w:ascii="Symbol" w:hAnsi="Symbol" w:hint="default"/>
        <w:sz w:val="20"/>
      </w:rPr>
    </w:lvl>
    <w:lvl w:ilvl="8" w:tplc="DD36086E"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796735"/>
    <w:multiLevelType w:val="hybridMultilevel"/>
    <w:tmpl w:val="3E1AD656"/>
    <w:lvl w:ilvl="0" w:tplc="F2DED12C">
      <w:start w:val="1"/>
      <w:numFmt w:val="bullet"/>
      <w:lvlText w:val=""/>
      <w:lvlJc w:val="left"/>
      <w:pPr>
        <w:tabs>
          <w:tab w:val="num" w:pos="720"/>
        </w:tabs>
        <w:ind w:left="720" w:hanging="360"/>
      </w:pPr>
      <w:rPr>
        <w:rFonts w:ascii="Symbol" w:hAnsi="Symbol" w:hint="default"/>
        <w:sz w:val="20"/>
      </w:rPr>
    </w:lvl>
    <w:lvl w:ilvl="1" w:tplc="36F4A50E" w:tentative="1">
      <w:start w:val="1"/>
      <w:numFmt w:val="bullet"/>
      <w:lvlText w:val=""/>
      <w:lvlJc w:val="left"/>
      <w:pPr>
        <w:tabs>
          <w:tab w:val="num" w:pos="1440"/>
        </w:tabs>
        <w:ind w:left="1440" w:hanging="360"/>
      </w:pPr>
      <w:rPr>
        <w:rFonts w:ascii="Symbol" w:hAnsi="Symbol" w:hint="default"/>
        <w:sz w:val="20"/>
      </w:rPr>
    </w:lvl>
    <w:lvl w:ilvl="2" w:tplc="8DB249DA" w:tentative="1">
      <w:start w:val="1"/>
      <w:numFmt w:val="bullet"/>
      <w:lvlText w:val=""/>
      <w:lvlJc w:val="left"/>
      <w:pPr>
        <w:tabs>
          <w:tab w:val="num" w:pos="2160"/>
        </w:tabs>
        <w:ind w:left="2160" w:hanging="360"/>
      </w:pPr>
      <w:rPr>
        <w:rFonts w:ascii="Symbol" w:hAnsi="Symbol" w:hint="default"/>
        <w:sz w:val="20"/>
      </w:rPr>
    </w:lvl>
    <w:lvl w:ilvl="3" w:tplc="C4629E06" w:tentative="1">
      <w:start w:val="1"/>
      <w:numFmt w:val="bullet"/>
      <w:lvlText w:val=""/>
      <w:lvlJc w:val="left"/>
      <w:pPr>
        <w:tabs>
          <w:tab w:val="num" w:pos="2880"/>
        </w:tabs>
        <w:ind w:left="2880" w:hanging="360"/>
      </w:pPr>
      <w:rPr>
        <w:rFonts w:ascii="Symbol" w:hAnsi="Symbol" w:hint="default"/>
        <w:sz w:val="20"/>
      </w:rPr>
    </w:lvl>
    <w:lvl w:ilvl="4" w:tplc="F3663A08" w:tentative="1">
      <w:start w:val="1"/>
      <w:numFmt w:val="bullet"/>
      <w:lvlText w:val=""/>
      <w:lvlJc w:val="left"/>
      <w:pPr>
        <w:tabs>
          <w:tab w:val="num" w:pos="3600"/>
        </w:tabs>
        <w:ind w:left="3600" w:hanging="360"/>
      </w:pPr>
      <w:rPr>
        <w:rFonts w:ascii="Symbol" w:hAnsi="Symbol" w:hint="default"/>
        <w:sz w:val="20"/>
      </w:rPr>
    </w:lvl>
    <w:lvl w:ilvl="5" w:tplc="CD165588" w:tentative="1">
      <w:start w:val="1"/>
      <w:numFmt w:val="bullet"/>
      <w:lvlText w:val=""/>
      <w:lvlJc w:val="left"/>
      <w:pPr>
        <w:tabs>
          <w:tab w:val="num" w:pos="4320"/>
        </w:tabs>
        <w:ind w:left="4320" w:hanging="360"/>
      </w:pPr>
      <w:rPr>
        <w:rFonts w:ascii="Symbol" w:hAnsi="Symbol" w:hint="default"/>
        <w:sz w:val="20"/>
      </w:rPr>
    </w:lvl>
    <w:lvl w:ilvl="6" w:tplc="B3B24C50" w:tentative="1">
      <w:start w:val="1"/>
      <w:numFmt w:val="bullet"/>
      <w:lvlText w:val=""/>
      <w:lvlJc w:val="left"/>
      <w:pPr>
        <w:tabs>
          <w:tab w:val="num" w:pos="5040"/>
        </w:tabs>
        <w:ind w:left="5040" w:hanging="360"/>
      </w:pPr>
      <w:rPr>
        <w:rFonts w:ascii="Symbol" w:hAnsi="Symbol" w:hint="default"/>
        <w:sz w:val="20"/>
      </w:rPr>
    </w:lvl>
    <w:lvl w:ilvl="7" w:tplc="F5EE7426" w:tentative="1">
      <w:start w:val="1"/>
      <w:numFmt w:val="bullet"/>
      <w:lvlText w:val=""/>
      <w:lvlJc w:val="left"/>
      <w:pPr>
        <w:tabs>
          <w:tab w:val="num" w:pos="5760"/>
        </w:tabs>
        <w:ind w:left="5760" w:hanging="360"/>
      </w:pPr>
      <w:rPr>
        <w:rFonts w:ascii="Symbol" w:hAnsi="Symbol" w:hint="default"/>
        <w:sz w:val="20"/>
      </w:rPr>
    </w:lvl>
    <w:lvl w:ilvl="8" w:tplc="52FC0034"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52566B"/>
    <w:multiLevelType w:val="hybridMultilevel"/>
    <w:tmpl w:val="42729956"/>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AD806E8"/>
    <w:multiLevelType w:val="hybridMultilevel"/>
    <w:tmpl w:val="25965A24"/>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4173090"/>
    <w:multiLevelType w:val="hybridMultilevel"/>
    <w:tmpl w:val="5F44340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86220F"/>
    <w:multiLevelType w:val="hybridMultilevel"/>
    <w:tmpl w:val="97A4F484"/>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B534123"/>
    <w:multiLevelType w:val="hybridMultilevel"/>
    <w:tmpl w:val="55F07458"/>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F406687"/>
    <w:multiLevelType w:val="hybridMultilevel"/>
    <w:tmpl w:val="0AF471C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9" w15:restartNumberingAfterBreak="0">
    <w:nsid w:val="68240085"/>
    <w:multiLevelType w:val="hybridMultilevel"/>
    <w:tmpl w:val="63D2FDA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Aria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Aria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Arial"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98F5198"/>
    <w:multiLevelType w:val="hybridMultilevel"/>
    <w:tmpl w:val="29D405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FBE2272"/>
    <w:multiLevelType w:val="hybridMultilevel"/>
    <w:tmpl w:val="F940B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3416519"/>
    <w:multiLevelType w:val="hybridMultilevel"/>
    <w:tmpl w:val="2E10A4EE"/>
    <w:lvl w:ilvl="0" w:tplc="92F67760">
      <w:start w:val="1"/>
      <w:numFmt w:val="decimal"/>
      <w:suff w:val="space"/>
      <w:lvlText w:val="(%1)"/>
      <w:lvlJc w:val="left"/>
      <w:pPr>
        <w:ind w:left="0" w:firstLine="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4B0658D"/>
    <w:multiLevelType w:val="hybridMultilevel"/>
    <w:tmpl w:val="3AA2D79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4" w15:restartNumberingAfterBreak="0">
    <w:nsid w:val="75A332B0"/>
    <w:multiLevelType w:val="multilevel"/>
    <w:tmpl w:val="0EFE6188"/>
    <w:lvl w:ilvl="0">
      <w:start w:val="2"/>
      <w:numFmt w:val="decimal"/>
      <w:lvlText w:val="%1."/>
      <w:lvlJc w:val="left"/>
      <w:pPr>
        <w:ind w:left="360" w:hanging="360"/>
      </w:pPr>
      <w:rPr>
        <w:rFonts w:hint="default"/>
        <w:b/>
        <w:bCs/>
        <w:sz w:val="28"/>
        <w:szCs w:val="28"/>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78371BCB"/>
    <w:multiLevelType w:val="hybridMultilevel"/>
    <w:tmpl w:val="F46A4C40"/>
    <w:lvl w:ilvl="0" w:tplc="4A864C6A">
      <w:start w:val="1"/>
      <w:numFmt w:val="decimal"/>
      <w:suff w:val="space"/>
      <w:lvlText w:val="%1)"/>
      <w:lvlJc w:val="left"/>
      <w:pPr>
        <w:ind w:left="0" w:firstLine="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F68120B"/>
    <w:multiLevelType w:val="hybridMultilevel"/>
    <w:tmpl w:val="B63C99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23409924">
    <w:abstractNumId w:val="1"/>
  </w:num>
  <w:num w:numId="2" w16cid:durableId="1875192146">
    <w:abstractNumId w:val="5"/>
  </w:num>
  <w:num w:numId="3" w16cid:durableId="649527487">
    <w:abstractNumId w:val="20"/>
  </w:num>
  <w:num w:numId="4" w16cid:durableId="191459040">
    <w:abstractNumId w:val="21"/>
  </w:num>
  <w:num w:numId="5" w16cid:durableId="1841659489">
    <w:abstractNumId w:val="24"/>
  </w:num>
  <w:num w:numId="6" w16cid:durableId="1194730129">
    <w:abstractNumId w:val="4"/>
  </w:num>
  <w:num w:numId="7" w16cid:durableId="1752314002">
    <w:abstractNumId w:val="25"/>
  </w:num>
  <w:num w:numId="8" w16cid:durableId="537007407">
    <w:abstractNumId w:val="2"/>
  </w:num>
  <w:num w:numId="9" w16cid:durableId="1809860358">
    <w:abstractNumId w:val="6"/>
  </w:num>
  <w:num w:numId="10" w16cid:durableId="1690908220">
    <w:abstractNumId w:val="14"/>
  </w:num>
  <w:num w:numId="11" w16cid:durableId="21441406">
    <w:abstractNumId w:val="19"/>
  </w:num>
  <w:num w:numId="12" w16cid:durableId="569462000">
    <w:abstractNumId w:val="9"/>
  </w:num>
  <w:num w:numId="13" w16cid:durableId="581111000">
    <w:abstractNumId w:val="0"/>
  </w:num>
  <w:num w:numId="14" w16cid:durableId="1778408349">
    <w:abstractNumId w:val="11"/>
  </w:num>
  <w:num w:numId="15" w16cid:durableId="192807979">
    <w:abstractNumId w:val="12"/>
  </w:num>
  <w:num w:numId="16" w16cid:durableId="326054778">
    <w:abstractNumId w:val="22"/>
  </w:num>
  <w:num w:numId="17" w16cid:durableId="473911283">
    <w:abstractNumId w:val="16"/>
  </w:num>
  <w:num w:numId="18" w16cid:durableId="522523110">
    <w:abstractNumId w:val="15"/>
  </w:num>
  <w:num w:numId="19" w16cid:durableId="1739743553">
    <w:abstractNumId w:val="26"/>
  </w:num>
  <w:num w:numId="20" w16cid:durableId="1217008507">
    <w:abstractNumId w:val="8"/>
  </w:num>
  <w:num w:numId="21" w16cid:durableId="768893872">
    <w:abstractNumId w:val="23"/>
  </w:num>
  <w:num w:numId="22" w16cid:durableId="1611622617">
    <w:abstractNumId w:val="13"/>
  </w:num>
  <w:num w:numId="23" w16cid:durableId="1566142466">
    <w:abstractNumId w:val="17"/>
  </w:num>
  <w:num w:numId="24" w16cid:durableId="1780174358">
    <w:abstractNumId w:val="3"/>
  </w:num>
  <w:num w:numId="25" w16cid:durableId="259146988">
    <w:abstractNumId w:val="18"/>
  </w:num>
  <w:num w:numId="26" w16cid:durableId="2097825490">
    <w:abstractNumId w:val="10"/>
  </w:num>
  <w:num w:numId="27" w16cid:durableId="2122265014">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1F8E"/>
    <w:rsid w:val="00006C94"/>
    <w:rsid w:val="00010D99"/>
    <w:rsid w:val="000157C8"/>
    <w:rsid w:val="00024CE4"/>
    <w:rsid w:val="000412E7"/>
    <w:rsid w:val="0004604C"/>
    <w:rsid w:val="000504E1"/>
    <w:rsid w:val="00061EC8"/>
    <w:rsid w:val="000650C9"/>
    <w:rsid w:val="00080262"/>
    <w:rsid w:val="000847DC"/>
    <w:rsid w:val="0008678D"/>
    <w:rsid w:val="00094462"/>
    <w:rsid w:val="0009637C"/>
    <w:rsid w:val="000A467B"/>
    <w:rsid w:val="000A7AC6"/>
    <w:rsid w:val="000B0EB6"/>
    <w:rsid w:val="000B1E0D"/>
    <w:rsid w:val="000B5A12"/>
    <w:rsid w:val="000B5F20"/>
    <w:rsid w:val="000B787A"/>
    <w:rsid w:val="000D0FA1"/>
    <w:rsid w:val="000D21D2"/>
    <w:rsid w:val="000D2494"/>
    <w:rsid w:val="000E192F"/>
    <w:rsid w:val="000E366B"/>
    <w:rsid w:val="000E51DA"/>
    <w:rsid w:val="000F431F"/>
    <w:rsid w:val="001001D8"/>
    <w:rsid w:val="0010484C"/>
    <w:rsid w:val="00106594"/>
    <w:rsid w:val="001067E9"/>
    <w:rsid w:val="00124CCB"/>
    <w:rsid w:val="00126CFE"/>
    <w:rsid w:val="00136955"/>
    <w:rsid w:val="001418C7"/>
    <w:rsid w:val="00146F8D"/>
    <w:rsid w:val="00150BC1"/>
    <w:rsid w:val="0015167A"/>
    <w:rsid w:val="00155607"/>
    <w:rsid w:val="00156AC9"/>
    <w:rsid w:val="00163655"/>
    <w:rsid w:val="00164BD7"/>
    <w:rsid w:val="00167D14"/>
    <w:rsid w:val="00170269"/>
    <w:rsid w:val="001772B1"/>
    <w:rsid w:val="00177ED8"/>
    <w:rsid w:val="00183760"/>
    <w:rsid w:val="00186571"/>
    <w:rsid w:val="0018683A"/>
    <w:rsid w:val="001B2FBC"/>
    <w:rsid w:val="001B5B88"/>
    <w:rsid w:val="001D239F"/>
    <w:rsid w:val="001D5258"/>
    <w:rsid w:val="001E1A18"/>
    <w:rsid w:val="002034A0"/>
    <w:rsid w:val="00206904"/>
    <w:rsid w:val="00207DC5"/>
    <w:rsid w:val="00217F33"/>
    <w:rsid w:val="002200C6"/>
    <w:rsid w:val="00220CB2"/>
    <w:rsid w:val="00222650"/>
    <w:rsid w:val="002251D3"/>
    <w:rsid w:val="00225CB1"/>
    <w:rsid w:val="00226E14"/>
    <w:rsid w:val="00236592"/>
    <w:rsid w:val="00244323"/>
    <w:rsid w:val="002469EC"/>
    <w:rsid w:val="002513AE"/>
    <w:rsid w:val="002528A9"/>
    <w:rsid w:val="00254B89"/>
    <w:rsid w:val="002574E3"/>
    <w:rsid w:val="002614A9"/>
    <w:rsid w:val="00264584"/>
    <w:rsid w:val="002718E3"/>
    <w:rsid w:val="00271DBF"/>
    <w:rsid w:val="0027281C"/>
    <w:rsid w:val="00292B26"/>
    <w:rsid w:val="002A0AC9"/>
    <w:rsid w:val="002A2739"/>
    <w:rsid w:val="002B22F9"/>
    <w:rsid w:val="002D5FE8"/>
    <w:rsid w:val="002E738B"/>
    <w:rsid w:val="002F5035"/>
    <w:rsid w:val="003020D4"/>
    <w:rsid w:val="00304F02"/>
    <w:rsid w:val="00306ECD"/>
    <w:rsid w:val="00317E77"/>
    <w:rsid w:val="003265E5"/>
    <w:rsid w:val="00332E80"/>
    <w:rsid w:val="00350BF2"/>
    <w:rsid w:val="00381078"/>
    <w:rsid w:val="00384371"/>
    <w:rsid w:val="00393C49"/>
    <w:rsid w:val="00395F0B"/>
    <w:rsid w:val="003A29BD"/>
    <w:rsid w:val="003A5768"/>
    <w:rsid w:val="003B44BA"/>
    <w:rsid w:val="003C1EAF"/>
    <w:rsid w:val="00443533"/>
    <w:rsid w:val="00450CA3"/>
    <w:rsid w:val="004576E0"/>
    <w:rsid w:val="00457A76"/>
    <w:rsid w:val="00472839"/>
    <w:rsid w:val="004832AA"/>
    <w:rsid w:val="004A6598"/>
    <w:rsid w:val="004C486E"/>
    <w:rsid w:val="004C7BA9"/>
    <w:rsid w:val="004D2094"/>
    <w:rsid w:val="004F034A"/>
    <w:rsid w:val="005058ED"/>
    <w:rsid w:val="005210C2"/>
    <w:rsid w:val="00523E38"/>
    <w:rsid w:val="00524CC3"/>
    <w:rsid w:val="00533545"/>
    <w:rsid w:val="00534348"/>
    <w:rsid w:val="005358E6"/>
    <w:rsid w:val="00544EA6"/>
    <w:rsid w:val="005501DE"/>
    <w:rsid w:val="00554186"/>
    <w:rsid w:val="00562A98"/>
    <w:rsid w:val="005636E9"/>
    <w:rsid w:val="00566221"/>
    <w:rsid w:val="005714D0"/>
    <w:rsid w:val="00574A4A"/>
    <w:rsid w:val="00575FFF"/>
    <w:rsid w:val="00576713"/>
    <w:rsid w:val="00582160"/>
    <w:rsid w:val="005B399E"/>
    <w:rsid w:val="005B4C93"/>
    <w:rsid w:val="005C18FD"/>
    <w:rsid w:val="005C72A5"/>
    <w:rsid w:val="005C7BE3"/>
    <w:rsid w:val="005D34E5"/>
    <w:rsid w:val="005D4D36"/>
    <w:rsid w:val="005D6410"/>
    <w:rsid w:val="005D74D0"/>
    <w:rsid w:val="005E5AEF"/>
    <w:rsid w:val="005F12C2"/>
    <w:rsid w:val="005F7DBE"/>
    <w:rsid w:val="00605147"/>
    <w:rsid w:val="0061100D"/>
    <w:rsid w:val="00611BE8"/>
    <w:rsid w:val="00611CBC"/>
    <w:rsid w:val="006224EC"/>
    <w:rsid w:val="00625ED1"/>
    <w:rsid w:val="00630854"/>
    <w:rsid w:val="006417DC"/>
    <w:rsid w:val="00641DAE"/>
    <w:rsid w:val="006432DA"/>
    <w:rsid w:val="00653CE5"/>
    <w:rsid w:val="00657E40"/>
    <w:rsid w:val="00670B4F"/>
    <w:rsid w:val="00671FB4"/>
    <w:rsid w:val="00695FF9"/>
    <w:rsid w:val="006A18F9"/>
    <w:rsid w:val="006A57D3"/>
    <w:rsid w:val="006B1AF7"/>
    <w:rsid w:val="006B2727"/>
    <w:rsid w:val="006B6F26"/>
    <w:rsid w:val="006B715F"/>
    <w:rsid w:val="006C48D2"/>
    <w:rsid w:val="006D1D7B"/>
    <w:rsid w:val="006D30AC"/>
    <w:rsid w:val="006E0B58"/>
    <w:rsid w:val="006E2A30"/>
    <w:rsid w:val="006F45A7"/>
    <w:rsid w:val="006F5703"/>
    <w:rsid w:val="007323BF"/>
    <w:rsid w:val="007356B8"/>
    <w:rsid w:val="00751B15"/>
    <w:rsid w:val="00751CBC"/>
    <w:rsid w:val="0075208E"/>
    <w:rsid w:val="007544F0"/>
    <w:rsid w:val="007636C8"/>
    <w:rsid w:val="00766CC2"/>
    <w:rsid w:val="00777A69"/>
    <w:rsid w:val="007A1453"/>
    <w:rsid w:val="007A7136"/>
    <w:rsid w:val="007B3480"/>
    <w:rsid w:val="007C05F8"/>
    <w:rsid w:val="007C384B"/>
    <w:rsid w:val="007C40A5"/>
    <w:rsid w:val="007C7A37"/>
    <w:rsid w:val="007D5F06"/>
    <w:rsid w:val="00800A74"/>
    <w:rsid w:val="008026AE"/>
    <w:rsid w:val="008048D9"/>
    <w:rsid w:val="0081142C"/>
    <w:rsid w:val="00816ADE"/>
    <w:rsid w:val="0083495F"/>
    <w:rsid w:val="00841D14"/>
    <w:rsid w:val="00842ED4"/>
    <w:rsid w:val="00844460"/>
    <w:rsid w:val="00850813"/>
    <w:rsid w:val="008532F1"/>
    <w:rsid w:val="00855B71"/>
    <w:rsid w:val="008773FA"/>
    <w:rsid w:val="00880252"/>
    <w:rsid w:val="0088171A"/>
    <w:rsid w:val="008842B9"/>
    <w:rsid w:val="00885541"/>
    <w:rsid w:val="00892965"/>
    <w:rsid w:val="008A4E69"/>
    <w:rsid w:val="008D1984"/>
    <w:rsid w:val="008D1A11"/>
    <w:rsid w:val="008D247B"/>
    <w:rsid w:val="008D6303"/>
    <w:rsid w:val="008D6D47"/>
    <w:rsid w:val="008E0AFB"/>
    <w:rsid w:val="008E0CFD"/>
    <w:rsid w:val="008E0D88"/>
    <w:rsid w:val="008E4478"/>
    <w:rsid w:val="009005A6"/>
    <w:rsid w:val="009037BD"/>
    <w:rsid w:val="0090747B"/>
    <w:rsid w:val="009137BC"/>
    <w:rsid w:val="00950C07"/>
    <w:rsid w:val="0095680A"/>
    <w:rsid w:val="00961E6C"/>
    <w:rsid w:val="00962489"/>
    <w:rsid w:val="009852DC"/>
    <w:rsid w:val="00986B31"/>
    <w:rsid w:val="00992FCE"/>
    <w:rsid w:val="00994ED8"/>
    <w:rsid w:val="009A23FC"/>
    <w:rsid w:val="009B0C34"/>
    <w:rsid w:val="009C176E"/>
    <w:rsid w:val="009D0611"/>
    <w:rsid w:val="009E0C97"/>
    <w:rsid w:val="00A013BA"/>
    <w:rsid w:val="00A26234"/>
    <w:rsid w:val="00A32B1C"/>
    <w:rsid w:val="00A47758"/>
    <w:rsid w:val="00A51841"/>
    <w:rsid w:val="00A60C9D"/>
    <w:rsid w:val="00A715CF"/>
    <w:rsid w:val="00A720F8"/>
    <w:rsid w:val="00A7692A"/>
    <w:rsid w:val="00A77013"/>
    <w:rsid w:val="00A91AF8"/>
    <w:rsid w:val="00AA1B8B"/>
    <w:rsid w:val="00AB107B"/>
    <w:rsid w:val="00AD6381"/>
    <w:rsid w:val="00AE2B44"/>
    <w:rsid w:val="00AE560A"/>
    <w:rsid w:val="00AE6DBE"/>
    <w:rsid w:val="00AF0F96"/>
    <w:rsid w:val="00B00547"/>
    <w:rsid w:val="00B05456"/>
    <w:rsid w:val="00B056EE"/>
    <w:rsid w:val="00B15B34"/>
    <w:rsid w:val="00B1649A"/>
    <w:rsid w:val="00B21883"/>
    <w:rsid w:val="00B244B7"/>
    <w:rsid w:val="00B325F4"/>
    <w:rsid w:val="00B36329"/>
    <w:rsid w:val="00B44AE2"/>
    <w:rsid w:val="00B55616"/>
    <w:rsid w:val="00B76527"/>
    <w:rsid w:val="00B815B0"/>
    <w:rsid w:val="00B869B7"/>
    <w:rsid w:val="00BA507E"/>
    <w:rsid w:val="00BA5740"/>
    <w:rsid w:val="00BA7B6D"/>
    <w:rsid w:val="00BB384E"/>
    <w:rsid w:val="00BB64DB"/>
    <w:rsid w:val="00BB76DB"/>
    <w:rsid w:val="00BD3E57"/>
    <w:rsid w:val="00BF59B8"/>
    <w:rsid w:val="00C02453"/>
    <w:rsid w:val="00C11703"/>
    <w:rsid w:val="00C15B63"/>
    <w:rsid w:val="00C25ADC"/>
    <w:rsid w:val="00C31E62"/>
    <w:rsid w:val="00C3666E"/>
    <w:rsid w:val="00C401CA"/>
    <w:rsid w:val="00C40819"/>
    <w:rsid w:val="00C45B57"/>
    <w:rsid w:val="00C54BB1"/>
    <w:rsid w:val="00C558CC"/>
    <w:rsid w:val="00C5661E"/>
    <w:rsid w:val="00C63735"/>
    <w:rsid w:val="00C7447F"/>
    <w:rsid w:val="00C80846"/>
    <w:rsid w:val="00C81E8E"/>
    <w:rsid w:val="00C8287E"/>
    <w:rsid w:val="00C93D64"/>
    <w:rsid w:val="00C93EA1"/>
    <w:rsid w:val="00C973DA"/>
    <w:rsid w:val="00CB4EBC"/>
    <w:rsid w:val="00CB6080"/>
    <w:rsid w:val="00CB7712"/>
    <w:rsid w:val="00CC3D7B"/>
    <w:rsid w:val="00CD04E4"/>
    <w:rsid w:val="00CD2DAA"/>
    <w:rsid w:val="00CD7E72"/>
    <w:rsid w:val="00CE5ADF"/>
    <w:rsid w:val="00CE6067"/>
    <w:rsid w:val="00CF0B6E"/>
    <w:rsid w:val="00CF5149"/>
    <w:rsid w:val="00CF7EA9"/>
    <w:rsid w:val="00D02138"/>
    <w:rsid w:val="00D025CC"/>
    <w:rsid w:val="00D136BD"/>
    <w:rsid w:val="00D13AFF"/>
    <w:rsid w:val="00D17A04"/>
    <w:rsid w:val="00D34B46"/>
    <w:rsid w:val="00D455B0"/>
    <w:rsid w:val="00D47F9D"/>
    <w:rsid w:val="00D56668"/>
    <w:rsid w:val="00D63C77"/>
    <w:rsid w:val="00D67617"/>
    <w:rsid w:val="00D70BEB"/>
    <w:rsid w:val="00D75B37"/>
    <w:rsid w:val="00D84B69"/>
    <w:rsid w:val="00DA3405"/>
    <w:rsid w:val="00DA55A2"/>
    <w:rsid w:val="00DC7278"/>
    <w:rsid w:val="00DD5D40"/>
    <w:rsid w:val="00DF259A"/>
    <w:rsid w:val="00E04EA1"/>
    <w:rsid w:val="00E129CC"/>
    <w:rsid w:val="00E27C9E"/>
    <w:rsid w:val="00E27E74"/>
    <w:rsid w:val="00E360D2"/>
    <w:rsid w:val="00E40AF7"/>
    <w:rsid w:val="00E423D1"/>
    <w:rsid w:val="00E45042"/>
    <w:rsid w:val="00E4659D"/>
    <w:rsid w:val="00E523F1"/>
    <w:rsid w:val="00E64A0B"/>
    <w:rsid w:val="00E714F5"/>
    <w:rsid w:val="00E75324"/>
    <w:rsid w:val="00E85E65"/>
    <w:rsid w:val="00E960AC"/>
    <w:rsid w:val="00EB041B"/>
    <w:rsid w:val="00EC1011"/>
    <w:rsid w:val="00ED00A1"/>
    <w:rsid w:val="00ED14B8"/>
    <w:rsid w:val="00EE2D31"/>
    <w:rsid w:val="00EE766C"/>
    <w:rsid w:val="00EF3C83"/>
    <w:rsid w:val="00F07947"/>
    <w:rsid w:val="00F23F84"/>
    <w:rsid w:val="00F27434"/>
    <w:rsid w:val="00F33B97"/>
    <w:rsid w:val="00F37BBE"/>
    <w:rsid w:val="00F538DA"/>
    <w:rsid w:val="00F5524E"/>
    <w:rsid w:val="00F67C3D"/>
    <w:rsid w:val="00F70D46"/>
    <w:rsid w:val="00F70E24"/>
    <w:rsid w:val="00F76033"/>
    <w:rsid w:val="00F77345"/>
    <w:rsid w:val="00F82196"/>
    <w:rsid w:val="00F83958"/>
    <w:rsid w:val="00F91CCD"/>
    <w:rsid w:val="00F9320D"/>
    <w:rsid w:val="00F94ECD"/>
    <w:rsid w:val="00F97CBE"/>
    <w:rsid w:val="00FA26DA"/>
    <w:rsid w:val="00FB4D5A"/>
    <w:rsid w:val="00FB76C1"/>
    <w:rsid w:val="00FC014E"/>
    <w:rsid w:val="00FC2CF2"/>
    <w:rsid w:val="00FC63E4"/>
    <w:rsid w:val="00FD00E3"/>
    <w:rsid w:val="00FE5683"/>
    <w:rsid w:val="00FE58B0"/>
    <w:rsid w:val="00FF19AB"/>
    <w:rsid w:val="00FF2DBF"/>
    <w:rsid w:val="00FF32B9"/>
    <w:rsid w:val="07F33EA2"/>
    <w:rsid w:val="0CB9C828"/>
    <w:rsid w:val="11FA8300"/>
    <w:rsid w:val="133C3900"/>
    <w:rsid w:val="1C16F179"/>
    <w:rsid w:val="2872CA33"/>
    <w:rsid w:val="3B813830"/>
    <w:rsid w:val="53927476"/>
    <w:rsid w:val="69F57826"/>
    <w:rsid w:val="6C9B0034"/>
    <w:rsid w:val="6DE15883"/>
    <w:rsid w:val="6EDB20C5"/>
    <w:rsid w:val="7728179B"/>
    <w:rsid w:val="7EAE42F7"/>
    <w:rsid w:val="7FF8844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EC8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paragraph" w:customStyle="1" w:styleId="Default">
    <w:name w:val="Default"/>
    <w:rsid w:val="002B22F9"/>
    <w:pPr>
      <w:autoSpaceDE w:val="0"/>
      <w:autoSpaceDN w:val="0"/>
      <w:adjustRightInd w:val="0"/>
      <w:spacing w:after="0" w:line="240" w:lineRule="auto"/>
    </w:pPr>
    <w:rPr>
      <w:rFonts w:ascii="Times New Roman" w:hAnsi="Times New Roman" w:cs="Times New Roman"/>
      <w:color w:val="000000"/>
      <w:sz w:val="24"/>
      <w:szCs w:val="24"/>
      <w:lang w:eastAsia="en-GB"/>
    </w:rPr>
  </w:style>
  <w:style w:type="paragraph" w:customStyle="1" w:styleId="list-item2">
    <w:name w:val="list-item2"/>
    <w:basedOn w:val="Normal"/>
    <w:rsid w:val="00FF19A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521550644">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355418072">
      <w:bodyDiv w:val="1"/>
      <w:marLeft w:val="0"/>
      <w:marRight w:val="0"/>
      <w:marTop w:val="0"/>
      <w:marBottom w:val="0"/>
      <w:divBdr>
        <w:top w:val="none" w:sz="0" w:space="0" w:color="auto"/>
        <w:left w:val="none" w:sz="0" w:space="0" w:color="auto"/>
        <w:bottom w:val="none" w:sz="0" w:space="0" w:color="auto"/>
        <w:right w:val="none" w:sz="0" w:space="0" w:color="auto"/>
      </w:divBdr>
    </w:div>
    <w:div w:id="1411729116">
      <w:bodyDiv w:val="1"/>
      <w:marLeft w:val="0"/>
      <w:marRight w:val="0"/>
      <w:marTop w:val="0"/>
      <w:marBottom w:val="0"/>
      <w:divBdr>
        <w:top w:val="none" w:sz="0" w:space="0" w:color="auto"/>
        <w:left w:val="none" w:sz="0" w:space="0" w:color="auto"/>
        <w:bottom w:val="none" w:sz="0" w:space="0" w:color="auto"/>
        <w:right w:val="none" w:sz="0" w:space="0" w:color="auto"/>
      </w:divBdr>
    </w:div>
    <w:div w:id="1425564448">
      <w:bodyDiv w:val="1"/>
      <w:marLeft w:val="0"/>
      <w:marRight w:val="0"/>
      <w:marTop w:val="0"/>
      <w:marBottom w:val="0"/>
      <w:divBdr>
        <w:top w:val="none" w:sz="0" w:space="0" w:color="auto"/>
        <w:left w:val="none" w:sz="0" w:space="0" w:color="auto"/>
        <w:bottom w:val="none" w:sz="0" w:space="0" w:color="auto"/>
        <w:right w:val="none" w:sz="0" w:space="0" w:color="auto"/>
      </w:divBdr>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1770737254">
      <w:bodyDiv w:val="1"/>
      <w:marLeft w:val="0"/>
      <w:marRight w:val="0"/>
      <w:marTop w:val="0"/>
      <w:marBottom w:val="0"/>
      <w:divBdr>
        <w:top w:val="none" w:sz="0" w:space="0" w:color="auto"/>
        <w:left w:val="none" w:sz="0" w:space="0" w:color="auto"/>
        <w:bottom w:val="none" w:sz="0" w:space="0" w:color="auto"/>
        <w:right w:val="none" w:sz="0" w:space="0" w:color="auto"/>
      </w:divBdr>
      <w:divsChild>
        <w:div w:id="464978315">
          <w:marLeft w:val="0"/>
          <w:marRight w:val="0"/>
          <w:marTop w:val="0"/>
          <w:marBottom w:val="0"/>
          <w:divBdr>
            <w:top w:val="none" w:sz="0" w:space="0" w:color="auto"/>
            <w:left w:val="none" w:sz="0" w:space="0" w:color="auto"/>
            <w:bottom w:val="none" w:sz="0" w:space="0" w:color="auto"/>
            <w:right w:val="none" w:sz="0" w:space="0" w:color="auto"/>
          </w:divBdr>
        </w:div>
        <w:div w:id="494226460">
          <w:marLeft w:val="0"/>
          <w:marRight w:val="0"/>
          <w:marTop w:val="0"/>
          <w:marBottom w:val="0"/>
          <w:divBdr>
            <w:top w:val="none" w:sz="0" w:space="0" w:color="auto"/>
            <w:left w:val="none" w:sz="0" w:space="0" w:color="auto"/>
            <w:bottom w:val="none" w:sz="0" w:space="0" w:color="auto"/>
            <w:right w:val="none" w:sz="0" w:space="0" w:color="auto"/>
          </w:divBdr>
        </w:div>
      </w:divsChild>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57AF7-80BF-487E-86A6-716B2DE07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3453</Words>
  <Characters>19686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2024-02-08T09:47:00Z</dcterms:created>
  <dcterms:modified xsi:type="dcterms:W3CDTF">2025-02-19T19:41:00Z</dcterms:modified>
</cp:coreProperties>
</file>