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1B01F" w14:textId="4F6D0365" w:rsidR="00D56668" w:rsidRPr="00916FB1" w:rsidRDefault="00723288" w:rsidP="00AE3010">
      <w:pPr>
        <w:spacing w:line="480" w:lineRule="auto"/>
        <w:jc w:val="both"/>
        <w:rPr>
          <w:rFonts w:ascii="Arial" w:hAnsi="Arial" w:cs="Arial"/>
        </w:rPr>
      </w:pPr>
      <w:r>
        <w:rPr>
          <w:noProof/>
        </w:rPr>
        <w:drawing>
          <wp:inline distT="0" distB="0" distL="0" distR="0" wp14:anchorId="43952B85" wp14:editId="4CB36B80">
            <wp:extent cx="2531745" cy="1320800"/>
            <wp:effectExtent l="0" t="0" r="1905" b="0"/>
            <wp:docPr id="2"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31745" cy="1320800"/>
                    </a:xfrm>
                    <a:prstGeom prst="rect">
                      <a:avLst/>
                    </a:prstGeom>
                  </pic:spPr>
                </pic:pic>
              </a:graphicData>
            </a:graphic>
          </wp:inline>
        </w:drawing>
      </w:r>
    </w:p>
    <w:p w14:paraId="493E9038" w14:textId="77777777" w:rsidR="00D56668" w:rsidRPr="00916FB1" w:rsidRDefault="00D56668" w:rsidP="00AE3010">
      <w:pPr>
        <w:spacing w:line="480" w:lineRule="auto"/>
        <w:jc w:val="both"/>
        <w:rPr>
          <w:rFonts w:ascii="Arial" w:hAnsi="Arial" w:cs="Arial"/>
        </w:rPr>
      </w:pPr>
    </w:p>
    <w:p w14:paraId="7F2826CB" w14:textId="77777777" w:rsidR="00723288" w:rsidRPr="00345BB4" w:rsidRDefault="00723288" w:rsidP="00723288">
      <w:pPr>
        <w:spacing w:line="480" w:lineRule="auto"/>
        <w:jc w:val="center"/>
        <w:rPr>
          <w:rFonts w:ascii="Arial" w:hAnsi="Arial" w:cs="Arial"/>
          <w:bCs/>
          <w:sz w:val="52"/>
          <w:szCs w:val="52"/>
        </w:rPr>
      </w:pPr>
      <w:r w:rsidRPr="00345BB4">
        <w:rPr>
          <w:rFonts w:ascii="Arial" w:hAnsi="Arial" w:cs="Arial"/>
          <w:bCs/>
          <w:sz w:val="52"/>
          <w:szCs w:val="52"/>
        </w:rPr>
        <w:t xml:space="preserve">Lecture Handout </w:t>
      </w:r>
    </w:p>
    <w:p w14:paraId="42653168" w14:textId="089A147E" w:rsidR="00723288" w:rsidRDefault="00723288" w:rsidP="00723288">
      <w:pPr>
        <w:spacing w:line="480" w:lineRule="auto"/>
        <w:jc w:val="center"/>
        <w:rPr>
          <w:rFonts w:ascii="Arial" w:hAnsi="Arial" w:cs="Arial"/>
          <w:bCs/>
          <w:sz w:val="52"/>
          <w:szCs w:val="52"/>
        </w:rPr>
      </w:pPr>
      <w:r w:rsidRPr="00345BB4">
        <w:rPr>
          <w:rFonts w:ascii="Arial" w:hAnsi="Arial" w:cs="Arial"/>
          <w:bCs/>
          <w:sz w:val="52"/>
          <w:szCs w:val="52"/>
        </w:rPr>
        <w:t>Epiphany Term Week 1</w:t>
      </w:r>
      <w:r>
        <w:rPr>
          <w:rFonts w:ascii="Arial" w:hAnsi="Arial" w:cs="Arial"/>
          <w:bCs/>
          <w:sz w:val="52"/>
          <w:szCs w:val="52"/>
        </w:rPr>
        <w:t>7</w:t>
      </w:r>
    </w:p>
    <w:p w14:paraId="3F253FC5" w14:textId="3EE50849" w:rsidR="00723288" w:rsidRPr="00345BB4" w:rsidRDefault="00723288" w:rsidP="00723288">
      <w:pPr>
        <w:spacing w:line="480" w:lineRule="auto"/>
        <w:jc w:val="center"/>
        <w:rPr>
          <w:rFonts w:ascii="Arial" w:hAnsi="Arial" w:cs="Arial"/>
          <w:b/>
          <w:sz w:val="52"/>
          <w:szCs w:val="52"/>
        </w:rPr>
      </w:pPr>
      <w:r>
        <w:rPr>
          <w:rFonts w:ascii="Arial" w:hAnsi="Arial" w:cs="Arial"/>
          <w:b/>
          <w:sz w:val="52"/>
          <w:szCs w:val="52"/>
        </w:rPr>
        <w:t>Dishonest Assistance</w:t>
      </w:r>
    </w:p>
    <w:p w14:paraId="130C2C01" w14:textId="696D64B3" w:rsidR="00723288" w:rsidRDefault="00723288" w:rsidP="00723288">
      <w:pPr>
        <w:spacing w:line="480" w:lineRule="auto"/>
        <w:jc w:val="center"/>
        <w:rPr>
          <w:rFonts w:ascii="Arial" w:hAnsi="Arial" w:cs="Arial"/>
          <w:sz w:val="52"/>
          <w:szCs w:val="52"/>
        </w:rPr>
      </w:pPr>
      <w:r>
        <w:rPr>
          <w:rFonts w:ascii="Arial" w:hAnsi="Arial" w:cs="Arial"/>
          <w:sz w:val="52"/>
          <w:szCs w:val="52"/>
        </w:rPr>
        <w:t>202</w:t>
      </w:r>
      <w:r w:rsidR="00045DF2">
        <w:rPr>
          <w:rFonts w:ascii="Arial" w:hAnsi="Arial" w:cs="Arial"/>
          <w:sz w:val="52"/>
          <w:szCs w:val="52"/>
        </w:rPr>
        <w:t>4</w:t>
      </w:r>
      <w:r>
        <w:rPr>
          <w:rFonts w:ascii="Arial" w:hAnsi="Arial" w:cs="Arial"/>
          <w:sz w:val="52"/>
          <w:szCs w:val="52"/>
        </w:rPr>
        <w:t>/2</w:t>
      </w:r>
      <w:r w:rsidR="00045DF2">
        <w:rPr>
          <w:rFonts w:ascii="Arial" w:hAnsi="Arial" w:cs="Arial"/>
          <w:sz w:val="52"/>
          <w:szCs w:val="52"/>
        </w:rPr>
        <w:t>5</w:t>
      </w:r>
    </w:p>
    <w:p w14:paraId="5500E81F" w14:textId="77777777" w:rsidR="00723288" w:rsidRDefault="00723288" w:rsidP="00723288">
      <w:pPr>
        <w:spacing w:line="480" w:lineRule="auto"/>
        <w:jc w:val="center"/>
        <w:rPr>
          <w:rFonts w:ascii="Arial" w:hAnsi="Arial" w:cs="Arial"/>
          <w:sz w:val="52"/>
          <w:szCs w:val="52"/>
        </w:rPr>
      </w:pPr>
      <w:r w:rsidRPr="44FD698F">
        <w:rPr>
          <w:rFonts w:ascii="Arial" w:hAnsi="Arial" w:cs="Arial"/>
          <w:sz w:val="52"/>
          <w:szCs w:val="52"/>
        </w:rPr>
        <w:t>Dr Johanna Jacques</w:t>
      </w:r>
    </w:p>
    <w:p w14:paraId="35465ACB" w14:textId="239A71C8" w:rsidR="63F67330" w:rsidRDefault="63F67330" w:rsidP="63F67330">
      <w:pPr>
        <w:jc w:val="center"/>
        <w:rPr>
          <w:highlight w:val="yellow"/>
        </w:rPr>
      </w:pPr>
    </w:p>
    <w:p w14:paraId="7E12B9D8" w14:textId="4766A577" w:rsidR="63F67330" w:rsidRDefault="63F67330" w:rsidP="63F67330">
      <w:pPr>
        <w:spacing w:line="480" w:lineRule="auto"/>
        <w:jc w:val="center"/>
        <w:rPr>
          <w:rFonts w:ascii="Calibri" w:eastAsia="Calibri" w:hAnsi="Calibri" w:cs="Calibri"/>
          <w:highlight w:val="yellow"/>
        </w:rPr>
      </w:pPr>
    </w:p>
    <w:p w14:paraId="7CC233B5" w14:textId="4D621A35" w:rsidR="00177ED8" w:rsidRPr="00916FB1" w:rsidRDefault="00177ED8" w:rsidP="00AE3010">
      <w:pPr>
        <w:spacing w:line="480" w:lineRule="auto"/>
        <w:jc w:val="both"/>
        <w:rPr>
          <w:rFonts w:ascii="Arial" w:hAnsi="Arial" w:cs="Arial"/>
        </w:rPr>
      </w:pPr>
    </w:p>
    <w:p w14:paraId="0B2B6841" w14:textId="77777777" w:rsidR="00E714F5" w:rsidRPr="00916FB1" w:rsidRDefault="00E714F5" w:rsidP="00AE3010">
      <w:pPr>
        <w:spacing w:line="480" w:lineRule="auto"/>
        <w:jc w:val="both"/>
        <w:rPr>
          <w:rFonts w:ascii="Arial" w:hAnsi="Arial" w:cs="Arial"/>
          <w:b/>
        </w:rPr>
      </w:pPr>
      <w:r w:rsidRPr="00916FB1">
        <w:rPr>
          <w:rFonts w:ascii="Arial" w:hAnsi="Arial" w:cs="Arial"/>
          <w:b/>
        </w:rPr>
        <w:br w:type="page"/>
      </w:r>
    </w:p>
    <w:p w14:paraId="41469B6B" w14:textId="098695BF" w:rsidR="00177ED8" w:rsidRPr="00916FB1" w:rsidRDefault="00B056EE" w:rsidP="00AE3010">
      <w:pPr>
        <w:pStyle w:val="ListParagraph"/>
        <w:numPr>
          <w:ilvl w:val="0"/>
          <w:numId w:val="2"/>
        </w:numPr>
        <w:spacing w:line="480" w:lineRule="auto"/>
        <w:jc w:val="both"/>
        <w:rPr>
          <w:rFonts w:ascii="Arial" w:hAnsi="Arial" w:cs="Arial"/>
          <w:b/>
        </w:rPr>
      </w:pPr>
      <w:r w:rsidRPr="00916FB1">
        <w:rPr>
          <w:rFonts w:ascii="Arial" w:hAnsi="Arial" w:cs="Arial"/>
          <w:b/>
        </w:rPr>
        <w:lastRenderedPageBreak/>
        <w:t>Reading</w:t>
      </w:r>
    </w:p>
    <w:p w14:paraId="1AA7DD2A" w14:textId="2AEAC2C4" w:rsidR="00723288" w:rsidRPr="00723288" w:rsidRDefault="00723288" w:rsidP="00723288">
      <w:pPr>
        <w:spacing w:line="480" w:lineRule="auto"/>
        <w:jc w:val="both"/>
        <w:rPr>
          <w:rFonts w:ascii="Arial" w:hAnsi="Arial" w:cs="Arial"/>
        </w:rPr>
      </w:pPr>
      <w:r w:rsidRPr="00723288">
        <w:rPr>
          <w:rFonts w:ascii="Arial" w:hAnsi="Arial" w:cs="Arial"/>
        </w:rPr>
        <w:t xml:space="preserve">For </w:t>
      </w:r>
      <w:r w:rsidRPr="00723288">
        <w:rPr>
          <w:rFonts w:ascii="Arial" w:hAnsi="Arial" w:cs="Arial"/>
          <w:u w:val="single"/>
        </w:rPr>
        <w:t>essential</w:t>
      </w:r>
      <w:r w:rsidRPr="00723288">
        <w:rPr>
          <w:rFonts w:ascii="Arial" w:hAnsi="Arial" w:cs="Arial"/>
        </w:rPr>
        <w:t xml:space="preserve"> and </w:t>
      </w:r>
      <w:r w:rsidRPr="00723288">
        <w:rPr>
          <w:rFonts w:ascii="Arial" w:hAnsi="Arial" w:cs="Arial"/>
          <w:u w:val="single"/>
        </w:rPr>
        <w:t>further</w:t>
      </w:r>
      <w:r w:rsidRPr="00723288">
        <w:rPr>
          <w:rFonts w:ascii="Arial" w:hAnsi="Arial" w:cs="Arial"/>
        </w:rPr>
        <w:t xml:space="preserve"> reading, please see the Reading List feature on Learn Ultra.</w:t>
      </w:r>
    </w:p>
    <w:p w14:paraId="423568A3" w14:textId="77777777" w:rsidR="00A91AF8" w:rsidRPr="00916FB1" w:rsidRDefault="00A91AF8" w:rsidP="00AE3010">
      <w:pPr>
        <w:spacing w:after="120" w:line="480" w:lineRule="auto"/>
        <w:jc w:val="both"/>
        <w:rPr>
          <w:rFonts w:ascii="Arial" w:eastAsia="MS Mincho" w:hAnsi="Arial" w:cs="Arial"/>
          <w:u w:val="single"/>
          <w:lang w:bidi="en-US"/>
        </w:rPr>
      </w:pPr>
    </w:p>
    <w:p w14:paraId="0A38B29C" w14:textId="27B7689F" w:rsidR="6C9B0034" w:rsidRPr="00916FB1" w:rsidRDefault="6C9B0034" w:rsidP="00AE3010">
      <w:pPr>
        <w:spacing w:after="120" w:line="480" w:lineRule="auto"/>
        <w:jc w:val="both"/>
        <w:rPr>
          <w:rFonts w:ascii="Arial" w:eastAsia="MS Mincho" w:hAnsi="Arial" w:cs="Arial"/>
          <w:u w:val="single"/>
          <w:lang w:bidi="en-US"/>
        </w:rPr>
      </w:pPr>
      <w:r w:rsidRPr="00916FB1">
        <w:rPr>
          <w:rFonts w:ascii="Arial" w:eastAsia="MS Mincho" w:hAnsi="Arial" w:cs="Arial"/>
          <w:u w:val="single"/>
          <w:lang w:bidi="en-US"/>
        </w:rPr>
        <w:t>Cases</w:t>
      </w:r>
    </w:p>
    <w:p w14:paraId="1811A834" w14:textId="3F8FB5C5" w:rsidR="00261C62" w:rsidRPr="00045DF2" w:rsidRDefault="00261C62" w:rsidP="00AE3010">
      <w:pPr>
        <w:pStyle w:val="ListParagraph"/>
        <w:numPr>
          <w:ilvl w:val="0"/>
          <w:numId w:val="3"/>
        </w:numPr>
        <w:spacing w:line="480" w:lineRule="auto"/>
        <w:jc w:val="both"/>
        <w:rPr>
          <w:rFonts w:ascii="Arial" w:eastAsia="Calibri" w:hAnsi="Arial" w:cs="Arial"/>
          <w:lang w:bidi="en-US"/>
        </w:rPr>
      </w:pPr>
      <w:r w:rsidRPr="00045DF2">
        <w:rPr>
          <w:rFonts w:ascii="Arial" w:hAnsi="Arial" w:cs="Arial"/>
          <w:i/>
        </w:rPr>
        <w:t>Royal Brunei Airlines Sdn Bhd v Tan</w:t>
      </w:r>
      <w:r w:rsidRPr="00045DF2">
        <w:rPr>
          <w:rFonts w:ascii="Arial" w:hAnsi="Arial" w:cs="Arial"/>
        </w:rPr>
        <w:t xml:space="preserve"> [1995] 2 AC 378</w:t>
      </w:r>
    </w:p>
    <w:p w14:paraId="073D2042" w14:textId="129FD2AE" w:rsidR="006E30D4" w:rsidRPr="00045DF2" w:rsidRDefault="006E30D4" w:rsidP="00AE3010">
      <w:pPr>
        <w:pStyle w:val="ListParagraph"/>
        <w:numPr>
          <w:ilvl w:val="0"/>
          <w:numId w:val="3"/>
        </w:numPr>
        <w:spacing w:line="480" w:lineRule="auto"/>
        <w:jc w:val="both"/>
        <w:rPr>
          <w:rFonts w:ascii="Arial" w:eastAsia="Calibri" w:hAnsi="Arial" w:cs="Arial"/>
          <w:lang w:bidi="en-US"/>
        </w:rPr>
      </w:pPr>
      <w:r w:rsidRPr="00045DF2">
        <w:rPr>
          <w:rFonts w:ascii="Arial" w:hAnsi="Arial" w:cs="Arial"/>
          <w:i/>
        </w:rPr>
        <w:t>Brinks Ltd v Abu-Saleh (No 3)</w:t>
      </w:r>
      <w:r w:rsidRPr="00045DF2">
        <w:rPr>
          <w:rFonts w:ascii="Arial" w:hAnsi="Arial" w:cs="Arial"/>
        </w:rPr>
        <w:t xml:space="preserve"> [1996] CLC 133</w:t>
      </w:r>
    </w:p>
    <w:p w14:paraId="186228E4" w14:textId="140B8A0E" w:rsidR="006E30D4" w:rsidRPr="00045DF2" w:rsidRDefault="006E30D4" w:rsidP="00AE3010">
      <w:pPr>
        <w:pStyle w:val="ListParagraph"/>
        <w:numPr>
          <w:ilvl w:val="0"/>
          <w:numId w:val="3"/>
        </w:numPr>
        <w:spacing w:line="480" w:lineRule="auto"/>
        <w:jc w:val="both"/>
        <w:rPr>
          <w:rFonts w:ascii="Arial" w:eastAsia="Calibri" w:hAnsi="Arial" w:cs="Arial"/>
          <w:lang w:bidi="en-US"/>
        </w:rPr>
      </w:pPr>
      <w:r w:rsidRPr="00045DF2">
        <w:rPr>
          <w:rFonts w:ascii="Arial" w:hAnsi="Arial" w:cs="Arial"/>
          <w:i/>
        </w:rPr>
        <w:t xml:space="preserve">Twinsectra Limited v Yardley </w:t>
      </w:r>
      <w:r w:rsidRPr="00045DF2">
        <w:rPr>
          <w:rFonts w:ascii="Arial" w:hAnsi="Arial" w:cs="Arial"/>
        </w:rPr>
        <w:t>[2002] UKHL 12</w:t>
      </w:r>
    </w:p>
    <w:p w14:paraId="19BBE8A5" w14:textId="5EECB66C" w:rsidR="0077599F" w:rsidRPr="00045DF2" w:rsidRDefault="0077599F" w:rsidP="00AE3010">
      <w:pPr>
        <w:pStyle w:val="ListParagraph"/>
        <w:numPr>
          <w:ilvl w:val="0"/>
          <w:numId w:val="3"/>
        </w:numPr>
        <w:spacing w:line="480" w:lineRule="auto"/>
        <w:jc w:val="both"/>
        <w:rPr>
          <w:rFonts w:ascii="Arial" w:eastAsia="Calibri" w:hAnsi="Arial" w:cs="Arial"/>
          <w:lang w:bidi="en-US"/>
        </w:rPr>
      </w:pPr>
      <w:r w:rsidRPr="00045DF2">
        <w:rPr>
          <w:rFonts w:ascii="Arial" w:hAnsi="Arial" w:cs="Arial"/>
          <w:i/>
        </w:rPr>
        <w:t>Barlow Clowes International Ltd (in liquidation) v Eurotrust</w:t>
      </w:r>
      <w:r w:rsidRPr="00045DF2">
        <w:rPr>
          <w:rFonts w:ascii="Arial" w:hAnsi="Arial" w:cs="Arial"/>
        </w:rPr>
        <w:t xml:space="preserve"> </w:t>
      </w:r>
      <w:r w:rsidRPr="00045DF2">
        <w:rPr>
          <w:rFonts w:ascii="Arial" w:hAnsi="Arial" w:cs="Arial"/>
          <w:i/>
        </w:rPr>
        <w:t>International Ltd</w:t>
      </w:r>
      <w:r w:rsidRPr="00045DF2">
        <w:rPr>
          <w:rFonts w:ascii="Arial" w:hAnsi="Arial" w:cs="Arial"/>
        </w:rPr>
        <w:t xml:space="preserve"> [2006] 1 WLR 1476</w:t>
      </w:r>
    </w:p>
    <w:p w14:paraId="3A1F4233" w14:textId="03FDCA23" w:rsidR="008672A4" w:rsidRPr="00045DF2" w:rsidRDefault="008672A4" w:rsidP="00AE3010">
      <w:pPr>
        <w:pStyle w:val="ListParagraph"/>
        <w:numPr>
          <w:ilvl w:val="0"/>
          <w:numId w:val="3"/>
        </w:numPr>
        <w:spacing w:line="480" w:lineRule="auto"/>
        <w:jc w:val="both"/>
        <w:rPr>
          <w:rFonts w:ascii="Arial" w:eastAsia="Calibri" w:hAnsi="Arial" w:cs="Arial"/>
          <w:lang w:bidi="en-US"/>
        </w:rPr>
      </w:pPr>
      <w:r w:rsidRPr="00045DF2">
        <w:rPr>
          <w:rFonts w:ascii="Arial" w:hAnsi="Arial" w:cs="Arial"/>
          <w:i/>
        </w:rPr>
        <w:t>Abou-Rahmah v Abacha</w:t>
      </w:r>
      <w:r w:rsidRPr="00045DF2">
        <w:rPr>
          <w:rFonts w:ascii="Arial" w:hAnsi="Arial" w:cs="Arial"/>
        </w:rPr>
        <w:t xml:space="preserve"> [2006] EWCA Civ 1492</w:t>
      </w:r>
    </w:p>
    <w:p w14:paraId="3A4044E8" w14:textId="646F7E4A" w:rsidR="008D1D5C" w:rsidRPr="00045DF2" w:rsidRDefault="008D1D5C" w:rsidP="00AE3010">
      <w:pPr>
        <w:pStyle w:val="ListParagraph"/>
        <w:numPr>
          <w:ilvl w:val="0"/>
          <w:numId w:val="3"/>
        </w:numPr>
        <w:spacing w:line="480" w:lineRule="auto"/>
        <w:jc w:val="both"/>
        <w:rPr>
          <w:rFonts w:ascii="Arial" w:eastAsia="Calibri" w:hAnsi="Arial" w:cs="Arial"/>
          <w:lang w:bidi="en-US"/>
        </w:rPr>
      </w:pPr>
      <w:r w:rsidRPr="00045DF2">
        <w:rPr>
          <w:rFonts w:ascii="Arial" w:hAnsi="Arial" w:cs="Arial"/>
          <w:i/>
        </w:rPr>
        <w:t>Starglade Properties Ltd v Nash</w:t>
      </w:r>
      <w:r w:rsidRPr="00045DF2">
        <w:rPr>
          <w:rFonts w:ascii="Arial" w:hAnsi="Arial" w:cs="Arial"/>
        </w:rPr>
        <w:t xml:space="preserve"> [2010] EWCA Civ 1314</w:t>
      </w:r>
    </w:p>
    <w:p w14:paraId="4DCD5F44" w14:textId="1C3333E1" w:rsidR="00037924" w:rsidRPr="00037924" w:rsidRDefault="00BC07EC" w:rsidP="007B36CB">
      <w:pPr>
        <w:pStyle w:val="ListParagraph"/>
        <w:numPr>
          <w:ilvl w:val="0"/>
          <w:numId w:val="3"/>
        </w:numPr>
        <w:spacing w:line="480" w:lineRule="auto"/>
        <w:jc w:val="both"/>
        <w:rPr>
          <w:rFonts w:ascii="Arial" w:eastAsia="Times New Roman" w:hAnsi="Arial" w:cs="Arial"/>
          <w:b/>
          <w:bCs/>
          <w:iCs/>
          <w:lang w:bidi="en-US"/>
        </w:rPr>
      </w:pPr>
      <w:r w:rsidRPr="00045DF2">
        <w:rPr>
          <w:rFonts w:ascii="Arial" w:hAnsi="Arial" w:cs="Arial"/>
          <w:i/>
        </w:rPr>
        <w:t>Ivey v Genting Casinos</w:t>
      </w:r>
      <w:r w:rsidRPr="00045DF2">
        <w:rPr>
          <w:rFonts w:ascii="Arial" w:hAnsi="Arial" w:cs="Arial"/>
        </w:rPr>
        <w:t xml:space="preserve"> [2017] UKSC 67</w:t>
      </w:r>
      <w:bookmarkStart w:id="0" w:name="_Toc367975301"/>
      <w:bookmarkStart w:id="1" w:name="_Toc431462977"/>
      <w:r w:rsidR="00037924" w:rsidRPr="00037924">
        <w:rPr>
          <w:rFonts w:ascii="Arial" w:eastAsia="Times New Roman" w:hAnsi="Arial" w:cs="Arial"/>
          <w:b/>
          <w:bCs/>
          <w:iCs/>
          <w:lang w:bidi="en-US"/>
        </w:rPr>
        <w:br w:type="page"/>
      </w:r>
    </w:p>
    <w:p w14:paraId="55588DC9" w14:textId="4C2BF7C7" w:rsidR="00320F25" w:rsidRDefault="00B31500" w:rsidP="00AE3010">
      <w:pPr>
        <w:pStyle w:val="ListParagraph"/>
        <w:numPr>
          <w:ilvl w:val="0"/>
          <w:numId w:val="2"/>
        </w:numPr>
        <w:spacing w:line="480" w:lineRule="auto"/>
        <w:jc w:val="both"/>
        <w:rPr>
          <w:rFonts w:ascii="Arial" w:eastAsia="Times New Roman" w:hAnsi="Arial" w:cs="Arial"/>
          <w:b/>
          <w:bCs/>
          <w:iCs/>
          <w:lang w:bidi="en-US"/>
        </w:rPr>
      </w:pPr>
      <w:r>
        <w:rPr>
          <w:rFonts w:ascii="Arial" w:eastAsia="Times New Roman" w:hAnsi="Arial" w:cs="Arial"/>
          <w:b/>
          <w:bCs/>
          <w:iCs/>
          <w:lang w:bidi="en-US"/>
        </w:rPr>
        <w:lastRenderedPageBreak/>
        <w:t>Dishonest assistance</w:t>
      </w:r>
    </w:p>
    <w:p w14:paraId="0AF8B8B2" w14:textId="2D688FCA" w:rsidR="00B31500" w:rsidRPr="00B31500" w:rsidRDefault="00045DF2" w:rsidP="00B31500">
      <w:pPr>
        <w:spacing w:line="480" w:lineRule="auto"/>
        <w:jc w:val="both"/>
        <w:rPr>
          <w:rFonts w:ascii="Arial" w:eastAsia="Times New Roman" w:hAnsi="Arial" w:cs="Arial"/>
          <w:bCs/>
          <w:iCs/>
          <w:u w:val="single"/>
          <w:lang w:bidi="en-US"/>
        </w:rPr>
      </w:pPr>
      <w:r>
        <w:rPr>
          <w:rFonts w:ascii="Arial" w:eastAsia="Times New Roman" w:hAnsi="Arial" w:cs="Arial"/>
          <w:bCs/>
          <w:iCs/>
          <w:u w:val="single"/>
          <w:lang w:bidi="en-US"/>
        </w:rPr>
        <w:t xml:space="preserve">I – </w:t>
      </w:r>
      <w:r w:rsidR="00B31500" w:rsidRPr="00B31500">
        <w:rPr>
          <w:rFonts w:ascii="Arial" w:eastAsia="Times New Roman" w:hAnsi="Arial" w:cs="Arial"/>
          <w:bCs/>
          <w:iCs/>
          <w:u w:val="single"/>
          <w:lang w:bidi="en-US"/>
        </w:rPr>
        <w:t>Introduction</w:t>
      </w:r>
      <w:r>
        <w:rPr>
          <w:rFonts w:ascii="Arial" w:eastAsia="Times New Roman" w:hAnsi="Arial" w:cs="Arial"/>
          <w:bCs/>
          <w:iCs/>
          <w:u w:val="single"/>
          <w:lang w:bidi="en-US"/>
        </w:rPr>
        <w:t xml:space="preserve"> </w:t>
      </w:r>
    </w:p>
    <w:p w14:paraId="41442A97" w14:textId="2BC7B9DD" w:rsidR="00320F25" w:rsidRDefault="00B31500" w:rsidP="00AE3010">
      <w:pPr>
        <w:spacing w:after="0" w:line="480" w:lineRule="auto"/>
        <w:jc w:val="both"/>
        <w:rPr>
          <w:rFonts w:ascii="Arial" w:hAnsi="Arial" w:cs="Arial"/>
        </w:rPr>
      </w:pPr>
      <w:r>
        <w:rPr>
          <w:rFonts w:ascii="Arial" w:hAnsi="Arial" w:cs="Arial"/>
        </w:rPr>
        <w:t>I</w:t>
      </w:r>
      <w:r w:rsidR="00320F25" w:rsidRPr="00916FB1">
        <w:rPr>
          <w:rFonts w:ascii="Arial" w:hAnsi="Arial" w:cs="Arial"/>
        </w:rPr>
        <w:t xml:space="preserve">t is sometimes possible for the beneficiary of a trust to assert a proprietary claim against a third party (also sometimes called ‘a stranger’ to the trust). However, </w:t>
      </w:r>
      <w:r w:rsidR="00571C38">
        <w:rPr>
          <w:rFonts w:ascii="Arial" w:hAnsi="Arial" w:cs="Arial"/>
        </w:rPr>
        <w:t xml:space="preserve">at least for equitable claims, </w:t>
      </w:r>
      <w:r w:rsidR="00320F25" w:rsidRPr="00916FB1">
        <w:rPr>
          <w:rFonts w:ascii="Arial" w:hAnsi="Arial" w:cs="Arial"/>
        </w:rPr>
        <w:t>this requires the third party to have the trust property in their possession. Where the third party no longer has the trust property or never received it, it is not possible to bring a proprietary claim, but it is in some instances possible to bring a personal claim. This is a possibility in two situations, namely where the third party dishonestly assisted in the breach (‘dishonest assistance’) and where the third party received the trust assets</w:t>
      </w:r>
      <w:r w:rsidR="00C81B19">
        <w:rPr>
          <w:rFonts w:ascii="Arial" w:hAnsi="Arial" w:cs="Arial"/>
        </w:rPr>
        <w:t xml:space="preserve"> knowing about the breach</w:t>
      </w:r>
      <w:r w:rsidR="00320F25" w:rsidRPr="00916FB1">
        <w:rPr>
          <w:rFonts w:ascii="Arial" w:hAnsi="Arial" w:cs="Arial"/>
        </w:rPr>
        <w:t xml:space="preserve"> (‘knowing receipt’).</w:t>
      </w:r>
      <w:r>
        <w:rPr>
          <w:rFonts w:ascii="Arial" w:hAnsi="Arial" w:cs="Arial"/>
        </w:rPr>
        <w:t xml:space="preserve"> We will cover dishonest assistance this week and knowing receipt next week.</w:t>
      </w:r>
    </w:p>
    <w:p w14:paraId="06ED564E" w14:textId="49BF000C" w:rsidR="00AE3010" w:rsidRPr="00500AD5" w:rsidRDefault="4CFAF237" w:rsidP="00500AD5">
      <w:pPr>
        <w:spacing w:after="0" w:line="480" w:lineRule="auto"/>
        <w:jc w:val="both"/>
        <w:rPr>
          <w:rFonts w:ascii="Arial" w:hAnsi="Arial" w:cs="Arial"/>
        </w:rPr>
      </w:pPr>
      <w:r w:rsidRPr="4CFAF237">
        <w:rPr>
          <w:rFonts w:ascii="Arial" w:hAnsi="Arial" w:cs="Arial"/>
        </w:rPr>
        <w:t>Why would a claimant beneficiary faced with a breach of trust or fiduciary duty by a trustee want to bring a personal claim against a third party rather than the trustee? The trustee in breach may be insolvent and thus not likely to be able to pay any financial compensatory remedy, may be exempted from liability by virtue of an exemption clause or may have been relieved by the court from liability under section 61 of the Trustee Act 1925.</w:t>
      </w:r>
    </w:p>
    <w:p w14:paraId="22EEFFB8" w14:textId="49445043" w:rsidR="00C81B19" w:rsidRPr="00C81B19" w:rsidRDefault="00C81B19" w:rsidP="00C81B19">
      <w:pPr>
        <w:spacing w:after="0" w:line="480" w:lineRule="auto"/>
        <w:jc w:val="both"/>
        <w:rPr>
          <w:rFonts w:ascii="Arial" w:hAnsi="Arial" w:cs="Arial"/>
        </w:rPr>
      </w:pPr>
      <w:r w:rsidRPr="00C81B19">
        <w:rPr>
          <w:rFonts w:ascii="Arial" w:hAnsi="Arial" w:cs="Arial"/>
        </w:rPr>
        <w:t>W</w:t>
      </w:r>
      <w:r w:rsidR="00500AD5">
        <w:rPr>
          <w:rFonts w:ascii="Arial" w:hAnsi="Arial" w:cs="Arial"/>
        </w:rPr>
        <w:t>ho are these strangers to the trust claimed to be liable</w:t>
      </w:r>
      <w:r>
        <w:rPr>
          <w:rFonts w:ascii="Arial" w:hAnsi="Arial" w:cs="Arial"/>
        </w:rPr>
        <w:t>?</w:t>
      </w:r>
      <w:r w:rsidRPr="00C81B19">
        <w:rPr>
          <w:rFonts w:ascii="Arial" w:hAnsi="Arial" w:cs="Arial"/>
        </w:rPr>
        <w:t xml:space="preserve"> They are third parties that are not trustees or beneficiaries, most commonly:</w:t>
      </w:r>
    </w:p>
    <w:p w14:paraId="19714221" w14:textId="2C85FD9A" w:rsidR="00C81B19" w:rsidRPr="00C81B19" w:rsidRDefault="00C81B19" w:rsidP="00C81B19">
      <w:pPr>
        <w:pStyle w:val="ListParagraph"/>
        <w:numPr>
          <w:ilvl w:val="0"/>
          <w:numId w:val="11"/>
        </w:numPr>
        <w:spacing w:after="200" w:line="480" w:lineRule="auto"/>
        <w:jc w:val="both"/>
        <w:rPr>
          <w:rFonts w:ascii="Arial" w:hAnsi="Arial" w:cs="Arial"/>
        </w:rPr>
      </w:pPr>
      <w:r w:rsidRPr="00C81B19">
        <w:rPr>
          <w:rFonts w:ascii="Arial" w:hAnsi="Arial" w:cs="Arial"/>
        </w:rPr>
        <w:t>T</w:t>
      </w:r>
      <w:r>
        <w:rPr>
          <w:rFonts w:ascii="Arial" w:hAnsi="Arial" w:cs="Arial"/>
        </w:rPr>
        <w:t>he t</w:t>
      </w:r>
      <w:r w:rsidRPr="00C81B19">
        <w:rPr>
          <w:rFonts w:ascii="Arial" w:hAnsi="Arial" w:cs="Arial"/>
        </w:rPr>
        <w:t>rustee’s solicitors, advisers, accountants</w:t>
      </w:r>
    </w:p>
    <w:p w14:paraId="65E2DBEF" w14:textId="1E67683A" w:rsidR="00C81B19" w:rsidRPr="00C81B19" w:rsidRDefault="00C81B19" w:rsidP="00C81B19">
      <w:pPr>
        <w:pStyle w:val="ListParagraph"/>
        <w:numPr>
          <w:ilvl w:val="0"/>
          <w:numId w:val="11"/>
        </w:numPr>
        <w:spacing w:after="200" w:line="480" w:lineRule="auto"/>
        <w:jc w:val="both"/>
        <w:rPr>
          <w:rFonts w:ascii="Arial" w:hAnsi="Arial" w:cs="Arial"/>
        </w:rPr>
      </w:pPr>
      <w:r w:rsidRPr="00C81B19">
        <w:rPr>
          <w:rFonts w:ascii="Arial" w:hAnsi="Arial" w:cs="Arial"/>
        </w:rPr>
        <w:t>T</w:t>
      </w:r>
      <w:r>
        <w:rPr>
          <w:rFonts w:ascii="Arial" w:hAnsi="Arial" w:cs="Arial"/>
        </w:rPr>
        <w:t>he t</w:t>
      </w:r>
      <w:r w:rsidRPr="00C81B19">
        <w:rPr>
          <w:rFonts w:ascii="Arial" w:hAnsi="Arial" w:cs="Arial"/>
        </w:rPr>
        <w:t>rustee’s employees – assistants, auditors</w:t>
      </w:r>
    </w:p>
    <w:p w14:paraId="1A998172" w14:textId="73AC60D8" w:rsidR="00C81B19" w:rsidRDefault="00C81B19" w:rsidP="00500AD5">
      <w:pPr>
        <w:pStyle w:val="ListParagraph"/>
        <w:numPr>
          <w:ilvl w:val="0"/>
          <w:numId w:val="11"/>
        </w:numPr>
        <w:spacing w:after="200" w:line="480" w:lineRule="auto"/>
        <w:jc w:val="both"/>
        <w:rPr>
          <w:rFonts w:ascii="Arial" w:hAnsi="Arial" w:cs="Arial"/>
        </w:rPr>
      </w:pPr>
      <w:r w:rsidRPr="00C81B19">
        <w:rPr>
          <w:rFonts w:ascii="Arial" w:hAnsi="Arial" w:cs="Arial"/>
        </w:rPr>
        <w:t>Employees of banks dealing with trust money</w:t>
      </w:r>
    </w:p>
    <w:p w14:paraId="218B940B" w14:textId="5DB38500" w:rsidR="00045DF2" w:rsidRDefault="0065202D" w:rsidP="0065202D">
      <w:pPr>
        <w:spacing w:after="200" w:line="480" w:lineRule="auto"/>
        <w:jc w:val="both"/>
        <w:rPr>
          <w:rFonts w:ascii="Arial" w:hAnsi="Arial" w:cs="Arial"/>
        </w:rPr>
      </w:pPr>
      <w:r>
        <w:rPr>
          <w:rFonts w:ascii="Arial" w:hAnsi="Arial" w:cs="Arial"/>
        </w:rPr>
        <w:t>In the normal course of events, these third parties are liable to the trustees of a trust under the law of agency, contract or tort, with beneficiaries unable to claim against them other than through the trustees. However, in certain circumstances, including when they dishonestly assist trustees in a breach of trust, these third parties become directly liable to beneficiaries.</w:t>
      </w:r>
    </w:p>
    <w:p w14:paraId="30BEA2E9" w14:textId="77777777" w:rsidR="0065202D" w:rsidRDefault="0065202D" w:rsidP="0065202D">
      <w:pPr>
        <w:spacing w:after="200" w:line="480" w:lineRule="auto"/>
        <w:jc w:val="both"/>
        <w:rPr>
          <w:rFonts w:ascii="Arial" w:hAnsi="Arial" w:cs="Arial"/>
        </w:rPr>
      </w:pPr>
    </w:p>
    <w:p w14:paraId="3894FE27" w14:textId="12C34477" w:rsidR="00F13A18" w:rsidRPr="00045DF2" w:rsidRDefault="00045DF2" w:rsidP="00C81B19">
      <w:pPr>
        <w:spacing w:after="0" w:line="480" w:lineRule="auto"/>
        <w:jc w:val="both"/>
        <w:rPr>
          <w:rFonts w:ascii="Arial" w:hAnsi="Arial" w:cs="Arial"/>
          <w:u w:val="single"/>
        </w:rPr>
      </w:pPr>
      <w:r w:rsidRPr="00045DF2">
        <w:rPr>
          <w:rFonts w:ascii="Arial" w:hAnsi="Arial" w:cs="Arial"/>
          <w:u w:val="single"/>
        </w:rPr>
        <w:lastRenderedPageBreak/>
        <w:t>II – Liability for Dishonest Assistance</w:t>
      </w:r>
    </w:p>
    <w:p w14:paraId="61CC1AD7" w14:textId="0081C748" w:rsidR="00C81B19" w:rsidRPr="00C81B19" w:rsidRDefault="12EFAF3C" w:rsidP="00C81B19">
      <w:pPr>
        <w:spacing w:after="0" w:line="480" w:lineRule="auto"/>
        <w:jc w:val="both"/>
        <w:rPr>
          <w:rFonts w:ascii="Arial" w:hAnsi="Arial" w:cs="Arial"/>
        </w:rPr>
      </w:pPr>
      <w:r w:rsidRPr="12EFAF3C">
        <w:rPr>
          <w:rFonts w:ascii="Arial" w:hAnsi="Arial" w:cs="Arial"/>
        </w:rPr>
        <w:t>The personal liability of strangers to the trust is fault-based, i.e., there is no liability for merely assisting or receiving trust property; it must be dishonest (dishonest assistance) or knowing (knowing receipt). While strangers liable for dishonest assistance or knowing receipt are sometimes said to be liable to account as constructive trustees, the language of ‘constructive trusteeship’ is problematic, as it suggests that proprietary remedies are available</w:t>
      </w:r>
      <w:r w:rsidR="001B5B00">
        <w:rPr>
          <w:rFonts w:ascii="Arial" w:hAnsi="Arial" w:cs="Arial"/>
        </w:rPr>
        <w:t>. It is true that, if a knowing recipient retains trust property, this can be recovered using a proprietary claim</w:t>
      </w:r>
      <w:r w:rsidRPr="12EFAF3C">
        <w:rPr>
          <w:rFonts w:ascii="Arial" w:hAnsi="Arial" w:cs="Arial"/>
        </w:rPr>
        <w:t xml:space="preserve">. </w:t>
      </w:r>
      <w:r w:rsidR="001B5B00">
        <w:rPr>
          <w:rFonts w:ascii="Arial" w:hAnsi="Arial" w:cs="Arial"/>
        </w:rPr>
        <w:t>However, this will not involve a claim of knowing receipt, as the types of l</w:t>
      </w:r>
      <w:r w:rsidRPr="12EFAF3C">
        <w:rPr>
          <w:rFonts w:ascii="Arial" w:hAnsi="Arial" w:cs="Arial"/>
        </w:rPr>
        <w:t xml:space="preserve">iability </w:t>
      </w:r>
      <w:r w:rsidR="001B5B00">
        <w:rPr>
          <w:rFonts w:ascii="Arial" w:hAnsi="Arial" w:cs="Arial"/>
        </w:rPr>
        <w:t xml:space="preserve">associated with both knowing receipt and dishonest assistance are </w:t>
      </w:r>
      <w:r w:rsidRPr="12EFAF3C">
        <w:rPr>
          <w:rFonts w:ascii="Arial" w:hAnsi="Arial" w:cs="Arial"/>
        </w:rPr>
        <w:t xml:space="preserve">purely personal. </w:t>
      </w:r>
      <w:r w:rsidR="001B5B00">
        <w:rPr>
          <w:rFonts w:ascii="Arial" w:hAnsi="Arial" w:cs="Arial"/>
        </w:rPr>
        <w:t>Despite this fact</w:t>
      </w:r>
      <w:r w:rsidRPr="12EFAF3C">
        <w:rPr>
          <w:rFonts w:ascii="Arial" w:hAnsi="Arial" w:cs="Arial"/>
        </w:rPr>
        <w:t>, the constructive trust terminology is widely used in this context to describe liability.</w:t>
      </w:r>
    </w:p>
    <w:p w14:paraId="23A4FF37" w14:textId="182F58D3" w:rsidR="00320F25" w:rsidRPr="00916FB1" w:rsidRDefault="00320F25" w:rsidP="00C81B19">
      <w:pPr>
        <w:spacing w:after="0" w:line="480" w:lineRule="auto"/>
        <w:jc w:val="both"/>
        <w:rPr>
          <w:rFonts w:ascii="Arial" w:hAnsi="Arial" w:cs="Arial"/>
        </w:rPr>
      </w:pPr>
      <w:r w:rsidRPr="00916FB1">
        <w:rPr>
          <w:rFonts w:ascii="Arial" w:hAnsi="Arial" w:cs="Arial"/>
        </w:rPr>
        <w:t xml:space="preserve">In cases of dishonest assistance, the third party is </w:t>
      </w:r>
      <w:r w:rsidR="0065202D">
        <w:rPr>
          <w:rFonts w:ascii="Arial" w:hAnsi="Arial" w:cs="Arial"/>
        </w:rPr>
        <w:t xml:space="preserve">personally </w:t>
      </w:r>
      <w:r w:rsidRPr="00916FB1">
        <w:rPr>
          <w:rFonts w:ascii="Arial" w:hAnsi="Arial" w:cs="Arial"/>
        </w:rPr>
        <w:t>liable for the loss caused by the assistance to the trust fund. In cases of knowing receipt, the third party is liable to account for the property received. Third parties may also be liable for any profits made from the assistance or receipt</w:t>
      </w:r>
      <w:r w:rsidR="002E5098">
        <w:rPr>
          <w:rFonts w:ascii="Arial" w:hAnsi="Arial" w:cs="Arial"/>
        </w:rPr>
        <w:t>, such as fees for their services.</w:t>
      </w:r>
    </w:p>
    <w:p w14:paraId="2EE453C1" w14:textId="6EAE5C7C" w:rsidR="00320F25" w:rsidRPr="00916FB1" w:rsidRDefault="00320F25" w:rsidP="00AE3010">
      <w:pPr>
        <w:spacing w:line="480" w:lineRule="auto"/>
        <w:contextualSpacing/>
        <w:jc w:val="both"/>
        <w:rPr>
          <w:rFonts w:ascii="Arial" w:hAnsi="Arial" w:cs="Arial"/>
        </w:rPr>
      </w:pPr>
    </w:p>
    <w:p w14:paraId="086DD7C0" w14:textId="6974D4C7" w:rsidR="00320F25" w:rsidRPr="00045DF2" w:rsidRDefault="00045DF2" w:rsidP="00B31500">
      <w:pPr>
        <w:spacing w:line="480" w:lineRule="auto"/>
        <w:jc w:val="both"/>
        <w:rPr>
          <w:rFonts w:ascii="Arial" w:eastAsia="Times New Roman" w:hAnsi="Arial" w:cs="Arial"/>
          <w:bCs/>
          <w:iCs/>
          <w:lang w:bidi="en-US"/>
        </w:rPr>
      </w:pPr>
      <w:r w:rsidRPr="00045DF2">
        <w:rPr>
          <w:rFonts w:ascii="Arial" w:eastAsia="Times New Roman" w:hAnsi="Arial" w:cs="Arial"/>
          <w:bCs/>
          <w:iCs/>
          <w:lang w:bidi="en-US"/>
        </w:rPr>
        <w:t xml:space="preserve">a) </w:t>
      </w:r>
      <w:r w:rsidR="00B31500" w:rsidRPr="00045DF2">
        <w:rPr>
          <w:rFonts w:ascii="Arial" w:eastAsia="Times New Roman" w:hAnsi="Arial" w:cs="Arial"/>
          <w:bCs/>
          <w:iCs/>
          <w:lang w:bidi="en-US"/>
        </w:rPr>
        <w:t>Requirements for liability</w:t>
      </w:r>
      <w:r>
        <w:rPr>
          <w:rFonts w:ascii="Arial" w:eastAsia="Times New Roman" w:hAnsi="Arial" w:cs="Arial"/>
          <w:bCs/>
          <w:iCs/>
          <w:lang w:bidi="en-US"/>
        </w:rPr>
        <w:t xml:space="preserve"> to arise</w:t>
      </w:r>
    </w:p>
    <w:p w14:paraId="4665544F" w14:textId="22F37419" w:rsidR="00986D7B" w:rsidRPr="00986D7B" w:rsidRDefault="4CFAF237" w:rsidP="00986D7B">
      <w:pPr>
        <w:spacing w:after="0" w:line="480" w:lineRule="auto"/>
        <w:jc w:val="both"/>
        <w:rPr>
          <w:rFonts w:ascii="Arial" w:hAnsi="Arial" w:cs="Arial"/>
        </w:rPr>
      </w:pPr>
      <w:r w:rsidRPr="4CFAF237">
        <w:rPr>
          <w:rFonts w:ascii="Arial" w:hAnsi="Arial" w:cs="Arial"/>
        </w:rPr>
        <w:t>It could be argued that liability for dishonest assistance in a breach of trust or fiduciary duty arises as a form of secondary liability, the primary liability being that borne by the trustee for the breach. However, the liability of a third party assisting in a breach is based on the assister’s own wrongdoing and is in this sense primary rather than ancillary to the breach. The rationale for the liability is given by Nicholls</w:t>
      </w:r>
      <w:r w:rsidR="00045DF2">
        <w:rPr>
          <w:rFonts w:ascii="Arial" w:hAnsi="Arial" w:cs="Arial"/>
        </w:rPr>
        <w:t xml:space="preserve"> LJ</w:t>
      </w:r>
      <w:r w:rsidRPr="4CFAF237">
        <w:rPr>
          <w:rFonts w:ascii="Arial" w:hAnsi="Arial" w:cs="Arial"/>
        </w:rPr>
        <w:t xml:space="preserve"> in </w:t>
      </w:r>
      <w:r w:rsidRPr="4CFAF237">
        <w:rPr>
          <w:rFonts w:ascii="Arial" w:hAnsi="Arial" w:cs="Arial"/>
          <w:i/>
          <w:iCs/>
          <w:u w:val="single"/>
        </w:rPr>
        <w:t>Royal Brunei Airlines Sdn Bhd v Tan</w:t>
      </w:r>
      <w:r w:rsidRPr="4CFAF237">
        <w:rPr>
          <w:rFonts w:ascii="Arial" w:hAnsi="Arial" w:cs="Arial"/>
          <w:u w:val="single"/>
        </w:rPr>
        <w:t xml:space="preserve"> [1995] 2 AC 378</w:t>
      </w:r>
      <w:r w:rsidRPr="4CFAF237">
        <w:rPr>
          <w:rFonts w:ascii="Arial" w:hAnsi="Arial" w:cs="Arial"/>
        </w:rPr>
        <w:t xml:space="preserve">, at 387: </w:t>
      </w:r>
    </w:p>
    <w:p w14:paraId="61209837" w14:textId="4BB0CF6F" w:rsidR="00320F25" w:rsidRPr="00916FB1" w:rsidRDefault="00986D7B" w:rsidP="00E32D09">
      <w:pPr>
        <w:spacing w:line="480" w:lineRule="auto"/>
        <w:ind w:left="720"/>
        <w:jc w:val="both"/>
        <w:rPr>
          <w:rFonts w:ascii="Arial" w:hAnsi="Arial" w:cs="Arial"/>
        </w:rPr>
      </w:pPr>
      <w:r>
        <w:rPr>
          <w:rFonts w:ascii="Arial" w:hAnsi="Arial" w:cs="Arial"/>
        </w:rPr>
        <w:t>“</w:t>
      </w:r>
      <w:r w:rsidRPr="00986D7B">
        <w:rPr>
          <w:rFonts w:ascii="Arial" w:hAnsi="Arial" w:cs="Arial"/>
        </w:rPr>
        <w:t xml:space="preserve">The rationale is not far to seek. Beneficiaries are entitled to expect that those who become trustees will fulfil their obligations. They are also entitled to expect, and this is only a short step further, that those who become trustees will be permitted to fulfil their obligations without deliberate intervention from third parties. They are entitled to expect that third parties will refrain from intentionally intruding in the trustee-beneficiary </w:t>
      </w:r>
      <w:r w:rsidRPr="00986D7B">
        <w:rPr>
          <w:rFonts w:ascii="Arial" w:hAnsi="Arial" w:cs="Arial"/>
        </w:rPr>
        <w:lastRenderedPageBreak/>
        <w:t>relationship and thereby hindering a beneficiary from receiving his entitlement in accordance with the</w:t>
      </w:r>
      <w:r>
        <w:rPr>
          <w:rFonts w:ascii="Arial" w:hAnsi="Arial" w:cs="Arial"/>
        </w:rPr>
        <w:t xml:space="preserve"> terms of the trust instrument.”</w:t>
      </w:r>
    </w:p>
    <w:p w14:paraId="3A7C604E" w14:textId="77777777" w:rsidR="00320F25" w:rsidRPr="00916FB1" w:rsidRDefault="00320F25" w:rsidP="00AE3010">
      <w:pPr>
        <w:spacing w:line="480" w:lineRule="auto"/>
        <w:contextualSpacing/>
        <w:jc w:val="both"/>
        <w:rPr>
          <w:rFonts w:ascii="Arial" w:hAnsi="Arial" w:cs="Arial"/>
        </w:rPr>
      </w:pPr>
      <w:r w:rsidRPr="00916FB1">
        <w:rPr>
          <w:rFonts w:ascii="Arial" w:hAnsi="Arial" w:cs="Arial"/>
        </w:rPr>
        <w:t>There are four requirements that must be established before a stranger will be liable for dishonest assistance:</w:t>
      </w:r>
    </w:p>
    <w:p w14:paraId="50876082" w14:textId="3FD7CE29" w:rsidR="00320F25" w:rsidRPr="00916FB1" w:rsidRDefault="00320F25" w:rsidP="00E93B1E">
      <w:pPr>
        <w:pStyle w:val="ListParagraph"/>
        <w:numPr>
          <w:ilvl w:val="0"/>
          <w:numId w:val="28"/>
        </w:numPr>
        <w:spacing w:after="200" w:line="480" w:lineRule="auto"/>
        <w:jc w:val="both"/>
        <w:rPr>
          <w:rFonts w:ascii="Arial" w:hAnsi="Arial" w:cs="Arial"/>
        </w:rPr>
      </w:pPr>
      <w:r w:rsidRPr="00916FB1">
        <w:rPr>
          <w:rFonts w:ascii="Arial" w:hAnsi="Arial" w:cs="Arial"/>
        </w:rPr>
        <w:t xml:space="preserve">The existence of a </w:t>
      </w:r>
      <w:r w:rsidR="00023692">
        <w:rPr>
          <w:rFonts w:ascii="Arial" w:hAnsi="Arial" w:cs="Arial"/>
        </w:rPr>
        <w:t>trust or fiduciary relationship</w:t>
      </w:r>
    </w:p>
    <w:p w14:paraId="748E42B3" w14:textId="75783CCA" w:rsidR="00320F25" w:rsidRPr="00916FB1" w:rsidRDefault="00320F25" w:rsidP="00E93B1E">
      <w:pPr>
        <w:pStyle w:val="ListParagraph"/>
        <w:numPr>
          <w:ilvl w:val="0"/>
          <w:numId w:val="28"/>
        </w:numPr>
        <w:spacing w:after="200" w:line="480" w:lineRule="auto"/>
        <w:jc w:val="both"/>
        <w:rPr>
          <w:rFonts w:ascii="Arial" w:hAnsi="Arial" w:cs="Arial"/>
        </w:rPr>
      </w:pPr>
      <w:r w:rsidRPr="00916FB1">
        <w:rPr>
          <w:rFonts w:ascii="Arial" w:hAnsi="Arial" w:cs="Arial"/>
        </w:rPr>
        <w:t>A br</w:t>
      </w:r>
      <w:r w:rsidR="00023692">
        <w:rPr>
          <w:rFonts w:ascii="Arial" w:hAnsi="Arial" w:cs="Arial"/>
        </w:rPr>
        <w:t>each of trust or fiduciary duty</w:t>
      </w:r>
    </w:p>
    <w:p w14:paraId="10A1C750" w14:textId="42FA8495" w:rsidR="00320F25" w:rsidRPr="00916FB1" w:rsidRDefault="00023692" w:rsidP="00E93B1E">
      <w:pPr>
        <w:pStyle w:val="ListParagraph"/>
        <w:numPr>
          <w:ilvl w:val="0"/>
          <w:numId w:val="28"/>
        </w:numPr>
        <w:spacing w:after="200" w:line="480" w:lineRule="auto"/>
        <w:jc w:val="both"/>
        <w:rPr>
          <w:rFonts w:ascii="Arial" w:hAnsi="Arial" w:cs="Arial"/>
        </w:rPr>
      </w:pPr>
      <w:r>
        <w:rPr>
          <w:rFonts w:ascii="Arial" w:hAnsi="Arial" w:cs="Arial"/>
        </w:rPr>
        <w:t>Assistance in that breach</w:t>
      </w:r>
    </w:p>
    <w:p w14:paraId="76AC7F58" w14:textId="114D3727" w:rsidR="53042AC8" w:rsidRDefault="00023692" w:rsidP="53042AC8">
      <w:pPr>
        <w:pStyle w:val="ListParagraph"/>
        <w:numPr>
          <w:ilvl w:val="0"/>
          <w:numId w:val="28"/>
        </w:numPr>
        <w:spacing w:after="200" w:line="480" w:lineRule="auto"/>
        <w:jc w:val="both"/>
        <w:rPr>
          <w:rFonts w:ascii="Arial" w:hAnsi="Arial" w:cs="Arial"/>
        </w:rPr>
      </w:pPr>
      <w:r>
        <w:rPr>
          <w:rFonts w:ascii="Arial" w:hAnsi="Arial" w:cs="Arial"/>
        </w:rPr>
        <w:t>Dishonesty</w:t>
      </w:r>
    </w:p>
    <w:p w14:paraId="3B68C7B7" w14:textId="77777777" w:rsidR="002620B5" w:rsidRDefault="002620B5" w:rsidP="00AE3010">
      <w:pPr>
        <w:spacing w:line="480" w:lineRule="auto"/>
        <w:contextualSpacing/>
        <w:jc w:val="both"/>
        <w:rPr>
          <w:rFonts w:ascii="Arial" w:hAnsi="Arial" w:cs="Arial"/>
          <w:b/>
        </w:rPr>
      </w:pPr>
    </w:p>
    <w:p w14:paraId="78C095BB" w14:textId="1733DB17" w:rsidR="00320F25" w:rsidRPr="00045DF2" w:rsidRDefault="00261C62" w:rsidP="00AE3010">
      <w:pPr>
        <w:spacing w:line="480" w:lineRule="auto"/>
        <w:contextualSpacing/>
        <w:jc w:val="both"/>
        <w:rPr>
          <w:rFonts w:ascii="Arial" w:hAnsi="Arial" w:cs="Arial"/>
          <w:bCs/>
        </w:rPr>
      </w:pPr>
      <w:r w:rsidRPr="00045DF2">
        <w:rPr>
          <w:rFonts w:ascii="Arial" w:hAnsi="Arial" w:cs="Arial"/>
          <w:bCs/>
        </w:rPr>
        <w:t xml:space="preserve">1) </w:t>
      </w:r>
      <w:r w:rsidR="00320F25" w:rsidRPr="00045DF2">
        <w:rPr>
          <w:rFonts w:ascii="Arial" w:hAnsi="Arial" w:cs="Arial"/>
          <w:bCs/>
        </w:rPr>
        <w:t>The existence of a trust or fiduciary relationship</w:t>
      </w:r>
    </w:p>
    <w:p w14:paraId="3769A305" w14:textId="70B9A132" w:rsidR="00320F25" w:rsidRPr="00916FB1" w:rsidRDefault="00320F25" w:rsidP="00AE3010">
      <w:pPr>
        <w:spacing w:line="480" w:lineRule="auto"/>
        <w:contextualSpacing/>
        <w:jc w:val="both"/>
        <w:rPr>
          <w:rFonts w:ascii="Arial" w:hAnsi="Arial" w:cs="Arial"/>
        </w:rPr>
      </w:pPr>
      <w:r w:rsidRPr="00916FB1">
        <w:rPr>
          <w:rFonts w:ascii="Arial" w:hAnsi="Arial" w:cs="Arial"/>
        </w:rPr>
        <w:t xml:space="preserve">In </w:t>
      </w:r>
      <w:r w:rsidRPr="00916FB1">
        <w:rPr>
          <w:rFonts w:ascii="Arial" w:hAnsi="Arial" w:cs="Arial"/>
          <w:i/>
          <w:u w:val="single"/>
        </w:rPr>
        <w:t>Tan</w:t>
      </w:r>
      <w:r w:rsidRPr="00916FB1">
        <w:rPr>
          <w:rFonts w:ascii="Arial" w:hAnsi="Arial" w:cs="Arial"/>
        </w:rPr>
        <w:t>, the plaintiff airline had appointed a company to act as its agent for the sale of passenger and cargo transportation. The terms of the appointment required the company to hold any money received from the sale of tickets on trust until it was paid over to the claimant. The defendant Mr Tan was the managing director and principal shareholder of the company. In practice, and in breach of the agreement with the claimant, the money was not paid into a separate account. The money was used for the company’s ordinary business purposes; paying salaries, overheads and other expenses, as well as keeping its bank overdraft down. It was assumed that the defendant had authorized the use of the money for these purposes. When the company became insolvent, the claimant brought a claim that the defendant, Mr Tan, was personally liable to account as an accessory to a breach of trust committed by the company. The Privy Council held that the defendant was liable to account.</w:t>
      </w:r>
    </w:p>
    <w:p w14:paraId="6A9FB6CE" w14:textId="0599864C" w:rsidR="00122DAA" w:rsidRPr="00916FB1" w:rsidRDefault="00320F25" w:rsidP="00122DAA">
      <w:pPr>
        <w:spacing w:line="480" w:lineRule="auto"/>
        <w:contextualSpacing/>
        <w:jc w:val="both"/>
        <w:rPr>
          <w:rFonts w:ascii="Arial" w:hAnsi="Arial" w:cs="Arial"/>
        </w:rPr>
      </w:pPr>
      <w:r w:rsidRPr="00916FB1">
        <w:rPr>
          <w:rFonts w:ascii="Arial" w:hAnsi="Arial" w:cs="Arial"/>
        </w:rPr>
        <w:t xml:space="preserve">In </w:t>
      </w:r>
      <w:r w:rsidRPr="00916FB1">
        <w:rPr>
          <w:rFonts w:ascii="Arial" w:hAnsi="Arial" w:cs="Arial"/>
          <w:i/>
          <w:u w:val="single"/>
        </w:rPr>
        <w:t>Tan</w:t>
      </w:r>
      <w:r w:rsidRPr="00916FB1">
        <w:rPr>
          <w:rFonts w:ascii="Arial" w:hAnsi="Arial" w:cs="Arial"/>
        </w:rPr>
        <w:t xml:space="preserve"> there was obviously an express trust. However, liability</w:t>
      </w:r>
      <w:r w:rsidR="00122DAA">
        <w:rPr>
          <w:rFonts w:ascii="Arial" w:hAnsi="Arial" w:cs="Arial"/>
        </w:rPr>
        <w:t xml:space="preserve"> for dishonest assistance</w:t>
      </w:r>
      <w:r w:rsidRPr="00916FB1">
        <w:rPr>
          <w:rFonts w:ascii="Arial" w:hAnsi="Arial" w:cs="Arial"/>
        </w:rPr>
        <w:t xml:space="preserve"> is not limited to trust relationships. It has also been applied in the context of other fiduciary relationships</w:t>
      </w:r>
      <w:r w:rsidR="00D71CD4">
        <w:rPr>
          <w:rFonts w:ascii="Arial" w:hAnsi="Arial" w:cs="Arial"/>
        </w:rPr>
        <w:t xml:space="preserve"> that do not involve trust property</w:t>
      </w:r>
      <w:r w:rsidRPr="00916FB1">
        <w:rPr>
          <w:rFonts w:ascii="Arial" w:hAnsi="Arial" w:cs="Arial"/>
        </w:rPr>
        <w:t xml:space="preserve">, </w:t>
      </w:r>
      <w:r w:rsidR="00122DAA">
        <w:rPr>
          <w:rFonts w:ascii="Arial" w:hAnsi="Arial" w:cs="Arial"/>
        </w:rPr>
        <w:t>such as a company director</w:t>
      </w:r>
      <w:r w:rsidR="00D71CD4">
        <w:rPr>
          <w:rFonts w:ascii="Arial" w:hAnsi="Arial" w:cs="Arial"/>
        </w:rPr>
        <w:t>, the company</w:t>
      </w:r>
      <w:r w:rsidR="00122DAA">
        <w:rPr>
          <w:rFonts w:ascii="Arial" w:hAnsi="Arial" w:cs="Arial"/>
        </w:rPr>
        <w:t xml:space="preserve"> </w:t>
      </w:r>
      <w:r w:rsidR="00D71CD4">
        <w:rPr>
          <w:rFonts w:ascii="Arial" w:hAnsi="Arial" w:cs="Arial"/>
        </w:rPr>
        <w:t>and its property</w:t>
      </w:r>
      <w:r w:rsidR="00122DAA">
        <w:rPr>
          <w:rFonts w:ascii="Arial" w:hAnsi="Arial" w:cs="Arial"/>
        </w:rPr>
        <w:t xml:space="preserve">. </w:t>
      </w:r>
    </w:p>
    <w:p w14:paraId="62CEB480" w14:textId="77777777" w:rsidR="00320F25" w:rsidRDefault="00320F25" w:rsidP="00AE3010">
      <w:pPr>
        <w:spacing w:line="480" w:lineRule="auto"/>
        <w:contextualSpacing/>
        <w:jc w:val="both"/>
        <w:rPr>
          <w:rFonts w:ascii="Arial" w:hAnsi="Arial" w:cs="Arial"/>
        </w:rPr>
      </w:pPr>
      <w:r w:rsidRPr="00916FB1">
        <w:rPr>
          <w:rFonts w:ascii="Arial" w:hAnsi="Arial" w:cs="Arial"/>
        </w:rPr>
        <w:t xml:space="preserve"> </w:t>
      </w:r>
    </w:p>
    <w:p w14:paraId="2047C6CA" w14:textId="77777777" w:rsidR="001B5B00" w:rsidRPr="00916FB1" w:rsidRDefault="001B5B00" w:rsidP="00AE3010">
      <w:pPr>
        <w:spacing w:line="480" w:lineRule="auto"/>
        <w:contextualSpacing/>
        <w:jc w:val="both"/>
        <w:rPr>
          <w:rFonts w:ascii="Arial" w:hAnsi="Arial" w:cs="Arial"/>
        </w:rPr>
      </w:pPr>
    </w:p>
    <w:p w14:paraId="2EEF78EE" w14:textId="671ED263" w:rsidR="00320F25" w:rsidRPr="00045DF2" w:rsidRDefault="008D4A8E" w:rsidP="00AE3010">
      <w:pPr>
        <w:spacing w:line="480" w:lineRule="auto"/>
        <w:contextualSpacing/>
        <w:jc w:val="both"/>
        <w:rPr>
          <w:rFonts w:ascii="Arial" w:hAnsi="Arial" w:cs="Arial"/>
          <w:bCs/>
        </w:rPr>
      </w:pPr>
      <w:r w:rsidRPr="00045DF2">
        <w:rPr>
          <w:rFonts w:ascii="Arial" w:hAnsi="Arial" w:cs="Arial"/>
          <w:bCs/>
        </w:rPr>
        <w:lastRenderedPageBreak/>
        <w:t xml:space="preserve">2) </w:t>
      </w:r>
      <w:r w:rsidR="00320F25" w:rsidRPr="00045DF2">
        <w:rPr>
          <w:rFonts w:ascii="Arial" w:hAnsi="Arial" w:cs="Arial"/>
          <w:bCs/>
        </w:rPr>
        <w:t>A breach of trust or fiduciary duty</w:t>
      </w:r>
    </w:p>
    <w:p w14:paraId="10879709" w14:textId="197C0BF3" w:rsidR="515ABDB6" w:rsidRDefault="53042AC8" w:rsidP="53042AC8">
      <w:pPr>
        <w:spacing w:line="480" w:lineRule="auto"/>
        <w:jc w:val="both"/>
        <w:rPr>
          <w:rFonts w:ascii="Arial" w:hAnsi="Arial" w:cs="Arial"/>
        </w:rPr>
      </w:pPr>
      <w:r w:rsidRPr="53042AC8">
        <w:rPr>
          <w:rFonts w:ascii="Arial" w:hAnsi="Arial" w:cs="Arial"/>
        </w:rPr>
        <w:t xml:space="preserve">Clearly, the party in breach of trust or fiduciary duty will be someone other than the defendant. Prior to the decision in </w:t>
      </w:r>
      <w:r w:rsidRPr="53042AC8">
        <w:rPr>
          <w:rFonts w:ascii="Arial" w:hAnsi="Arial" w:cs="Arial"/>
          <w:i/>
          <w:iCs/>
          <w:u w:val="single"/>
        </w:rPr>
        <w:t>Tan</w:t>
      </w:r>
      <w:r w:rsidRPr="53042AC8">
        <w:rPr>
          <w:rFonts w:ascii="Arial" w:hAnsi="Arial" w:cs="Arial"/>
        </w:rPr>
        <w:t xml:space="preserve">, it was thought that the trustee’s breach of trust had to be dishonest or fraudulent. This meant that a stranger could not be held liable if he/she had assisted in a purely innocent or negligent breach of trust. However, this view was rejected in </w:t>
      </w:r>
      <w:r w:rsidRPr="53042AC8">
        <w:rPr>
          <w:rFonts w:ascii="Arial" w:hAnsi="Arial" w:cs="Arial"/>
          <w:i/>
          <w:iCs/>
          <w:u w:val="single"/>
        </w:rPr>
        <w:t>Tan</w:t>
      </w:r>
      <w:r w:rsidRPr="53042AC8">
        <w:rPr>
          <w:rFonts w:ascii="Arial" w:hAnsi="Arial" w:cs="Arial"/>
        </w:rPr>
        <w:t xml:space="preserve"> by the Privy Council, which held that it was not a requirement that the trustee should have acted dishonestly or fraudulently for third party liability to arise. As per Nicholls</w:t>
      </w:r>
      <w:r w:rsidR="00045DF2">
        <w:rPr>
          <w:rFonts w:ascii="Arial" w:hAnsi="Arial" w:cs="Arial"/>
        </w:rPr>
        <w:t xml:space="preserve"> LJ</w:t>
      </w:r>
      <w:r w:rsidRPr="53042AC8">
        <w:rPr>
          <w:rFonts w:ascii="Arial" w:hAnsi="Arial" w:cs="Arial"/>
        </w:rPr>
        <w:t xml:space="preserve">, at 385: “What matters is the state of mind of the third party sought to be made liable, not the state of mind of the trustee. The result is that a stranger can be liable for assisting an innocent or negligent breach of trust provided the stranger has done so dishonestly. </w:t>
      </w:r>
    </w:p>
    <w:p w14:paraId="69C7058F" w14:textId="77777777" w:rsidR="002620B5" w:rsidRDefault="002620B5" w:rsidP="53042AC8">
      <w:pPr>
        <w:spacing w:line="480" w:lineRule="auto"/>
        <w:jc w:val="both"/>
        <w:rPr>
          <w:rFonts w:ascii="Arial" w:hAnsi="Arial" w:cs="Arial"/>
        </w:rPr>
      </w:pPr>
    </w:p>
    <w:p w14:paraId="61D10DD4" w14:textId="6C21AFED" w:rsidR="00320F25" w:rsidRPr="00045DF2" w:rsidRDefault="008D4A8E" w:rsidP="00AE3010">
      <w:pPr>
        <w:spacing w:line="480" w:lineRule="auto"/>
        <w:contextualSpacing/>
        <w:jc w:val="both"/>
        <w:rPr>
          <w:rFonts w:ascii="Arial" w:hAnsi="Arial" w:cs="Arial"/>
          <w:bCs/>
        </w:rPr>
      </w:pPr>
      <w:r w:rsidRPr="00045DF2">
        <w:rPr>
          <w:rFonts w:ascii="Arial" w:hAnsi="Arial" w:cs="Arial"/>
          <w:bCs/>
        </w:rPr>
        <w:t xml:space="preserve">3) </w:t>
      </w:r>
      <w:r w:rsidR="00320F25" w:rsidRPr="00045DF2">
        <w:rPr>
          <w:rFonts w:ascii="Arial" w:hAnsi="Arial" w:cs="Arial"/>
          <w:bCs/>
        </w:rPr>
        <w:t>Assistance in the breach</w:t>
      </w:r>
    </w:p>
    <w:p w14:paraId="72D2245D" w14:textId="321F3C0B" w:rsidR="00320F25" w:rsidRPr="00916FB1" w:rsidRDefault="00320F25" w:rsidP="00144153">
      <w:pPr>
        <w:spacing w:line="480" w:lineRule="auto"/>
        <w:contextualSpacing/>
        <w:jc w:val="both"/>
        <w:rPr>
          <w:rFonts w:ascii="Arial" w:hAnsi="Arial" w:cs="Arial"/>
        </w:rPr>
      </w:pPr>
      <w:r w:rsidRPr="00916FB1">
        <w:rPr>
          <w:rFonts w:ascii="Arial" w:hAnsi="Arial" w:cs="Arial"/>
        </w:rPr>
        <w:t xml:space="preserve">Where there has been some active conduct on the part of the defendant, it will be fairly straightforward to establish assistance. For example, in </w:t>
      </w:r>
      <w:r w:rsidRPr="00916FB1">
        <w:rPr>
          <w:rFonts w:ascii="Arial" w:hAnsi="Arial" w:cs="Arial"/>
          <w:i/>
          <w:u w:val="single"/>
        </w:rPr>
        <w:t>Tan</w:t>
      </w:r>
      <w:r w:rsidRPr="00916FB1">
        <w:rPr>
          <w:rFonts w:ascii="Arial" w:hAnsi="Arial" w:cs="Arial"/>
        </w:rPr>
        <w:t xml:space="preserve"> the defendant’s conduct (as managing director of the company) in authorising the use of the trust money by the company for the payment of salaries, expenses etc. amounted to assistance in</w:t>
      </w:r>
      <w:r w:rsidR="00144153">
        <w:rPr>
          <w:rFonts w:ascii="Arial" w:hAnsi="Arial" w:cs="Arial"/>
        </w:rPr>
        <w:t xml:space="preserve"> the company’s breach of trust.</w:t>
      </w:r>
    </w:p>
    <w:p w14:paraId="2FE0E3CC" w14:textId="6F83B716" w:rsidR="00320F25" w:rsidRPr="00916FB1" w:rsidRDefault="00320F25" w:rsidP="006E30D4">
      <w:pPr>
        <w:spacing w:line="480" w:lineRule="auto"/>
        <w:contextualSpacing/>
        <w:jc w:val="both"/>
        <w:rPr>
          <w:rFonts w:ascii="Arial" w:hAnsi="Arial" w:cs="Arial"/>
        </w:rPr>
      </w:pPr>
      <w:r w:rsidRPr="00916FB1">
        <w:rPr>
          <w:rFonts w:ascii="Arial" w:hAnsi="Arial" w:cs="Arial"/>
        </w:rPr>
        <w:t xml:space="preserve">The question whether passive acquiescence can amount to assistance arose in </w:t>
      </w:r>
      <w:r w:rsidRPr="00916FB1">
        <w:rPr>
          <w:rFonts w:ascii="Arial" w:hAnsi="Arial" w:cs="Arial"/>
          <w:i/>
          <w:u w:val="single"/>
        </w:rPr>
        <w:t>Brinks Ltd v Abu-Saleh (No 3)</w:t>
      </w:r>
      <w:r w:rsidRPr="00916FB1">
        <w:rPr>
          <w:rFonts w:ascii="Arial" w:hAnsi="Arial" w:cs="Arial"/>
          <w:u w:val="single"/>
        </w:rPr>
        <w:t xml:space="preserve"> [1996] CLC 133</w:t>
      </w:r>
      <w:r w:rsidRPr="006E30D4">
        <w:rPr>
          <w:rFonts w:ascii="Arial" w:hAnsi="Arial" w:cs="Arial"/>
        </w:rPr>
        <w:t xml:space="preserve">. </w:t>
      </w:r>
      <w:r w:rsidRPr="00916FB1">
        <w:rPr>
          <w:rFonts w:ascii="Arial" w:hAnsi="Arial" w:cs="Arial"/>
        </w:rPr>
        <w:t xml:space="preserve">There had been a major robbery at Brinks Ltd’s warehouse near Heathrow Airport. Gold and other valuables worth £26m were stolen. It later transpired that a Mr Black, one of Brinks Ltd’s security guards, had participated in the planning and execution of the robbery and had provided those involved in the robbery with a key to the warehouse, internal photos of the warehouse and information about Brinks Ltd’s security arrangements and procedures. He stood in a fiduciary relationship to the claimants. The stolen gold had been smelted and disposed of and the proceeds of sale laundered. Brinks Ltd brought civil proceedings against a number of defendants to recover their stolen property or obtain damages. One of the issues in the case was whether a Mrs Elcombe was liable to </w:t>
      </w:r>
      <w:r w:rsidRPr="00916FB1">
        <w:rPr>
          <w:rFonts w:ascii="Arial" w:hAnsi="Arial" w:cs="Arial"/>
        </w:rPr>
        <w:lastRenderedPageBreak/>
        <w:t>account as a constructive trustee for approximately £3m on the basis of dishonest assistance. Her husband, Mr Elcombe, had been employed by one of the perpetrators, Mr Parry, to help launder some of the proceeds of the stolen gold by carrying £3m in cash from England to Switzerland by car. Mrs Elcombe had accompanied her husband on some of these trips and the question was whether this could amount to assistance. Counsel for the claimant alleged that Mrs Elcombe’s main role was to cloak what was an illegal operation with the apparent innocence of a family holiday or antiques buying trip, in other words, to deter the suspicious from regarding the journeys as anything other than commonplace and honest. This was, it was argued, sufficient to render her accountable in equity as an accessory. However, Rimer J found that Mrs Elcombe’s acts in accompanying her husba</w:t>
      </w:r>
      <w:r w:rsidR="006E30D4">
        <w:rPr>
          <w:rFonts w:ascii="Arial" w:hAnsi="Arial" w:cs="Arial"/>
        </w:rPr>
        <w:t>nd did not amount to assistance, as she undertook the trip</w:t>
      </w:r>
      <w:r w:rsidR="00BC07EC">
        <w:rPr>
          <w:rFonts w:ascii="Arial" w:hAnsi="Arial" w:cs="Arial"/>
        </w:rPr>
        <w:t xml:space="preserve">s in her capacity as his wife. </w:t>
      </w:r>
    </w:p>
    <w:p w14:paraId="32C29EB4" w14:textId="4784380F" w:rsidR="00320F25" w:rsidRPr="00916FB1" w:rsidRDefault="1A725C6C" w:rsidP="1A725C6C">
      <w:pPr>
        <w:spacing w:line="480" w:lineRule="auto"/>
        <w:contextualSpacing/>
        <w:jc w:val="both"/>
        <w:rPr>
          <w:rFonts w:ascii="Arial" w:hAnsi="Arial" w:cs="Arial"/>
          <w:u w:val="single"/>
        </w:rPr>
      </w:pPr>
      <w:r w:rsidRPr="1A725C6C">
        <w:rPr>
          <w:rFonts w:ascii="Arial" w:hAnsi="Arial" w:cs="Arial"/>
        </w:rPr>
        <w:t xml:space="preserve">As </w:t>
      </w:r>
      <w:r w:rsidRPr="1A725C6C">
        <w:rPr>
          <w:rFonts w:ascii="Arial" w:hAnsi="Arial" w:cs="Arial"/>
          <w:i/>
          <w:iCs/>
          <w:u w:val="single"/>
        </w:rPr>
        <w:t>Brinks Ltd v Abu-Saleh</w:t>
      </w:r>
      <w:r w:rsidRPr="1A725C6C">
        <w:rPr>
          <w:rFonts w:ascii="Arial" w:hAnsi="Arial" w:cs="Arial"/>
        </w:rPr>
        <w:t xml:space="preserve"> demonstrates, acts that assist not with the commission of the original breach but with covering up the breach, typically by laundering money, are in principle capable of amounting to assistance. This was also confirmed by Millett </w:t>
      </w:r>
      <w:r w:rsidR="00045DF2">
        <w:rPr>
          <w:rFonts w:ascii="Arial" w:hAnsi="Arial" w:cs="Arial"/>
        </w:rPr>
        <w:t xml:space="preserve">LJ </w:t>
      </w:r>
      <w:r w:rsidRPr="1A725C6C">
        <w:rPr>
          <w:rFonts w:ascii="Arial" w:hAnsi="Arial" w:cs="Arial"/>
        </w:rPr>
        <w:t xml:space="preserve">in </w:t>
      </w:r>
      <w:r w:rsidRPr="1A725C6C">
        <w:rPr>
          <w:rFonts w:ascii="Arial" w:hAnsi="Arial" w:cs="Arial"/>
          <w:i/>
          <w:iCs/>
          <w:u w:val="single"/>
        </w:rPr>
        <w:t xml:space="preserve">Twinsectra Limited v Yardley </w:t>
      </w:r>
      <w:r w:rsidRPr="1A725C6C">
        <w:rPr>
          <w:rFonts w:ascii="Arial" w:hAnsi="Arial" w:cs="Arial"/>
          <w:u w:val="single"/>
        </w:rPr>
        <w:t>[2002] UKHL 12</w:t>
      </w:r>
      <w:r w:rsidRPr="1A725C6C">
        <w:rPr>
          <w:rFonts w:ascii="Arial" w:hAnsi="Arial" w:cs="Arial"/>
        </w:rPr>
        <w:t xml:space="preserve">, at 194: “Liability is not restricted to the person whose breach of trust or fiduciary duty caused their original diversion. His liability is strict. Nor is it limited to those who assist him in the original breach. It extends to everyone who consciously assists in the continuing diversion of the money.” </w:t>
      </w:r>
    </w:p>
    <w:p w14:paraId="63A70820" w14:textId="23A6A912" w:rsidR="00320F25" w:rsidRPr="00916FB1" w:rsidRDefault="00E32D09" w:rsidP="1A725C6C">
      <w:pPr>
        <w:spacing w:line="480" w:lineRule="auto"/>
        <w:contextualSpacing/>
        <w:jc w:val="both"/>
        <w:rPr>
          <w:rFonts w:ascii="Arial" w:hAnsi="Arial" w:cs="Arial"/>
          <w:u w:val="single"/>
        </w:rPr>
      </w:pPr>
      <w:r>
        <w:rPr>
          <w:rFonts w:ascii="Arial" w:hAnsi="Arial" w:cs="Arial"/>
        </w:rPr>
        <w:t xml:space="preserve">But do they need to be aware of the trust? </w:t>
      </w:r>
      <w:r w:rsidR="1A725C6C" w:rsidRPr="1A725C6C">
        <w:rPr>
          <w:rFonts w:ascii="Arial" w:hAnsi="Arial" w:cs="Arial"/>
        </w:rPr>
        <w:t xml:space="preserve">Rimer J in </w:t>
      </w:r>
      <w:r w:rsidR="1A725C6C" w:rsidRPr="1A725C6C">
        <w:rPr>
          <w:rFonts w:ascii="Arial" w:hAnsi="Arial" w:cs="Arial"/>
          <w:i/>
          <w:iCs/>
          <w:u w:val="single"/>
        </w:rPr>
        <w:t>Brinks Ltd v Abu-Saleh</w:t>
      </w:r>
      <w:r w:rsidR="1A725C6C" w:rsidRPr="1A725C6C">
        <w:rPr>
          <w:rFonts w:ascii="Arial" w:hAnsi="Arial" w:cs="Arial"/>
          <w:i/>
          <w:iCs/>
        </w:rPr>
        <w:t xml:space="preserve"> </w:t>
      </w:r>
      <w:r w:rsidR="1A725C6C" w:rsidRPr="1A725C6C">
        <w:rPr>
          <w:rFonts w:ascii="Arial" w:hAnsi="Arial" w:cs="Arial"/>
        </w:rPr>
        <w:t>finds (obiter, at 151)</w:t>
      </w:r>
      <w:r>
        <w:rPr>
          <w:rFonts w:ascii="Arial" w:hAnsi="Arial" w:cs="Arial"/>
        </w:rPr>
        <w:t xml:space="preserve"> that</w:t>
      </w:r>
      <w:r w:rsidR="1A725C6C" w:rsidRPr="1A725C6C">
        <w:rPr>
          <w:rFonts w:ascii="Arial" w:hAnsi="Arial" w:cs="Arial"/>
        </w:rPr>
        <w:t xml:space="preserve"> “a claim based on accessory liability can only be brought against someone who knows of the existence of the trust, or at least of the facts giving rise to the trust.” </w:t>
      </w:r>
      <w:r>
        <w:rPr>
          <w:rFonts w:ascii="Arial" w:hAnsi="Arial" w:cs="Arial"/>
        </w:rPr>
        <w:t xml:space="preserve">However, in </w:t>
      </w:r>
      <w:r w:rsidRPr="3C6A3F48">
        <w:rPr>
          <w:rFonts w:ascii="Arial" w:hAnsi="Arial" w:cs="Arial"/>
          <w:i/>
          <w:iCs/>
          <w:u w:val="single"/>
        </w:rPr>
        <w:t>Barlow Clowes International Ltd (in liquidation) v Eurotrust</w:t>
      </w:r>
      <w:r w:rsidRPr="3C6A3F48">
        <w:rPr>
          <w:rFonts w:ascii="Arial" w:hAnsi="Arial" w:cs="Arial"/>
          <w:u w:val="single"/>
        </w:rPr>
        <w:t xml:space="preserve"> </w:t>
      </w:r>
      <w:r w:rsidRPr="3C6A3F48">
        <w:rPr>
          <w:rFonts w:ascii="Arial" w:hAnsi="Arial" w:cs="Arial"/>
          <w:i/>
          <w:iCs/>
          <w:u w:val="single"/>
        </w:rPr>
        <w:t>International Ltd</w:t>
      </w:r>
      <w:r w:rsidRPr="3C6A3F48">
        <w:rPr>
          <w:rFonts w:ascii="Arial" w:hAnsi="Arial" w:cs="Arial"/>
          <w:u w:val="single"/>
        </w:rPr>
        <w:t xml:space="preserve"> [2006] 1 WLR 1476</w:t>
      </w:r>
      <w:r>
        <w:rPr>
          <w:rFonts w:ascii="Arial" w:hAnsi="Arial" w:cs="Arial"/>
        </w:rPr>
        <w:t xml:space="preserve"> it was held that knowledge of the trust is not required to constitute dishonest assistance.</w:t>
      </w:r>
    </w:p>
    <w:p w14:paraId="19EFA718" w14:textId="77777777" w:rsidR="00320F25" w:rsidRPr="00916FB1" w:rsidRDefault="00320F25" w:rsidP="00AE3010">
      <w:pPr>
        <w:spacing w:line="480" w:lineRule="auto"/>
        <w:contextualSpacing/>
        <w:jc w:val="both"/>
        <w:rPr>
          <w:rFonts w:ascii="Arial" w:hAnsi="Arial" w:cs="Arial"/>
          <w:b/>
        </w:rPr>
      </w:pPr>
    </w:p>
    <w:p w14:paraId="19E9F3AD" w14:textId="744FE838" w:rsidR="00320F25" w:rsidRPr="00045DF2" w:rsidRDefault="00724382" w:rsidP="00AE3010">
      <w:pPr>
        <w:spacing w:line="480" w:lineRule="auto"/>
        <w:contextualSpacing/>
        <w:jc w:val="both"/>
        <w:rPr>
          <w:rFonts w:ascii="Arial" w:hAnsi="Arial" w:cs="Arial"/>
          <w:bCs/>
        </w:rPr>
      </w:pPr>
      <w:r w:rsidRPr="00045DF2">
        <w:rPr>
          <w:rFonts w:ascii="Arial" w:hAnsi="Arial" w:cs="Arial"/>
          <w:bCs/>
        </w:rPr>
        <w:t xml:space="preserve">4) </w:t>
      </w:r>
      <w:r w:rsidR="00320F25" w:rsidRPr="00045DF2">
        <w:rPr>
          <w:rFonts w:ascii="Arial" w:hAnsi="Arial" w:cs="Arial"/>
          <w:bCs/>
        </w:rPr>
        <w:t>Dishonesty</w:t>
      </w:r>
    </w:p>
    <w:p w14:paraId="44DE0F4E" w14:textId="799F4381" w:rsidR="00724382" w:rsidRPr="00724382" w:rsidRDefault="00235553" w:rsidP="00724382">
      <w:pPr>
        <w:spacing w:line="480" w:lineRule="auto"/>
        <w:contextualSpacing/>
        <w:jc w:val="both"/>
        <w:rPr>
          <w:rFonts w:ascii="Arial" w:hAnsi="Arial" w:cs="Arial"/>
        </w:rPr>
      </w:pPr>
      <w:r>
        <w:rPr>
          <w:rFonts w:ascii="Arial" w:hAnsi="Arial" w:cs="Arial"/>
        </w:rPr>
        <w:t xml:space="preserve">Strict liability for assistance in a breach of trust or fiduciary duty would greatly affect normal business activity, as any inadvertent assistance in </w:t>
      </w:r>
      <w:r w:rsidRPr="00235553">
        <w:rPr>
          <w:rFonts w:ascii="Arial" w:hAnsi="Arial" w:cs="Arial"/>
        </w:rPr>
        <w:t xml:space="preserve">a breach could </w:t>
      </w:r>
      <w:r w:rsidR="00724382">
        <w:rPr>
          <w:rFonts w:ascii="Arial" w:hAnsi="Arial" w:cs="Arial"/>
        </w:rPr>
        <w:t>result in</w:t>
      </w:r>
      <w:r>
        <w:rPr>
          <w:rFonts w:ascii="Arial" w:hAnsi="Arial" w:cs="Arial"/>
        </w:rPr>
        <w:t xml:space="preserve"> liability.</w:t>
      </w:r>
      <w:r w:rsidR="00320F25" w:rsidRPr="00916FB1">
        <w:rPr>
          <w:rFonts w:ascii="Arial" w:hAnsi="Arial" w:cs="Arial"/>
        </w:rPr>
        <w:t xml:space="preserve"> </w:t>
      </w:r>
      <w:r w:rsidR="00724382">
        <w:rPr>
          <w:rFonts w:ascii="Arial" w:hAnsi="Arial" w:cs="Arial"/>
        </w:rPr>
        <w:t>Therefore, l</w:t>
      </w:r>
      <w:r w:rsidR="00724382" w:rsidRPr="00916FB1">
        <w:rPr>
          <w:rFonts w:ascii="Arial" w:hAnsi="Arial" w:cs="Arial"/>
        </w:rPr>
        <w:t>iability for assisting in a breach of trust is fault-based</w:t>
      </w:r>
      <w:r w:rsidR="00724382">
        <w:rPr>
          <w:rFonts w:ascii="Arial" w:hAnsi="Arial" w:cs="Arial"/>
        </w:rPr>
        <w:t xml:space="preserve">. It </w:t>
      </w:r>
      <w:r w:rsidR="00320F25" w:rsidRPr="00916FB1">
        <w:rPr>
          <w:rFonts w:ascii="Arial" w:hAnsi="Arial" w:cs="Arial"/>
        </w:rPr>
        <w:t xml:space="preserve">was previously known as liability for </w:t>
      </w:r>
      <w:r w:rsidR="00320F25" w:rsidRPr="00916FB1">
        <w:rPr>
          <w:rFonts w:ascii="Arial" w:hAnsi="Arial" w:cs="Arial"/>
        </w:rPr>
        <w:lastRenderedPageBreak/>
        <w:t xml:space="preserve">‘knowing assistance’ rather than ‘dishonest assistance’. As in knowing receipt (see </w:t>
      </w:r>
      <w:r w:rsidR="008672A4">
        <w:rPr>
          <w:rFonts w:ascii="Arial" w:hAnsi="Arial" w:cs="Arial"/>
        </w:rPr>
        <w:t>next week</w:t>
      </w:r>
      <w:r w:rsidR="00320F25" w:rsidRPr="00916FB1">
        <w:rPr>
          <w:rFonts w:ascii="Arial" w:hAnsi="Arial" w:cs="Arial"/>
        </w:rPr>
        <w:t xml:space="preserve">), the concept of knowledge and the question whether constructive knowledge is sufficient have all caused problems. </w:t>
      </w:r>
      <w:r w:rsidR="00724382" w:rsidRPr="00724382">
        <w:rPr>
          <w:rFonts w:ascii="Arial" w:hAnsi="Arial" w:cs="Arial"/>
        </w:rPr>
        <w:t>How, then, does the court frame the test for dish</w:t>
      </w:r>
      <w:r w:rsidR="00724382">
        <w:rPr>
          <w:rFonts w:ascii="Arial" w:hAnsi="Arial" w:cs="Arial"/>
        </w:rPr>
        <w:t xml:space="preserve">onesty? We can explore this in </w:t>
      </w:r>
      <w:r w:rsidR="0067311A">
        <w:rPr>
          <w:rFonts w:ascii="Arial" w:hAnsi="Arial" w:cs="Arial"/>
        </w:rPr>
        <w:t>three</w:t>
      </w:r>
      <w:r w:rsidR="00724382" w:rsidRPr="00724382">
        <w:rPr>
          <w:rFonts w:ascii="Arial" w:hAnsi="Arial" w:cs="Arial"/>
        </w:rPr>
        <w:t xml:space="preserve"> stages of development:</w:t>
      </w:r>
    </w:p>
    <w:p w14:paraId="492BF872" w14:textId="31079A94" w:rsidR="00724382" w:rsidRPr="00724382" w:rsidRDefault="00045DF2" w:rsidP="00724382">
      <w:pPr>
        <w:spacing w:line="480" w:lineRule="auto"/>
        <w:contextualSpacing/>
        <w:jc w:val="both"/>
        <w:rPr>
          <w:rFonts w:ascii="Arial" w:hAnsi="Arial" w:cs="Arial"/>
        </w:rPr>
      </w:pPr>
      <w:r>
        <w:rPr>
          <w:rFonts w:ascii="Arial" w:hAnsi="Arial" w:cs="Arial"/>
        </w:rPr>
        <w:t>Stage 1:</w:t>
      </w:r>
      <w:r w:rsidR="00724382">
        <w:rPr>
          <w:rFonts w:ascii="Arial" w:hAnsi="Arial" w:cs="Arial"/>
        </w:rPr>
        <w:t xml:space="preserve"> </w:t>
      </w:r>
      <w:r w:rsidR="00724382" w:rsidRPr="00724382">
        <w:rPr>
          <w:rFonts w:ascii="Arial" w:hAnsi="Arial" w:cs="Arial"/>
        </w:rPr>
        <w:t xml:space="preserve">The objective test in </w:t>
      </w:r>
      <w:r w:rsidR="00724382" w:rsidRPr="00724382">
        <w:rPr>
          <w:rFonts w:ascii="Arial" w:hAnsi="Arial" w:cs="Arial"/>
          <w:i/>
          <w:u w:val="single"/>
        </w:rPr>
        <w:t>Tan</w:t>
      </w:r>
    </w:p>
    <w:p w14:paraId="58953435" w14:textId="3C495380" w:rsidR="00724382" w:rsidRPr="00724382" w:rsidRDefault="00045DF2" w:rsidP="00724382">
      <w:pPr>
        <w:spacing w:line="480" w:lineRule="auto"/>
        <w:contextualSpacing/>
        <w:jc w:val="both"/>
        <w:rPr>
          <w:rFonts w:ascii="Arial" w:hAnsi="Arial" w:cs="Arial"/>
        </w:rPr>
      </w:pPr>
      <w:r>
        <w:rPr>
          <w:rFonts w:ascii="Arial" w:hAnsi="Arial" w:cs="Arial"/>
        </w:rPr>
        <w:t xml:space="preserve">Stage 2: </w:t>
      </w:r>
      <w:r w:rsidR="00724382" w:rsidRPr="00724382">
        <w:rPr>
          <w:rFonts w:ascii="Arial" w:hAnsi="Arial" w:cs="Arial"/>
        </w:rPr>
        <w:t>Th</w:t>
      </w:r>
      <w:r w:rsidR="00724382">
        <w:rPr>
          <w:rFonts w:ascii="Arial" w:hAnsi="Arial" w:cs="Arial"/>
        </w:rPr>
        <w:t xml:space="preserve">e ‘combined test’ in </w:t>
      </w:r>
      <w:r w:rsidR="00724382" w:rsidRPr="00724382">
        <w:rPr>
          <w:rFonts w:ascii="Arial" w:hAnsi="Arial" w:cs="Arial"/>
          <w:i/>
          <w:u w:val="single"/>
        </w:rPr>
        <w:t>Twinsectra</w:t>
      </w:r>
    </w:p>
    <w:p w14:paraId="3F35F0EA" w14:textId="181718B3" w:rsidR="00320F25" w:rsidRPr="00916FB1" w:rsidRDefault="00045DF2" w:rsidP="00724382">
      <w:pPr>
        <w:spacing w:line="480" w:lineRule="auto"/>
        <w:contextualSpacing/>
        <w:jc w:val="both"/>
        <w:rPr>
          <w:rFonts w:ascii="Arial" w:hAnsi="Arial" w:cs="Arial"/>
        </w:rPr>
      </w:pPr>
      <w:r>
        <w:rPr>
          <w:rFonts w:ascii="Arial" w:hAnsi="Arial" w:cs="Arial"/>
        </w:rPr>
        <w:t xml:space="preserve">Stage 3: </w:t>
      </w:r>
      <w:r w:rsidR="00724382" w:rsidRPr="00724382">
        <w:rPr>
          <w:rFonts w:ascii="Arial" w:hAnsi="Arial" w:cs="Arial"/>
        </w:rPr>
        <w:t>The post-</w:t>
      </w:r>
      <w:r w:rsidR="00724382" w:rsidRPr="00724382">
        <w:rPr>
          <w:rFonts w:ascii="Arial" w:hAnsi="Arial" w:cs="Arial"/>
          <w:i/>
          <w:u w:val="single"/>
        </w:rPr>
        <w:t>Twinsectra</w:t>
      </w:r>
      <w:r w:rsidR="00724382" w:rsidRPr="00724382">
        <w:rPr>
          <w:rFonts w:ascii="Arial" w:hAnsi="Arial" w:cs="Arial"/>
        </w:rPr>
        <w:t xml:space="preserve"> case law</w:t>
      </w:r>
    </w:p>
    <w:p w14:paraId="0593F589" w14:textId="77777777" w:rsidR="00627116" w:rsidRDefault="00627116" w:rsidP="00045DF2">
      <w:pPr>
        <w:spacing w:line="480" w:lineRule="auto"/>
        <w:jc w:val="both"/>
        <w:rPr>
          <w:rFonts w:ascii="Arial" w:hAnsi="Arial" w:cs="Arial"/>
        </w:rPr>
      </w:pPr>
    </w:p>
    <w:p w14:paraId="57033F07" w14:textId="37E92096" w:rsidR="00724382" w:rsidRPr="00724382" w:rsidRDefault="00045DF2" w:rsidP="00045DF2">
      <w:pPr>
        <w:spacing w:line="480" w:lineRule="auto"/>
        <w:jc w:val="both"/>
        <w:rPr>
          <w:rFonts w:ascii="Arial" w:hAnsi="Arial" w:cs="Arial"/>
        </w:rPr>
      </w:pPr>
      <w:r>
        <w:rPr>
          <w:rFonts w:ascii="Arial" w:hAnsi="Arial" w:cs="Arial"/>
        </w:rPr>
        <w:t xml:space="preserve">Stage 1: </w:t>
      </w:r>
      <w:r w:rsidR="00724382" w:rsidRPr="00724382">
        <w:rPr>
          <w:rFonts w:ascii="Arial" w:hAnsi="Arial" w:cs="Arial"/>
        </w:rPr>
        <w:t xml:space="preserve">The objective test in </w:t>
      </w:r>
      <w:r w:rsidR="00724382" w:rsidRPr="00724382">
        <w:rPr>
          <w:rFonts w:ascii="Arial" w:hAnsi="Arial" w:cs="Arial"/>
          <w:i/>
          <w:u w:val="single"/>
        </w:rPr>
        <w:t>Tan</w:t>
      </w:r>
      <w:r w:rsidR="00724382" w:rsidRPr="00724382">
        <w:rPr>
          <w:rFonts w:ascii="Arial" w:hAnsi="Arial" w:cs="Arial"/>
        </w:rPr>
        <w:t xml:space="preserve"> </w:t>
      </w:r>
    </w:p>
    <w:p w14:paraId="1C11660D" w14:textId="26371DDF" w:rsidR="00320F25" w:rsidRPr="00724382" w:rsidRDefault="00320F25" w:rsidP="00724382">
      <w:pPr>
        <w:spacing w:line="480" w:lineRule="auto"/>
        <w:jc w:val="both"/>
        <w:rPr>
          <w:rFonts w:ascii="Arial" w:hAnsi="Arial" w:cs="Arial"/>
        </w:rPr>
      </w:pPr>
      <w:r w:rsidRPr="00724382">
        <w:rPr>
          <w:rFonts w:ascii="Arial" w:hAnsi="Arial" w:cs="Arial"/>
        </w:rPr>
        <w:t xml:space="preserve">In </w:t>
      </w:r>
      <w:r w:rsidRPr="00724382">
        <w:rPr>
          <w:rFonts w:ascii="Arial" w:hAnsi="Arial" w:cs="Arial"/>
          <w:i/>
          <w:u w:val="single"/>
        </w:rPr>
        <w:t>Tan</w:t>
      </w:r>
      <w:r w:rsidRPr="00724382">
        <w:rPr>
          <w:rFonts w:ascii="Arial" w:hAnsi="Arial" w:cs="Arial"/>
        </w:rPr>
        <w:t xml:space="preserve">, Nicholls </w:t>
      </w:r>
      <w:r w:rsidR="00045DF2">
        <w:rPr>
          <w:rFonts w:ascii="Arial" w:hAnsi="Arial" w:cs="Arial"/>
        </w:rPr>
        <w:t xml:space="preserve">LJ </w:t>
      </w:r>
      <w:r w:rsidRPr="00724382">
        <w:rPr>
          <w:rFonts w:ascii="Arial" w:hAnsi="Arial" w:cs="Arial"/>
        </w:rPr>
        <w:t>pointed out that the tide of recent cases flowed strongly in favour of dishonesty as the relevant test, and stressed that dishonesty was an objective criterion. He acknowledged that there were some subjective elements, such as a party’s honesty or dishonesty</w:t>
      </w:r>
      <w:r w:rsidR="00045DF2">
        <w:rPr>
          <w:rFonts w:ascii="Arial" w:hAnsi="Arial" w:cs="Arial"/>
        </w:rPr>
        <w:t>. But this</w:t>
      </w:r>
      <w:r w:rsidRPr="00724382">
        <w:rPr>
          <w:rFonts w:ascii="Arial" w:hAnsi="Arial" w:cs="Arial"/>
        </w:rPr>
        <w:t xml:space="preserve"> would be assessed by reference to what he/she actually knew and would normally involve advertent rather than inadvertent conduct. He also explained that the court would have regard to the defendant’s personal attributes, such as his/her experience and intelligence and the reason why he/she acted as they </w:t>
      </w:r>
      <w:r w:rsidR="00235553" w:rsidRPr="00724382">
        <w:rPr>
          <w:rFonts w:ascii="Arial" w:hAnsi="Arial" w:cs="Arial"/>
        </w:rPr>
        <w:t>did. Nevertheless, he asserted, at 389-390,</w:t>
      </w:r>
      <w:r w:rsidRPr="00724382">
        <w:rPr>
          <w:rFonts w:ascii="Arial" w:hAnsi="Arial" w:cs="Arial"/>
        </w:rPr>
        <w:t xml:space="preserve"> that honesty was determined by re</w:t>
      </w:r>
      <w:r w:rsidR="00235553" w:rsidRPr="00724382">
        <w:rPr>
          <w:rFonts w:ascii="Arial" w:hAnsi="Arial" w:cs="Arial"/>
        </w:rPr>
        <w:t xml:space="preserve">course to an objective standard: </w:t>
      </w:r>
    </w:p>
    <w:p w14:paraId="6284B22C" w14:textId="21E97A2E" w:rsidR="00320F25" w:rsidRPr="00916FB1" w:rsidRDefault="00235553" w:rsidP="00235553">
      <w:pPr>
        <w:spacing w:line="480" w:lineRule="auto"/>
        <w:ind w:left="720"/>
        <w:contextualSpacing/>
        <w:jc w:val="both"/>
        <w:rPr>
          <w:rFonts w:ascii="Arial" w:hAnsi="Arial" w:cs="Arial"/>
        </w:rPr>
      </w:pPr>
      <w:r>
        <w:rPr>
          <w:rFonts w:ascii="Arial" w:hAnsi="Arial" w:cs="Arial"/>
        </w:rPr>
        <w:t>“</w:t>
      </w:r>
      <w:r w:rsidRPr="00916FB1">
        <w:rPr>
          <w:rFonts w:ascii="Arial" w:hAnsi="Arial" w:cs="Arial"/>
        </w:rPr>
        <w:t>In the context of the accessory liability principle acting dishonestly, or with a lack of probity, which is synonymous, means simply not acting as an honest person would in the circumstances.</w:t>
      </w:r>
      <w:r>
        <w:rPr>
          <w:rFonts w:ascii="Arial" w:hAnsi="Arial" w:cs="Arial"/>
        </w:rPr>
        <w:t xml:space="preserve"> This is an objective standard. . . </w:t>
      </w:r>
      <w:r w:rsidRPr="00235553">
        <w:rPr>
          <w:rFonts w:ascii="Arial" w:hAnsi="Arial" w:cs="Arial"/>
        </w:rPr>
        <w:t>Honesty is not an optional scale, with higher or lower values according to the moral standards of each individual. If a person knowingly appropriates another's property, he will not escape a finding of dishonesty simply because he sees nothing wrong in such behaviour. . . . The individual is expected to attain the standard which would be observed by an honest person placed in those circumstances.</w:t>
      </w:r>
      <w:r>
        <w:rPr>
          <w:rFonts w:ascii="Arial" w:hAnsi="Arial" w:cs="Arial"/>
        </w:rPr>
        <w:t>”</w:t>
      </w:r>
      <w:r w:rsidRPr="00235553">
        <w:rPr>
          <w:rFonts w:ascii="Arial" w:hAnsi="Arial" w:cs="Arial"/>
        </w:rPr>
        <w:t xml:space="preserve"> </w:t>
      </w:r>
    </w:p>
    <w:p w14:paraId="17B43DB2" w14:textId="77777777" w:rsidR="00320F25" w:rsidRDefault="00320F25" w:rsidP="00AE3010">
      <w:pPr>
        <w:spacing w:line="480" w:lineRule="auto"/>
        <w:contextualSpacing/>
        <w:jc w:val="both"/>
        <w:rPr>
          <w:rFonts w:ascii="Arial" w:hAnsi="Arial" w:cs="Arial"/>
        </w:rPr>
      </w:pPr>
    </w:p>
    <w:p w14:paraId="6F5F4B43" w14:textId="77777777" w:rsidR="001B5B00" w:rsidRDefault="001B5B00" w:rsidP="00AE3010">
      <w:pPr>
        <w:spacing w:line="480" w:lineRule="auto"/>
        <w:contextualSpacing/>
        <w:jc w:val="both"/>
        <w:rPr>
          <w:rFonts w:ascii="Arial" w:hAnsi="Arial" w:cs="Arial"/>
        </w:rPr>
      </w:pPr>
    </w:p>
    <w:p w14:paraId="3358069D" w14:textId="77777777" w:rsidR="00045DF2" w:rsidRPr="00724382" w:rsidRDefault="00045DF2" w:rsidP="00045DF2">
      <w:pPr>
        <w:spacing w:line="480" w:lineRule="auto"/>
        <w:contextualSpacing/>
        <w:jc w:val="both"/>
        <w:rPr>
          <w:rFonts w:ascii="Arial" w:hAnsi="Arial" w:cs="Arial"/>
        </w:rPr>
      </w:pPr>
      <w:r>
        <w:rPr>
          <w:rFonts w:ascii="Arial" w:hAnsi="Arial" w:cs="Arial"/>
        </w:rPr>
        <w:lastRenderedPageBreak/>
        <w:t xml:space="preserve">Stage 2: </w:t>
      </w:r>
      <w:r w:rsidRPr="00724382">
        <w:rPr>
          <w:rFonts w:ascii="Arial" w:hAnsi="Arial" w:cs="Arial"/>
        </w:rPr>
        <w:t>Th</w:t>
      </w:r>
      <w:r>
        <w:rPr>
          <w:rFonts w:ascii="Arial" w:hAnsi="Arial" w:cs="Arial"/>
        </w:rPr>
        <w:t xml:space="preserve">e ‘combined test’ in </w:t>
      </w:r>
      <w:r w:rsidRPr="00724382">
        <w:rPr>
          <w:rFonts w:ascii="Arial" w:hAnsi="Arial" w:cs="Arial"/>
          <w:i/>
          <w:u w:val="single"/>
        </w:rPr>
        <w:t>Twinsectra</w:t>
      </w:r>
    </w:p>
    <w:p w14:paraId="7B9D8704" w14:textId="276940A7" w:rsidR="00023692" w:rsidRDefault="00320F25" w:rsidP="00023692">
      <w:pPr>
        <w:spacing w:line="480" w:lineRule="auto"/>
        <w:contextualSpacing/>
        <w:jc w:val="both"/>
        <w:rPr>
          <w:rFonts w:ascii="Arial" w:hAnsi="Arial" w:cs="Arial"/>
        </w:rPr>
      </w:pPr>
      <w:r w:rsidRPr="00916FB1">
        <w:rPr>
          <w:rFonts w:ascii="Arial" w:hAnsi="Arial" w:cs="Arial"/>
        </w:rPr>
        <w:t xml:space="preserve">The House of Lords had the opportunity to examine this test in </w:t>
      </w:r>
      <w:r w:rsidRPr="00916FB1">
        <w:rPr>
          <w:rFonts w:ascii="Arial" w:hAnsi="Arial" w:cs="Arial"/>
          <w:i/>
          <w:u w:val="single"/>
        </w:rPr>
        <w:t>Twinsectra</w:t>
      </w:r>
      <w:r w:rsidRPr="00907503">
        <w:rPr>
          <w:rFonts w:ascii="Arial" w:hAnsi="Arial" w:cs="Arial"/>
        </w:rPr>
        <w:t xml:space="preserve">. </w:t>
      </w:r>
      <w:r w:rsidR="00023692">
        <w:rPr>
          <w:rFonts w:ascii="Arial" w:hAnsi="Arial" w:cs="Arial"/>
        </w:rPr>
        <w:t xml:space="preserve">The claimants </w:t>
      </w:r>
      <w:r w:rsidR="00023692" w:rsidRPr="00023692">
        <w:rPr>
          <w:rFonts w:ascii="Arial" w:hAnsi="Arial" w:cs="Arial"/>
        </w:rPr>
        <w:t xml:space="preserve">Twinsectra had agreed to lend £1m to </w:t>
      </w:r>
      <w:r w:rsidR="00023692">
        <w:rPr>
          <w:rFonts w:ascii="Arial" w:hAnsi="Arial" w:cs="Arial"/>
        </w:rPr>
        <w:t xml:space="preserve">Mr </w:t>
      </w:r>
      <w:r w:rsidR="00023692" w:rsidRPr="00023692">
        <w:rPr>
          <w:rFonts w:ascii="Arial" w:hAnsi="Arial" w:cs="Arial"/>
        </w:rPr>
        <w:t>Y</w:t>
      </w:r>
      <w:r w:rsidR="00023692">
        <w:rPr>
          <w:rFonts w:ascii="Arial" w:hAnsi="Arial" w:cs="Arial"/>
        </w:rPr>
        <w:t>ardley</w:t>
      </w:r>
      <w:r w:rsidR="00023692" w:rsidRPr="00023692">
        <w:rPr>
          <w:rFonts w:ascii="Arial" w:hAnsi="Arial" w:cs="Arial"/>
        </w:rPr>
        <w:t>, an ‘entrepreneur with a num</w:t>
      </w:r>
      <w:r w:rsidR="00907503">
        <w:rPr>
          <w:rFonts w:ascii="Arial" w:hAnsi="Arial" w:cs="Arial"/>
        </w:rPr>
        <w:t>ber of irons in the fire.’</w:t>
      </w:r>
      <w:r w:rsidR="00023692" w:rsidRPr="00023692">
        <w:rPr>
          <w:rFonts w:ascii="Arial" w:hAnsi="Arial" w:cs="Arial"/>
        </w:rPr>
        <w:t xml:space="preserve"> There were two solicitors involved with this transaction, </w:t>
      </w:r>
      <w:r w:rsidR="00023692">
        <w:rPr>
          <w:rFonts w:ascii="Arial" w:hAnsi="Arial" w:cs="Arial"/>
        </w:rPr>
        <w:t xml:space="preserve">Mr </w:t>
      </w:r>
      <w:r w:rsidR="00023692" w:rsidRPr="00023692">
        <w:rPr>
          <w:rFonts w:ascii="Arial" w:hAnsi="Arial" w:cs="Arial"/>
        </w:rPr>
        <w:t>S</w:t>
      </w:r>
      <w:r w:rsidR="00023692">
        <w:rPr>
          <w:rFonts w:ascii="Arial" w:hAnsi="Arial" w:cs="Arial"/>
        </w:rPr>
        <w:t>ims</w:t>
      </w:r>
      <w:r w:rsidR="00023692" w:rsidRPr="00023692">
        <w:rPr>
          <w:rFonts w:ascii="Arial" w:hAnsi="Arial" w:cs="Arial"/>
        </w:rPr>
        <w:t xml:space="preserve"> and </w:t>
      </w:r>
      <w:r w:rsidR="00023692">
        <w:rPr>
          <w:rFonts w:ascii="Arial" w:hAnsi="Arial" w:cs="Arial"/>
        </w:rPr>
        <w:t xml:space="preserve">Mr </w:t>
      </w:r>
      <w:r w:rsidR="00023692" w:rsidRPr="00023692">
        <w:rPr>
          <w:rFonts w:ascii="Arial" w:hAnsi="Arial" w:cs="Arial"/>
        </w:rPr>
        <w:t>L</w:t>
      </w:r>
      <w:r w:rsidR="00023692">
        <w:rPr>
          <w:rFonts w:ascii="Arial" w:hAnsi="Arial" w:cs="Arial"/>
        </w:rPr>
        <w:t>each. Sims,</w:t>
      </w:r>
      <w:r w:rsidR="00023692" w:rsidRPr="00023692">
        <w:rPr>
          <w:rFonts w:ascii="Arial" w:hAnsi="Arial" w:cs="Arial"/>
        </w:rPr>
        <w:t xml:space="preserve"> who had dealt with Y</w:t>
      </w:r>
      <w:r w:rsidR="00023692">
        <w:rPr>
          <w:rFonts w:ascii="Arial" w:hAnsi="Arial" w:cs="Arial"/>
        </w:rPr>
        <w:t>ardley</w:t>
      </w:r>
      <w:r w:rsidR="00023692" w:rsidRPr="00023692">
        <w:rPr>
          <w:rFonts w:ascii="Arial" w:hAnsi="Arial" w:cs="Arial"/>
        </w:rPr>
        <w:t xml:space="preserve"> in the past, </w:t>
      </w:r>
      <w:r w:rsidR="00023692">
        <w:rPr>
          <w:rFonts w:ascii="Arial" w:hAnsi="Arial" w:cs="Arial"/>
        </w:rPr>
        <w:t>received</w:t>
      </w:r>
      <w:r w:rsidR="00023692" w:rsidRPr="00023692">
        <w:rPr>
          <w:rFonts w:ascii="Arial" w:hAnsi="Arial" w:cs="Arial"/>
        </w:rPr>
        <w:t xml:space="preserve"> the loan money</w:t>
      </w:r>
      <w:r w:rsidR="00023692">
        <w:rPr>
          <w:rFonts w:ascii="Arial" w:hAnsi="Arial" w:cs="Arial"/>
        </w:rPr>
        <w:t xml:space="preserve"> on the condition</w:t>
      </w:r>
      <w:r w:rsidR="00023692" w:rsidRPr="00023692">
        <w:rPr>
          <w:rFonts w:ascii="Arial" w:hAnsi="Arial" w:cs="Arial"/>
        </w:rPr>
        <w:t xml:space="preserve"> that </w:t>
      </w:r>
      <w:r w:rsidR="00023692">
        <w:rPr>
          <w:rFonts w:ascii="Arial" w:hAnsi="Arial" w:cs="Arial"/>
        </w:rPr>
        <w:t>he</w:t>
      </w:r>
      <w:r w:rsidR="00023692" w:rsidRPr="00023692">
        <w:rPr>
          <w:rFonts w:ascii="Arial" w:hAnsi="Arial" w:cs="Arial"/>
        </w:rPr>
        <w:t xml:space="preserve"> would only use it for the acquis</w:t>
      </w:r>
      <w:r w:rsidR="00023692">
        <w:rPr>
          <w:rFonts w:ascii="Arial" w:hAnsi="Arial" w:cs="Arial"/>
        </w:rPr>
        <w:t>ition of property on behalf of Yardley</w:t>
      </w:r>
      <w:r w:rsidR="00023692" w:rsidRPr="00023692">
        <w:rPr>
          <w:rFonts w:ascii="Arial" w:hAnsi="Arial" w:cs="Arial"/>
        </w:rPr>
        <w:t xml:space="preserve">. However, </w:t>
      </w:r>
      <w:r w:rsidR="00023692">
        <w:rPr>
          <w:rFonts w:ascii="Arial" w:hAnsi="Arial" w:cs="Arial"/>
        </w:rPr>
        <w:t xml:space="preserve">in breach of trust, Sims (who then became bankrupt) advanced the money to Leach, who paid the money over to Yardley. Yardley then used a </w:t>
      </w:r>
      <w:r w:rsidR="00907503">
        <w:rPr>
          <w:rFonts w:ascii="Arial" w:hAnsi="Arial" w:cs="Arial"/>
        </w:rPr>
        <w:t xml:space="preserve">substantial part of it for other purposes than the acquisition of property. </w:t>
      </w:r>
      <w:r w:rsidR="00023692" w:rsidRPr="00023692">
        <w:rPr>
          <w:rFonts w:ascii="Arial" w:hAnsi="Arial" w:cs="Arial"/>
        </w:rPr>
        <w:t xml:space="preserve">Twinsectra sued </w:t>
      </w:r>
      <w:r w:rsidR="00907503">
        <w:rPr>
          <w:rFonts w:ascii="Arial" w:hAnsi="Arial" w:cs="Arial"/>
        </w:rPr>
        <w:t>Leach, amongst others.</w:t>
      </w:r>
    </w:p>
    <w:p w14:paraId="78AF84DE" w14:textId="6B595C9B" w:rsidR="00320F25" w:rsidRDefault="00320F25" w:rsidP="00AE3010">
      <w:pPr>
        <w:spacing w:line="480" w:lineRule="auto"/>
        <w:contextualSpacing/>
        <w:jc w:val="both"/>
        <w:rPr>
          <w:rFonts w:ascii="Arial" w:hAnsi="Arial" w:cs="Arial"/>
        </w:rPr>
      </w:pPr>
      <w:r w:rsidRPr="00916FB1">
        <w:rPr>
          <w:rFonts w:ascii="Arial" w:hAnsi="Arial" w:cs="Arial"/>
        </w:rPr>
        <w:t>At first instance, Carnwath J foun</w:t>
      </w:r>
      <w:r w:rsidR="00907503">
        <w:rPr>
          <w:rFonts w:ascii="Arial" w:hAnsi="Arial" w:cs="Arial"/>
        </w:rPr>
        <w:t xml:space="preserve">d that the </w:t>
      </w:r>
      <w:r w:rsidRPr="00916FB1">
        <w:rPr>
          <w:rFonts w:ascii="Arial" w:hAnsi="Arial" w:cs="Arial"/>
        </w:rPr>
        <w:t xml:space="preserve">Leach had not acted dishonestly. In his view, </w:t>
      </w:r>
      <w:r w:rsidR="00907503">
        <w:rPr>
          <w:rFonts w:ascii="Arial" w:hAnsi="Arial" w:cs="Arial"/>
        </w:rPr>
        <w:t xml:space="preserve">Leach </w:t>
      </w:r>
      <w:r w:rsidRPr="00916FB1">
        <w:rPr>
          <w:rFonts w:ascii="Arial" w:hAnsi="Arial" w:cs="Arial"/>
        </w:rPr>
        <w:t>had been ‘misguided’ rather than dishonest and had ‘shut his eyes.’ The Court of Appeal reversed Carnwath J’s finding on dishonesty on the basis that he had misdirected himself in law. In their view, Carnwath J’s references to the fact that Leach had ‘shut his eyes’ indicated dishonesty on his part. On appeal to the House of Lords, Carnwath J’s decision on the question on dishonesty was restor</w:t>
      </w:r>
      <w:r w:rsidR="00907503">
        <w:rPr>
          <w:rFonts w:ascii="Arial" w:hAnsi="Arial" w:cs="Arial"/>
        </w:rPr>
        <w:t>ed. According to Hoffmann</w:t>
      </w:r>
      <w:r w:rsidR="00AA17B7">
        <w:rPr>
          <w:rFonts w:ascii="Arial" w:hAnsi="Arial" w:cs="Arial"/>
        </w:rPr>
        <w:t xml:space="preserve"> LJ</w:t>
      </w:r>
      <w:r w:rsidR="00907503">
        <w:rPr>
          <w:rFonts w:ascii="Arial" w:hAnsi="Arial" w:cs="Arial"/>
        </w:rPr>
        <w:t>, at 20</w:t>
      </w:r>
      <w:r w:rsidRPr="00916FB1">
        <w:rPr>
          <w:rFonts w:ascii="Arial" w:hAnsi="Arial" w:cs="Arial"/>
        </w:rPr>
        <w:t xml:space="preserve">, the principles laid down in </w:t>
      </w:r>
      <w:r w:rsidRPr="00916FB1">
        <w:rPr>
          <w:rFonts w:ascii="Arial" w:hAnsi="Arial" w:cs="Arial"/>
          <w:i/>
          <w:u w:val="single"/>
        </w:rPr>
        <w:t>Tan</w:t>
      </w:r>
      <w:r w:rsidRPr="00916FB1">
        <w:rPr>
          <w:rFonts w:ascii="Arial" w:hAnsi="Arial" w:cs="Arial"/>
        </w:rPr>
        <w:t xml:space="preserve"> “require more than knowledge of the facts which make the conduct wrongful. They require a dishonest state of mind, that is to say, consciousness that one is transgressing ordinary standards of </w:t>
      </w:r>
      <w:r w:rsidR="00907503">
        <w:rPr>
          <w:rFonts w:ascii="Arial" w:hAnsi="Arial" w:cs="Arial"/>
        </w:rPr>
        <w:t>honest behaviour.” Hutton</w:t>
      </w:r>
      <w:r w:rsidR="00AA17B7">
        <w:rPr>
          <w:rFonts w:ascii="Arial" w:hAnsi="Arial" w:cs="Arial"/>
        </w:rPr>
        <w:t xml:space="preserve"> LJ</w:t>
      </w:r>
      <w:r w:rsidR="00907503">
        <w:rPr>
          <w:rFonts w:ascii="Arial" w:hAnsi="Arial" w:cs="Arial"/>
        </w:rPr>
        <w:t>, at 27,</w:t>
      </w:r>
      <w:r w:rsidRPr="00916FB1">
        <w:rPr>
          <w:rFonts w:ascii="Arial" w:hAnsi="Arial" w:cs="Arial"/>
        </w:rPr>
        <w:t xml:space="preserve"> explained that there were three possible standards of dishonesty:</w:t>
      </w:r>
    </w:p>
    <w:p w14:paraId="450892F0" w14:textId="432466CF" w:rsidR="0077599F" w:rsidRDefault="00907503" w:rsidP="00A0012A">
      <w:pPr>
        <w:spacing w:line="480" w:lineRule="auto"/>
        <w:ind w:left="720"/>
        <w:contextualSpacing/>
        <w:jc w:val="both"/>
        <w:rPr>
          <w:rFonts w:ascii="Arial" w:hAnsi="Arial" w:cs="Arial"/>
        </w:rPr>
      </w:pPr>
      <w:r>
        <w:rPr>
          <w:rFonts w:ascii="Arial" w:hAnsi="Arial" w:cs="Arial"/>
        </w:rPr>
        <w:t>“</w:t>
      </w:r>
      <w:r w:rsidRPr="00907503">
        <w:rPr>
          <w:rFonts w:ascii="Arial" w:hAnsi="Arial" w:cs="Arial"/>
        </w:rPr>
        <w:t>There is a purely subjective standard, whereby a person is only regarded as dishonest if he transgresses his own standard of honesty, even if that standard is contrary to that of reasonable and honest pe</w:t>
      </w:r>
      <w:r>
        <w:rPr>
          <w:rFonts w:ascii="Arial" w:hAnsi="Arial" w:cs="Arial"/>
        </w:rPr>
        <w:t>ople. This has been termed the ‘Robin Hood test’</w:t>
      </w:r>
      <w:r w:rsidRPr="00907503">
        <w:rPr>
          <w:rFonts w:ascii="Arial" w:hAnsi="Arial" w:cs="Arial"/>
        </w:rPr>
        <w:t xml:space="preserve"> and has been rejected by the courts. . . . Secondly, there is a purely objective standard whereby a person acts dishonestly if his conduct is dishonest by the ordinary standards of reasonable and honest people, even if he does not realise this. Thirdly, there is a standard which combines an objective test and a subjective test, and which requires that before there can be a finding of dishonesty it must be established that the defendant's conduct was dishonest by the ordinary standards of reasonable and </w:t>
      </w:r>
      <w:r w:rsidRPr="00907503">
        <w:rPr>
          <w:rFonts w:ascii="Arial" w:hAnsi="Arial" w:cs="Arial"/>
        </w:rPr>
        <w:lastRenderedPageBreak/>
        <w:t>honest people and that he himself realised that by those standards his conduct was dishonest. I wi</w:t>
      </w:r>
      <w:r>
        <w:rPr>
          <w:rFonts w:ascii="Arial" w:hAnsi="Arial" w:cs="Arial"/>
        </w:rPr>
        <w:t>ll term this ‘the combined test’</w:t>
      </w:r>
      <w:r w:rsidRPr="00907503">
        <w:rPr>
          <w:rFonts w:ascii="Arial" w:hAnsi="Arial" w:cs="Arial"/>
        </w:rPr>
        <w:t>.</w:t>
      </w:r>
      <w:r>
        <w:rPr>
          <w:rFonts w:ascii="Arial" w:hAnsi="Arial" w:cs="Arial"/>
        </w:rPr>
        <w:t>”</w:t>
      </w:r>
    </w:p>
    <w:p w14:paraId="28153A73" w14:textId="4C1A0E8C" w:rsidR="00320F25" w:rsidRPr="00916FB1" w:rsidRDefault="00320F25" w:rsidP="00AE3010">
      <w:pPr>
        <w:spacing w:line="480" w:lineRule="auto"/>
        <w:contextualSpacing/>
        <w:jc w:val="both"/>
        <w:rPr>
          <w:rFonts w:ascii="Arial" w:hAnsi="Arial" w:cs="Arial"/>
        </w:rPr>
      </w:pPr>
      <w:r w:rsidRPr="00916FB1">
        <w:rPr>
          <w:rFonts w:ascii="Arial" w:hAnsi="Arial" w:cs="Arial"/>
        </w:rPr>
        <w:t xml:space="preserve">After examining Lord Nicholls’ judgment in </w:t>
      </w:r>
      <w:r w:rsidRPr="00916FB1">
        <w:rPr>
          <w:rFonts w:ascii="Arial" w:hAnsi="Arial" w:cs="Arial"/>
          <w:i/>
          <w:u w:val="single"/>
        </w:rPr>
        <w:t>Tan</w:t>
      </w:r>
      <w:r w:rsidRPr="00916FB1">
        <w:rPr>
          <w:rFonts w:ascii="Arial" w:hAnsi="Arial" w:cs="Arial"/>
        </w:rPr>
        <w:t xml:space="preserve">, Hutton </w:t>
      </w:r>
      <w:r w:rsidR="00045DF2">
        <w:rPr>
          <w:rFonts w:ascii="Arial" w:hAnsi="Arial" w:cs="Arial"/>
        </w:rPr>
        <w:t xml:space="preserve">LJ </w:t>
      </w:r>
      <w:r w:rsidRPr="00916FB1">
        <w:rPr>
          <w:rFonts w:ascii="Arial" w:hAnsi="Arial" w:cs="Arial"/>
        </w:rPr>
        <w:t xml:space="preserve">concluded that </w:t>
      </w:r>
      <w:r w:rsidR="002E5098">
        <w:rPr>
          <w:rFonts w:ascii="Arial" w:hAnsi="Arial" w:cs="Arial"/>
        </w:rPr>
        <w:t>Lord Nicholl’s</w:t>
      </w:r>
      <w:r w:rsidRPr="00916FB1">
        <w:rPr>
          <w:rFonts w:ascii="Arial" w:hAnsi="Arial" w:cs="Arial"/>
        </w:rPr>
        <w:t xml:space="preserve"> intention had not been to suggest that the relevant standard was the purely objective one. In Lord Hutton’s view, the principle as laid down by Nicholls</w:t>
      </w:r>
      <w:r w:rsidR="00045DF2">
        <w:rPr>
          <w:rFonts w:ascii="Arial" w:hAnsi="Arial" w:cs="Arial"/>
        </w:rPr>
        <w:t xml:space="preserve"> LJ</w:t>
      </w:r>
      <w:r w:rsidRPr="00916FB1">
        <w:rPr>
          <w:rFonts w:ascii="Arial" w:hAnsi="Arial" w:cs="Arial"/>
        </w:rPr>
        <w:t xml:space="preserve"> was that for the defendant to be liable as an accessory, </w:t>
      </w:r>
      <w:r w:rsidR="00907503">
        <w:rPr>
          <w:rFonts w:ascii="Arial" w:hAnsi="Arial" w:cs="Arial"/>
        </w:rPr>
        <w:t>they</w:t>
      </w:r>
      <w:r w:rsidRPr="00916FB1">
        <w:rPr>
          <w:rFonts w:ascii="Arial" w:hAnsi="Arial" w:cs="Arial"/>
        </w:rPr>
        <w:t xml:space="preserve"> had to appreciate that what </w:t>
      </w:r>
      <w:r w:rsidR="00907503">
        <w:rPr>
          <w:rFonts w:ascii="Arial" w:hAnsi="Arial" w:cs="Arial"/>
        </w:rPr>
        <w:t>they were</w:t>
      </w:r>
      <w:r w:rsidRPr="00916FB1">
        <w:rPr>
          <w:rFonts w:ascii="Arial" w:hAnsi="Arial" w:cs="Arial"/>
        </w:rPr>
        <w:t xml:space="preserve"> doing was dishonest by the standards of honest and reasonable people. </w:t>
      </w:r>
    </w:p>
    <w:p w14:paraId="11CC99F4" w14:textId="6D94AC34" w:rsidR="0077599F" w:rsidRDefault="00320F25" w:rsidP="0077599F">
      <w:pPr>
        <w:spacing w:line="480" w:lineRule="auto"/>
        <w:contextualSpacing/>
        <w:jc w:val="both"/>
        <w:rPr>
          <w:rFonts w:ascii="Arial" w:hAnsi="Arial" w:cs="Arial"/>
        </w:rPr>
      </w:pPr>
      <w:r w:rsidRPr="00916FB1">
        <w:rPr>
          <w:rFonts w:ascii="Arial" w:hAnsi="Arial" w:cs="Arial"/>
        </w:rPr>
        <w:t xml:space="preserve">The decision of the majority in </w:t>
      </w:r>
      <w:r w:rsidRPr="00916FB1">
        <w:rPr>
          <w:rFonts w:ascii="Arial" w:hAnsi="Arial" w:cs="Arial"/>
          <w:i/>
          <w:u w:val="single"/>
        </w:rPr>
        <w:t>Twinsectra</w:t>
      </w:r>
      <w:r w:rsidRPr="00916FB1">
        <w:rPr>
          <w:rFonts w:ascii="Arial" w:hAnsi="Arial" w:cs="Arial"/>
        </w:rPr>
        <w:t xml:space="preserve"> is problematic</w:t>
      </w:r>
      <w:r w:rsidR="00F8507A">
        <w:rPr>
          <w:rFonts w:ascii="Arial" w:hAnsi="Arial" w:cs="Arial"/>
        </w:rPr>
        <w:t>, as noted by Millett</w:t>
      </w:r>
      <w:r w:rsidR="00045DF2">
        <w:rPr>
          <w:rFonts w:ascii="Arial" w:hAnsi="Arial" w:cs="Arial"/>
        </w:rPr>
        <w:t xml:space="preserve"> LJ</w:t>
      </w:r>
      <w:r w:rsidR="00F8507A">
        <w:rPr>
          <w:rFonts w:ascii="Arial" w:hAnsi="Arial" w:cs="Arial"/>
        </w:rPr>
        <w:t xml:space="preserve"> (dissenting</w:t>
      </w:r>
      <w:r w:rsidR="0077599F">
        <w:rPr>
          <w:rFonts w:ascii="Arial" w:hAnsi="Arial" w:cs="Arial"/>
        </w:rPr>
        <w:t>, at 121</w:t>
      </w:r>
      <w:r w:rsidR="00F8507A">
        <w:rPr>
          <w:rFonts w:ascii="Arial" w:hAnsi="Arial" w:cs="Arial"/>
        </w:rPr>
        <w:t>)</w:t>
      </w:r>
      <w:r w:rsidRPr="00916FB1">
        <w:rPr>
          <w:rFonts w:ascii="Arial" w:hAnsi="Arial" w:cs="Arial"/>
        </w:rPr>
        <w:t>. The difficulty is that although Hutton</w:t>
      </w:r>
      <w:r w:rsidR="00AA17B7">
        <w:rPr>
          <w:rFonts w:ascii="Arial" w:hAnsi="Arial" w:cs="Arial"/>
        </w:rPr>
        <w:t xml:space="preserve"> LJ</w:t>
      </w:r>
      <w:r w:rsidRPr="00916FB1">
        <w:rPr>
          <w:rFonts w:ascii="Arial" w:hAnsi="Arial" w:cs="Arial"/>
        </w:rPr>
        <w:t xml:space="preserve"> claimed to be following Lord Nicholls’ approach in </w:t>
      </w:r>
      <w:r w:rsidRPr="00916FB1">
        <w:rPr>
          <w:rFonts w:ascii="Arial" w:hAnsi="Arial" w:cs="Arial"/>
          <w:i/>
          <w:u w:val="single"/>
        </w:rPr>
        <w:t>Tan</w:t>
      </w:r>
      <w:r w:rsidRPr="00916FB1">
        <w:rPr>
          <w:rFonts w:ascii="Arial" w:hAnsi="Arial" w:cs="Arial"/>
        </w:rPr>
        <w:t xml:space="preserve">, the test he put forward was in fact the ‘combined test’ adopted in the criminal context, which Nicholls </w:t>
      </w:r>
      <w:r w:rsidR="00AA17B7">
        <w:rPr>
          <w:rFonts w:ascii="Arial" w:hAnsi="Arial" w:cs="Arial"/>
        </w:rPr>
        <w:t xml:space="preserve">LJ </w:t>
      </w:r>
      <w:r w:rsidRPr="00916FB1">
        <w:rPr>
          <w:rFonts w:ascii="Arial" w:hAnsi="Arial" w:cs="Arial"/>
        </w:rPr>
        <w:t xml:space="preserve">appeared to expressly reject in the </w:t>
      </w:r>
      <w:r w:rsidR="0077599F">
        <w:rPr>
          <w:rFonts w:ascii="Arial" w:hAnsi="Arial" w:cs="Arial"/>
        </w:rPr>
        <w:t>context of dishonest assistance:</w:t>
      </w:r>
      <w:r w:rsidRPr="00916FB1">
        <w:rPr>
          <w:rFonts w:ascii="Arial" w:hAnsi="Arial" w:cs="Arial"/>
        </w:rPr>
        <w:t xml:space="preserve"> </w:t>
      </w:r>
    </w:p>
    <w:p w14:paraId="5C68490A" w14:textId="6688EB2A" w:rsidR="0077599F" w:rsidRDefault="0077599F" w:rsidP="00A0012A">
      <w:pPr>
        <w:spacing w:line="480" w:lineRule="auto"/>
        <w:ind w:left="720"/>
        <w:contextualSpacing/>
        <w:jc w:val="both"/>
        <w:rPr>
          <w:rFonts w:ascii="Arial" w:hAnsi="Arial" w:cs="Arial"/>
        </w:rPr>
      </w:pPr>
      <w:r>
        <w:rPr>
          <w:rFonts w:ascii="Arial" w:hAnsi="Arial" w:cs="Arial"/>
        </w:rPr>
        <w:t>“</w:t>
      </w:r>
      <w:r w:rsidRPr="0077599F">
        <w:rPr>
          <w:rFonts w:ascii="Arial" w:hAnsi="Arial" w:cs="Arial"/>
        </w:rPr>
        <w:t>In my opinion Lord Nicholls was adopting an objective standard of dishonesty by which the defendant is expected to attain the standard which would be observed by an honest person placed in similar circumstances. Account must be taken of subjective considerations such as the defendant's experience and intelligence and his actual state of knowledge at the relevant time. But it is not necessary that he should actually have appreciated that he was acting dishonestly; it is sufficient that he was.</w:t>
      </w:r>
      <w:r>
        <w:rPr>
          <w:rFonts w:ascii="Arial" w:hAnsi="Arial" w:cs="Arial"/>
        </w:rPr>
        <w:t>”</w:t>
      </w:r>
    </w:p>
    <w:p w14:paraId="621E0F94" w14:textId="05BCDD3B" w:rsidR="0077599F" w:rsidRPr="0077599F" w:rsidRDefault="0077599F" w:rsidP="0077599F">
      <w:pPr>
        <w:spacing w:line="480" w:lineRule="auto"/>
        <w:contextualSpacing/>
        <w:jc w:val="both"/>
        <w:rPr>
          <w:rFonts w:ascii="Arial" w:hAnsi="Arial" w:cs="Arial"/>
        </w:rPr>
      </w:pPr>
      <w:r>
        <w:rPr>
          <w:rFonts w:ascii="Arial" w:hAnsi="Arial" w:cs="Arial"/>
        </w:rPr>
        <w:t>Millett</w:t>
      </w:r>
      <w:r w:rsidR="00AA17B7">
        <w:rPr>
          <w:rFonts w:ascii="Arial" w:hAnsi="Arial" w:cs="Arial"/>
        </w:rPr>
        <w:t xml:space="preserve"> LJ</w:t>
      </w:r>
      <w:r>
        <w:rPr>
          <w:rFonts w:ascii="Arial" w:hAnsi="Arial" w:cs="Arial"/>
        </w:rPr>
        <w:t xml:space="preserve">, </w:t>
      </w:r>
      <w:r w:rsidRPr="0077599F">
        <w:rPr>
          <w:rFonts w:ascii="Arial" w:hAnsi="Arial" w:cs="Arial"/>
        </w:rPr>
        <w:t>at 134</w:t>
      </w:r>
      <w:r w:rsidR="002E5098">
        <w:rPr>
          <w:rFonts w:ascii="Arial" w:hAnsi="Arial" w:cs="Arial"/>
        </w:rPr>
        <w:t>,</w:t>
      </w:r>
      <w:r w:rsidR="00F17467">
        <w:rPr>
          <w:rFonts w:ascii="Arial" w:hAnsi="Arial" w:cs="Arial"/>
        </w:rPr>
        <w:t xml:space="preserve"> also</w:t>
      </w:r>
      <w:r>
        <w:rPr>
          <w:rFonts w:ascii="Arial" w:hAnsi="Arial" w:cs="Arial"/>
        </w:rPr>
        <w:t xml:space="preserve"> </w:t>
      </w:r>
      <w:r w:rsidRPr="0077599F">
        <w:rPr>
          <w:rFonts w:ascii="Arial" w:hAnsi="Arial" w:cs="Arial"/>
        </w:rPr>
        <w:t>thought it would be better to return to the label ‘knowing assistance’</w:t>
      </w:r>
      <w:r w:rsidR="005C349C">
        <w:rPr>
          <w:rFonts w:ascii="Arial" w:hAnsi="Arial" w:cs="Arial"/>
        </w:rPr>
        <w:t xml:space="preserve"> so as not to unduly damage the reputation of professionals such as solicitors:</w:t>
      </w:r>
      <w:r w:rsidRPr="0077599F">
        <w:rPr>
          <w:rFonts w:ascii="Arial" w:hAnsi="Arial" w:cs="Arial"/>
        </w:rPr>
        <w:t xml:space="preserve"> </w:t>
      </w:r>
    </w:p>
    <w:p w14:paraId="29C83967" w14:textId="593DE66E" w:rsidR="0077599F" w:rsidRPr="0077599F" w:rsidRDefault="0077599F" w:rsidP="0077599F">
      <w:pPr>
        <w:spacing w:line="480" w:lineRule="auto"/>
        <w:ind w:left="720"/>
        <w:contextualSpacing/>
        <w:jc w:val="both"/>
        <w:rPr>
          <w:rFonts w:ascii="Arial" w:hAnsi="Arial" w:cs="Arial"/>
        </w:rPr>
      </w:pPr>
      <w:r>
        <w:rPr>
          <w:rFonts w:ascii="Arial" w:hAnsi="Arial" w:cs="Arial"/>
        </w:rPr>
        <w:t>“</w:t>
      </w:r>
      <w:r w:rsidRPr="0077599F">
        <w:rPr>
          <w:rFonts w:ascii="Arial" w:hAnsi="Arial" w:cs="Arial"/>
        </w:rPr>
        <w:t>For my own part, I have no difficulty in equating the knowing mishandling of money with dishonest conduct. But the introduction of dishonesty is an unnecessary distraction, and conducive to error. Many judges would be reluctant to brand a professional man as dishonest where he was unaware that honest people would consider his conduct to be so. If the condition of liability is intentional wrongdoing and not conscious dishonesty as understood in the criminal courts, I think that we should return to the traditional description of this head of equit</w:t>
      </w:r>
      <w:r>
        <w:rPr>
          <w:rFonts w:ascii="Arial" w:hAnsi="Arial" w:cs="Arial"/>
        </w:rPr>
        <w:t>able liability as arising from ‘knowing assistance.’”</w:t>
      </w:r>
      <w:r w:rsidRPr="0077599F">
        <w:rPr>
          <w:rFonts w:ascii="Arial" w:hAnsi="Arial" w:cs="Arial"/>
        </w:rPr>
        <w:t xml:space="preserve"> </w:t>
      </w:r>
    </w:p>
    <w:p w14:paraId="014EF9FD" w14:textId="77777777" w:rsidR="0077599F" w:rsidRPr="0077599F" w:rsidRDefault="0077599F" w:rsidP="0077599F">
      <w:pPr>
        <w:spacing w:line="480" w:lineRule="auto"/>
        <w:contextualSpacing/>
        <w:jc w:val="both"/>
        <w:rPr>
          <w:rFonts w:ascii="Arial" w:hAnsi="Arial" w:cs="Arial"/>
        </w:rPr>
      </w:pPr>
    </w:p>
    <w:p w14:paraId="397FC586" w14:textId="77777777" w:rsidR="00AA17B7" w:rsidRPr="00916FB1" w:rsidRDefault="00AA17B7" w:rsidP="00AA17B7">
      <w:pPr>
        <w:spacing w:line="480" w:lineRule="auto"/>
        <w:contextualSpacing/>
        <w:jc w:val="both"/>
        <w:rPr>
          <w:rFonts w:ascii="Arial" w:hAnsi="Arial" w:cs="Arial"/>
        </w:rPr>
      </w:pPr>
      <w:r>
        <w:rPr>
          <w:rFonts w:ascii="Arial" w:hAnsi="Arial" w:cs="Arial"/>
        </w:rPr>
        <w:lastRenderedPageBreak/>
        <w:t xml:space="preserve">Stage 3: </w:t>
      </w:r>
      <w:r w:rsidRPr="00724382">
        <w:rPr>
          <w:rFonts w:ascii="Arial" w:hAnsi="Arial" w:cs="Arial"/>
        </w:rPr>
        <w:t>The post-</w:t>
      </w:r>
      <w:r w:rsidRPr="00724382">
        <w:rPr>
          <w:rFonts w:ascii="Arial" w:hAnsi="Arial" w:cs="Arial"/>
          <w:i/>
          <w:u w:val="single"/>
        </w:rPr>
        <w:t>Twinsectra</w:t>
      </w:r>
      <w:r w:rsidRPr="00724382">
        <w:rPr>
          <w:rFonts w:ascii="Arial" w:hAnsi="Arial" w:cs="Arial"/>
        </w:rPr>
        <w:t xml:space="preserve"> case law</w:t>
      </w:r>
    </w:p>
    <w:p w14:paraId="2C8A8CF7" w14:textId="4002389B" w:rsidR="00320F25" w:rsidRPr="00916FB1" w:rsidRDefault="3C6A3F48" w:rsidP="00AE3010">
      <w:pPr>
        <w:spacing w:line="480" w:lineRule="auto"/>
        <w:contextualSpacing/>
        <w:jc w:val="both"/>
        <w:rPr>
          <w:rFonts w:ascii="Arial" w:hAnsi="Arial" w:cs="Arial"/>
        </w:rPr>
      </w:pPr>
      <w:r w:rsidRPr="3C6A3F48">
        <w:rPr>
          <w:rFonts w:ascii="Arial" w:hAnsi="Arial" w:cs="Arial"/>
        </w:rPr>
        <w:t xml:space="preserve">The Privy Council had an opportunity to revisit the issue of dishonesty in </w:t>
      </w:r>
      <w:r w:rsidRPr="3C6A3F48">
        <w:rPr>
          <w:rFonts w:ascii="Arial" w:hAnsi="Arial" w:cs="Arial"/>
          <w:i/>
          <w:iCs/>
          <w:u w:val="single"/>
        </w:rPr>
        <w:t>Barlow Clowes International Ltd (in liquidation) v Eurotrust</w:t>
      </w:r>
      <w:r w:rsidRPr="3C6A3F48">
        <w:rPr>
          <w:rFonts w:ascii="Arial" w:hAnsi="Arial" w:cs="Arial"/>
          <w:u w:val="single"/>
        </w:rPr>
        <w:t xml:space="preserve"> </w:t>
      </w:r>
      <w:r w:rsidRPr="3C6A3F48">
        <w:rPr>
          <w:rFonts w:ascii="Arial" w:hAnsi="Arial" w:cs="Arial"/>
          <w:i/>
          <w:iCs/>
          <w:u w:val="single"/>
        </w:rPr>
        <w:t>International Ltd</w:t>
      </w:r>
      <w:r w:rsidRPr="3C6A3F48">
        <w:rPr>
          <w:rFonts w:ascii="Arial" w:hAnsi="Arial" w:cs="Arial"/>
          <w:u w:val="single"/>
        </w:rPr>
        <w:t xml:space="preserve"> [2006] 1 WLR 1476</w:t>
      </w:r>
      <w:r w:rsidRPr="3C6A3F48">
        <w:rPr>
          <w:rFonts w:ascii="Arial" w:hAnsi="Arial" w:cs="Arial"/>
        </w:rPr>
        <w:t xml:space="preserve">. Mr Clowes had operated a fraudulent investment scheme through Barlow Clowes Ltd. Some of the investors’ (misappropriated) monies were paid away through bank accounts maintained by companies administered by a company providing offshore financial services. The defendant, Mr Henwood, was one of the principal directors of that company. At first instance he had been found liable for dishonestly assisting in the misappropriation of certain sums. His appeal against the finding of dishonest assistance was allowed on the basis that it was not supported by the evidence. Barlow Clowes then appealed to the Privy Council. At first instance, the judge had found that after June 1987, Mr Henwood strongly suspected that the funds passing through his hands were moneys which Barlow Clowes had received from members of the public who thought they were subscribing to a scheme of investment. He went on to find that by normal standards Mr Henwood had been dishonest but that his own standard was different. Counsel for Mr Henwood, relying on Lord Hutton’s speech in </w:t>
      </w:r>
      <w:r w:rsidRPr="3C6A3F48">
        <w:rPr>
          <w:rFonts w:ascii="Arial" w:hAnsi="Arial" w:cs="Arial"/>
          <w:i/>
          <w:iCs/>
          <w:u w:val="single"/>
        </w:rPr>
        <w:t>Twinsectra</w:t>
      </w:r>
      <w:r w:rsidRPr="3C6A3F48">
        <w:rPr>
          <w:rFonts w:ascii="Arial" w:hAnsi="Arial" w:cs="Arial"/>
        </w:rPr>
        <w:t xml:space="preserve">, argued that this state of mind was not dishonest unless Mr Henwood was aware that it would by ordinary standards be regarded as dishonest. </w:t>
      </w:r>
    </w:p>
    <w:p w14:paraId="121CF9D6" w14:textId="2DB28D8A" w:rsidR="00320F25" w:rsidRPr="00916FB1" w:rsidRDefault="5F61FB7D" w:rsidP="00AE3010">
      <w:pPr>
        <w:spacing w:line="480" w:lineRule="auto"/>
        <w:contextualSpacing/>
        <w:jc w:val="both"/>
        <w:rPr>
          <w:rFonts w:ascii="Arial" w:hAnsi="Arial" w:cs="Arial"/>
        </w:rPr>
      </w:pPr>
      <w:r w:rsidRPr="5F61FB7D">
        <w:rPr>
          <w:rFonts w:ascii="Arial" w:hAnsi="Arial" w:cs="Arial"/>
        </w:rPr>
        <w:t xml:space="preserve">The Privy Council accepted that Lord Hutton’s speech in </w:t>
      </w:r>
      <w:r w:rsidRPr="5F61FB7D">
        <w:rPr>
          <w:rFonts w:ascii="Arial" w:hAnsi="Arial" w:cs="Arial"/>
          <w:i/>
          <w:iCs/>
          <w:u w:val="single"/>
        </w:rPr>
        <w:t>Twinsectra</w:t>
      </w:r>
      <w:r w:rsidRPr="5F61FB7D">
        <w:rPr>
          <w:rFonts w:ascii="Arial" w:hAnsi="Arial" w:cs="Arial"/>
        </w:rPr>
        <w:t xml:space="preserve"> might have contained an element of ‘ambiguity’ and could be read as inconsistent with the test adopted by</w:t>
      </w:r>
      <w:r w:rsidR="00AA17B7">
        <w:rPr>
          <w:rFonts w:ascii="Arial" w:hAnsi="Arial" w:cs="Arial"/>
        </w:rPr>
        <w:t xml:space="preserve"> </w:t>
      </w:r>
      <w:r w:rsidRPr="5F61FB7D">
        <w:rPr>
          <w:rFonts w:ascii="Arial" w:hAnsi="Arial" w:cs="Arial"/>
        </w:rPr>
        <w:t>Nicholls</w:t>
      </w:r>
      <w:r w:rsidR="00AA17B7">
        <w:rPr>
          <w:rFonts w:ascii="Arial" w:hAnsi="Arial" w:cs="Arial"/>
        </w:rPr>
        <w:t xml:space="preserve"> LJ</w:t>
      </w:r>
      <w:r w:rsidRPr="5F61FB7D">
        <w:rPr>
          <w:rFonts w:ascii="Arial" w:hAnsi="Arial" w:cs="Arial"/>
        </w:rPr>
        <w:t xml:space="preserve"> in </w:t>
      </w:r>
      <w:r w:rsidRPr="5F61FB7D">
        <w:rPr>
          <w:rFonts w:ascii="Arial" w:hAnsi="Arial" w:cs="Arial"/>
          <w:i/>
          <w:iCs/>
          <w:u w:val="single"/>
        </w:rPr>
        <w:t>Tan</w:t>
      </w:r>
      <w:r w:rsidRPr="5F61FB7D">
        <w:rPr>
          <w:rFonts w:ascii="Arial" w:hAnsi="Arial" w:cs="Arial"/>
        </w:rPr>
        <w:t xml:space="preserve">. However, the Privy Council was keen to deny that Hutton </w:t>
      </w:r>
      <w:r w:rsidR="00AA17B7">
        <w:rPr>
          <w:rFonts w:ascii="Arial" w:hAnsi="Arial" w:cs="Arial"/>
        </w:rPr>
        <w:t xml:space="preserve">LJ </w:t>
      </w:r>
      <w:r w:rsidRPr="5F61FB7D">
        <w:rPr>
          <w:rFonts w:ascii="Arial" w:hAnsi="Arial" w:cs="Arial"/>
        </w:rPr>
        <w:t xml:space="preserve">had intended to depart from the approach in </w:t>
      </w:r>
      <w:r w:rsidRPr="5F61FB7D">
        <w:rPr>
          <w:rFonts w:ascii="Arial" w:hAnsi="Arial" w:cs="Arial"/>
          <w:i/>
          <w:iCs/>
          <w:u w:val="single"/>
        </w:rPr>
        <w:t>Tan</w:t>
      </w:r>
      <w:r w:rsidRPr="5F61FB7D">
        <w:rPr>
          <w:rFonts w:ascii="Arial" w:hAnsi="Arial" w:cs="Arial"/>
        </w:rPr>
        <w:t xml:space="preserve">. Hoffmann </w:t>
      </w:r>
      <w:r w:rsidR="00AA17B7">
        <w:rPr>
          <w:rFonts w:ascii="Arial" w:hAnsi="Arial" w:cs="Arial"/>
        </w:rPr>
        <w:t xml:space="preserve">LJ </w:t>
      </w:r>
      <w:r w:rsidR="008D1D5C">
        <w:rPr>
          <w:rFonts w:ascii="Arial" w:hAnsi="Arial" w:cs="Arial"/>
        </w:rPr>
        <w:t xml:space="preserve">clarified that </w:t>
      </w:r>
      <w:r w:rsidRPr="5F61FB7D">
        <w:rPr>
          <w:rFonts w:ascii="Arial" w:hAnsi="Arial" w:cs="Arial"/>
        </w:rPr>
        <w:t xml:space="preserve">the test put forward by Hutton </w:t>
      </w:r>
      <w:r w:rsidR="00AA17B7">
        <w:rPr>
          <w:rFonts w:ascii="Arial" w:hAnsi="Arial" w:cs="Arial"/>
        </w:rPr>
        <w:t xml:space="preserve">LJ </w:t>
      </w:r>
      <w:r w:rsidRPr="5F61FB7D">
        <w:rPr>
          <w:rFonts w:ascii="Arial" w:hAnsi="Arial" w:cs="Arial"/>
        </w:rPr>
        <w:t xml:space="preserve">did not create a requirement to the effect that the defendant must have reflected on what the normally accepted standards of honest behaviour were. All that was required was that the defendant was conscious of the elements of the transaction that made participation transgress these standards. However, the Privy Council’s assertions that the majority approach in </w:t>
      </w:r>
      <w:r w:rsidRPr="5F61FB7D">
        <w:rPr>
          <w:rFonts w:ascii="Arial" w:hAnsi="Arial" w:cs="Arial"/>
          <w:i/>
          <w:iCs/>
          <w:u w:val="single"/>
        </w:rPr>
        <w:t>Twinsectra</w:t>
      </w:r>
      <w:r w:rsidRPr="5F61FB7D">
        <w:rPr>
          <w:rFonts w:ascii="Arial" w:hAnsi="Arial" w:cs="Arial"/>
        </w:rPr>
        <w:t xml:space="preserve"> (the ‘combined test’) does not conflict with Lord Nicholls’ approach (the ‘purely objective’ standard) in </w:t>
      </w:r>
      <w:r w:rsidRPr="5F61FB7D">
        <w:rPr>
          <w:rFonts w:ascii="Arial" w:hAnsi="Arial" w:cs="Arial"/>
          <w:i/>
          <w:iCs/>
          <w:u w:val="single"/>
        </w:rPr>
        <w:t>Tan</w:t>
      </w:r>
      <w:r w:rsidRPr="5F61FB7D">
        <w:rPr>
          <w:rFonts w:ascii="Arial" w:hAnsi="Arial" w:cs="Arial"/>
        </w:rPr>
        <w:t xml:space="preserve"> are unconvincing. As Millett </w:t>
      </w:r>
      <w:r w:rsidR="00AA17B7">
        <w:rPr>
          <w:rFonts w:ascii="Arial" w:hAnsi="Arial" w:cs="Arial"/>
        </w:rPr>
        <w:t xml:space="preserve">LJ </w:t>
      </w:r>
      <w:r w:rsidRPr="5F61FB7D">
        <w:rPr>
          <w:rFonts w:ascii="Arial" w:hAnsi="Arial" w:cs="Arial"/>
        </w:rPr>
        <w:t xml:space="preserve">pointed out in his dissenting judgment in </w:t>
      </w:r>
      <w:r w:rsidRPr="5F61FB7D">
        <w:rPr>
          <w:rFonts w:ascii="Arial" w:hAnsi="Arial" w:cs="Arial"/>
          <w:i/>
          <w:iCs/>
          <w:u w:val="single"/>
        </w:rPr>
        <w:t>Twinsectra</w:t>
      </w:r>
      <w:r w:rsidRPr="5F61FB7D">
        <w:rPr>
          <w:rFonts w:ascii="Arial" w:hAnsi="Arial" w:cs="Arial"/>
        </w:rPr>
        <w:t xml:space="preserve">, they are plainly different tests. A number of academics have described </w:t>
      </w:r>
      <w:r w:rsidRPr="5F61FB7D">
        <w:rPr>
          <w:rFonts w:ascii="Arial" w:hAnsi="Arial" w:cs="Arial"/>
          <w:i/>
          <w:iCs/>
          <w:u w:val="single"/>
        </w:rPr>
        <w:t xml:space="preserve">Barlow </w:t>
      </w:r>
      <w:r w:rsidRPr="5F61FB7D">
        <w:rPr>
          <w:rFonts w:ascii="Arial" w:hAnsi="Arial" w:cs="Arial"/>
          <w:i/>
          <w:iCs/>
          <w:u w:val="single"/>
        </w:rPr>
        <w:lastRenderedPageBreak/>
        <w:t>Clowes</w:t>
      </w:r>
      <w:r w:rsidRPr="5F61FB7D">
        <w:rPr>
          <w:rFonts w:ascii="Arial" w:hAnsi="Arial" w:cs="Arial"/>
        </w:rPr>
        <w:t xml:space="preserve"> as a ‘reinterpretation’ of </w:t>
      </w:r>
      <w:r w:rsidRPr="5F61FB7D">
        <w:rPr>
          <w:rFonts w:ascii="Arial" w:hAnsi="Arial" w:cs="Arial"/>
          <w:i/>
          <w:iCs/>
          <w:u w:val="single"/>
        </w:rPr>
        <w:t>Twinsectra</w:t>
      </w:r>
      <w:r w:rsidRPr="5F61FB7D">
        <w:rPr>
          <w:rFonts w:ascii="Arial" w:hAnsi="Arial" w:cs="Arial"/>
        </w:rPr>
        <w:t xml:space="preserve">. The Privy Council could not, in any event, overrule </w:t>
      </w:r>
      <w:r w:rsidRPr="5F61FB7D">
        <w:rPr>
          <w:rFonts w:ascii="Arial" w:hAnsi="Arial" w:cs="Arial"/>
          <w:i/>
          <w:iCs/>
          <w:u w:val="single"/>
        </w:rPr>
        <w:t>Twinsectra</w:t>
      </w:r>
      <w:r w:rsidR="002E5098">
        <w:rPr>
          <w:rFonts w:ascii="Arial" w:hAnsi="Arial" w:cs="Arial"/>
        </w:rPr>
        <w:t>, which was</w:t>
      </w:r>
      <w:r w:rsidRPr="5F61FB7D">
        <w:rPr>
          <w:rFonts w:ascii="Arial" w:hAnsi="Arial" w:cs="Arial"/>
        </w:rPr>
        <w:t xml:space="preserve"> a House of Lords decision.</w:t>
      </w:r>
    </w:p>
    <w:p w14:paraId="3262B370" w14:textId="12228AC3" w:rsidR="008672A4" w:rsidRPr="008672A4" w:rsidRDefault="008D1D5C" w:rsidP="008672A4">
      <w:pPr>
        <w:spacing w:line="480" w:lineRule="auto"/>
        <w:contextualSpacing/>
        <w:jc w:val="both"/>
        <w:rPr>
          <w:rFonts w:ascii="Arial" w:hAnsi="Arial" w:cs="Arial"/>
        </w:rPr>
      </w:pPr>
      <w:r w:rsidRPr="008D1D5C">
        <w:rPr>
          <w:rFonts w:ascii="Arial" w:hAnsi="Arial" w:cs="Arial"/>
        </w:rPr>
        <w:t>Nonetheless,</w:t>
      </w:r>
      <w:r>
        <w:rPr>
          <w:rFonts w:ascii="Arial" w:hAnsi="Arial" w:cs="Arial"/>
        </w:rPr>
        <w:t xml:space="preserve"> </w:t>
      </w:r>
      <w:r w:rsidR="001D22FD" w:rsidRPr="001D22FD">
        <w:rPr>
          <w:rFonts w:ascii="Arial" w:hAnsi="Arial" w:cs="Arial"/>
          <w:i/>
          <w:u w:val="single"/>
        </w:rPr>
        <w:t>Barlow Clowes</w:t>
      </w:r>
      <w:r w:rsidR="001D22FD">
        <w:rPr>
          <w:rFonts w:ascii="Arial" w:hAnsi="Arial" w:cs="Arial"/>
        </w:rPr>
        <w:t xml:space="preserve"> was confirmed</w:t>
      </w:r>
      <w:r w:rsidR="00320F25" w:rsidRPr="00916FB1">
        <w:rPr>
          <w:rFonts w:ascii="Arial" w:hAnsi="Arial" w:cs="Arial"/>
        </w:rPr>
        <w:t xml:space="preserve"> in </w:t>
      </w:r>
      <w:r w:rsidR="00500AD5" w:rsidRPr="00500AD5">
        <w:rPr>
          <w:rFonts w:ascii="Arial" w:hAnsi="Arial" w:cs="Arial"/>
        </w:rPr>
        <w:t>subsequent c</w:t>
      </w:r>
      <w:r w:rsidR="00500AD5">
        <w:rPr>
          <w:rFonts w:ascii="Arial" w:hAnsi="Arial" w:cs="Arial"/>
        </w:rPr>
        <w:t>ases</w:t>
      </w:r>
      <w:r w:rsidR="008672A4">
        <w:rPr>
          <w:rFonts w:ascii="Arial" w:hAnsi="Arial" w:cs="Arial"/>
        </w:rPr>
        <w:t xml:space="preserve">. </w:t>
      </w:r>
      <w:r>
        <w:rPr>
          <w:rFonts w:ascii="Arial" w:hAnsi="Arial" w:cs="Arial"/>
        </w:rPr>
        <w:t>For instance, the</w:t>
      </w:r>
      <w:r w:rsidR="008672A4">
        <w:rPr>
          <w:rFonts w:ascii="Arial" w:hAnsi="Arial" w:cs="Arial"/>
        </w:rPr>
        <w:t xml:space="preserve"> Court of Appeal</w:t>
      </w:r>
      <w:r w:rsidR="008672A4" w:rsidRPr="008672A4">
        <w:rPr>
          <w:rFonts w:ascii="Arial" w:hAnsi="Arial" w:cs="Arial"/>
        </w:rPr>
        <w:t xml:space="preserve"> in </w:t>
      </w:r>
      <w:r w:rsidR="008672A4" w:rsidRPr="008672A4">
        <w:rPr>
          <w:rFonts w:ascii="Arial" w:hAnsi="Arial" w:cs="Arial"/>
          <w:i/>
          <w:u w:val="single"/>
        </w:rPr>
        <w:t>Abou-Rahmah v Abacha</w:t>
      </w:r>
      <w:r w:rsidR="008672A4" w:rsidRPr="008672A4">
        <w:rPr>
          <w:rFonts w:ascii="Arial" w:hAnsi="Arial" w:cs="Arial"/>
          <w:u w:val="single"/>
        </w:rPr>
        <w:t xml:space="preserve"> [2006] EWCA Civ 1492</w:t>
      </w:r>
      <w:r w:rsidR="008672A4" w:rsidRPr="008672A4">
        <w:rPr>
          <w:rFonts w:ascii="Arial" w:hAnsi="Arial" w:cs="Arial"/>
        </w:rPr>
        <w:t xml:space="preserve"> </w:t>
      </w:r>
      <w:r w:rsidR="008672A4">
        <w:rPr>
          <w:rFonts w:ascii="Arial" w:hAnsi="Arial" w:cs="Arial"/>
        </w:rPr>
        <w:t>a</w:t>
      </w:r>
      <w:r w:rsidR="008672A4" w:rsidRPr="008672A4">
        <w:rPr>
          <w:rFonts w:ascii="Arial" w:hAnsi="Arial" w:cs="Arial"/>
        </w:rPr>
        <w:t xml:space="preserve">ccepted (obiter) that the </w:t>
      </w:r>
      <w:r w:rsidR="008672A4" w:rsidRPr="008D1D5C">
        <w:rPr>
          <w:rFonts w:ascii="Arial" w:hAnsi="Arial" w:cs="Arial"/>
          <w:i/>
          <w:u w:val="single"/>
        </w:rPr>
        <w:t>Barlow Clowes</w:t>
      </w:r>
      <w:r w:rsidR="008672A4" w:rsidRPr="008672A4">
        <w:rPr>
          <w:rFonts w:ascii="Arial" w:hAnsi="Arial" w:cs="Arial"/>
        </w:rPr>
        <w:t xml:space="preserve"> ‘clarificatio</w:t>
      </w:r>
      <w:r>
        <w:rPr>
          <w:rFonts w:ascii="Arial" w:hAnsi="Arial" w:cs="Arial"/>
        </w:rPr>
        <w:t xml:space="preserve">n’ prevailed (per Arden LJ, at 72): </w:t>
      </w:r>
    </w:p>
    <w:p w14:paraId="0F8A9599" w14:textId="41B2BF58" w:rsidR="008672A4" w:rsidRPr="008672A4" w:rsidRDefault="008D1D5C" w:rsidP="008D1D5C">
      <w:pPr>
        <w:spacing w:line="480" w:lineRule="auto"/>
        <w:ind w:left="720"/>
        <w:contextualSpacing/>
        <w:jc w:val="both"/>
        <w:rPr>
          <w:rFonts w:ascii="Arial" w:hAnsi="Arial" w:cs="Arial"/>
        </w:rPr>
      </w:pPr>
      <w:r>
        <w:rPr>
          <w:rFonts w:ascii="Arial" w:hAnsi="Arial" w:cs="Arial"/>
        </w:rPr>
        <w:t>“</w:t>
      </w:r>
      <w:r w:rsidR="008672A4" w:rsidRPr="008672A4">
        <w:rPr>
          <w:rFonts w:ascii="Arial" w:hAnsi="Arial" w:cs="Arial"/>
        </w:rPr>
        <w:t>The question is whether a bank, with inter alia the general suspicions which the bank had on the judge’s findings, would be treated as having acted honestly according to normally accepted standards. The judge reached the conclusion that these general suspicions did not make the bank dishonest. In my judgment, the judge was right on the issue of dishonesty, on the findings he made. The court is entitled to take into account that the fact these events occurred in a commercial setting which obliges banks to a</w:t>
      </w:r>
      <w:r>
        <w:rPr>
          <w:rFonts w:ascii="Arial" w:hAnsi="Arial" w:cs="Arial"/>
        </w:rPr>
        <w:t>ct on proper instructions</w:t>
      </w:r>
      <w:r w:rsidR="008672A4" w:rsidRPr="008672A4">
        <w:rPr>
          <w:rFonts w:ascii="Arial" w:hAnsi="Arial" w:cs="Arial"/>
        </w:rPr>
        <w:t>.</w:t>
      </w:r>
      <w:r>
        <w:rPr>
          <w:rFonts w:ascii="Arial" w:hAnsi="Arial" w:cs="Arial"/>
        </w:rPr>
        <w:t>”</w:t>
      </w:r>
      <w:r w:rsidR="008672A4" w:rsidRPr="008672A4">
        <w:rPr>
          <w:rFonts w:ascii="Arial" w:hAnsi="Arial" w:cs="Arial"/>
        </w:rPr>
        <w:t xml:space="preserve"> </w:t>
      </w:r>
    </w:p>
    <w:p w14:paraId="53FE3EE9" w14:textId="420CC3A3" w:rsidR="008672A4" w:rsidRPr="008672A4" w:rsidRDefault="008D1D5C" w:rsidP="008672A4">
      <w:pPr>
        <w:spacing w:line="480" w:lineRule="auto"/>
        <w:contextualSpacing/>
        <w:jc w:val="both"/>
        <w:rPr>
          <w:rFonts w:ascii="Arial" w:hAnsi="Arial" w:cs="Arial"/>
        </w:rPr>
      </w:pPr>
      <w:r>
        <w:rPr>
          <w:rFonts w:ascii="Arial" w:hAnsi="Arial" w:cs="Arial"/>
        </w:rPr>
        <w:t xml:space="preserve">Arden LJ, at 68, </w:t>
      </w:r>
      <w:r w:rsidR="008672A4" w:rsidRPr="008672A4">
        <w:rPr>
          <w:rFonts w:ascii="Arial" w:hAnsi="Arial" w:cs="Arial"/>
        </w:rPr>
        <w:t xml:space="preserve">also expressed the view that </w:t>
      </w:r>
      <w:r w:rsidR="008672A4" w:rsidRPr="008D1D5C">
        <w:rPr>
          <w:rFonts w:ascii="Arial" w:hAnsi="Arial" w:cs="Arial"/>
          <w:i/>
          <w:u w:val="single"/>
        </w:rPr>
        <w:t>Barlow Clowes</w:t>
      </w:r>
      <w:r w:rsidR="008672A4" w:rsidRPr="008672A4">
        <w:rPr>
          <w:rFonts w:ascii="Arial" w:hAnsi="Arial" w:cs="Arial"/>
        </w:rPr>
        <w:t xml:space="preserve"> showed how </w:t>
      </w:r>
      <w:r w:rsidR="008672A4" w:rsidRPr="008D1D5C">
        <w:rPr>
          <w:rFonts w:ascii="Arial" w:hAnsi="Arial" w:cs="Arial"/>
          <w:i/>
          <w:u w:val="single"/>
        </w:rPr>
        <w:t>Tan</w:t>
      </w:r>
      <w:r w:rsidR="008672A4" w:rsidRPr="008672A4">
        <w:rPr>
          <w:rFonts w:ascii="Arial" w:hAnsi="Arial" w:cs="Arial"/>
        </w:rPr>
        <w:t xml:space="preserve"> and </w:t>
      </w:r>
      <w:r w:rsidR="008672A4" w:rsidRPr="008D1D5C">
        <w:rPr>
          <w:rFonts w:ascii="Arial" w:hAnsi="Arial" w:cs="Arial"/>
          <w:i/>
          <w:u w:val="single"/>
        </w:rPr>
        <w:t>Twinsectra</w:t>
      </w:r>
      <w:r w:rsidR="008672A4" w:rsidRPr="008672A4">
        <w:rPr>
          <w:rFonts w:ascii="Arial" w:hAnsi="Arial" w:cs="Arial"/>
        </w:rPr>
        <w:t xml:space="preserve"> could sit side by side with each other: </w:t>
      </w:r>
    </w:p>
    <w:p w14:paraId="2D7C881A" w14:textId="35ECB476" w:rsidR="008D1D5C" w:rsidRDefault="008D1D5C" w:rsidP="00A0012A">
      <w:pPr>
        <w:spacing w:line="480" w:lineRule="auto"/>
        <w:ind w:left="720"/>
        <w:contextualSpacing/>
        <w:jc w:val="both"/>
        <w:rPr>
          <w:rFonts w:ascii="Arial" w:hAnsi="Arial" w:cs="Arial"/>
        </w:rPr>
      </w:pPr>
      <w:r>
        <w:rPr>
          <w:rFonts w:ascii="Arial" w:hAnsi="Arial" w:cs="Arial"/>
        </w:rPr>
        <w:t>“</w:t>
      </w:r>
      <w:r w:rsidR="008672A4" w:rsidRPr="008672A4">
        <w:rPr>
          <w:rFonts w:ascii="Arial" w:hAnsi="Arial" w:cs="Arial"/>
        </w:rPr>
        <w:t>The decision in Twinsectra is of course binding on this court and the judge. But the Barlow Clowes decision does not involve a departure from, or refusal to follow, the Twinsectra case. Rather, the Barlow Clowes case gives guidance as to the proper interpretation to be placed on it as a matter of English law. It shows how the Royal Brunei case and the Twinsectra case be read together to form a consistent corpus of law</w:t>
      </w:r>
      <w:r>
        <w:rPr>
          <w:rFonts w:ascii="Arial" w:hAnsi="Arial" w:cs="Arial"/>
        </w:rPr>
        <w:t>.”</w:t>
      </w:r>
      <w:r w:rsidR="008672A4" w:rsidRPr="008672A4">
        <w:rPr>
          <w:rFonts w:ascii="Arial" w:hAnsi="Arial" w:cs="Arial"/>
        </w:rPr>
        <w:t xml:space="preserve"> </w:t>
      </w:r>
    </w:p>
    <w:p w14:paraId="51BC580E" w14:textId="0698B738" w:rsidR="009713C7" w:rsidRDefault="008672A4" w:rsidP="008672A4">
      <w:pPr>
        <w:spacing w:line="480" w:lineRule="auto"/>
        <w:contextualSpacing/>
        <w:jc w:val="both"/>
        <w:rPr>
          <w:rFonts w:ascii="Arial" w:hAnsi="Arial" w:cs="Arial"/>
        </w:rPr>
      </w:pPr>
      <w:r w:rsidRPr="008672A4">
        <w:rPr>
          <w:rFonts w:ascii="Arial" w:hAnsi="Arial" w:cs="Arial"/>
        </w:rPr>
        <w:t xml:space="preserve">In </w:t>
      </w:r>
      <w:r w:rsidRPr="008D1D5C">
        <w:rPr>
          <w:rFonts w:ascii="Arial" w:hAnsi="Arial" w:cs="Arial"/>
          <w:i/>
          <w:u w:val="single"/>
        </w:rPr>
        <w:t>Starglade Properties Ltd v Nash</w:t>
      </w:r>
      <w:r w:rsidRPr="008D1D5C">
        <w:rPr>
          <w:rFonts w:ascii="Arial" w:hAnsi="Arial" w:cs="Arial"/>
          <w:u w:val="single"/>
        </w:rPr>
        <w:t xml:space="preserve"> </w:t>
      </w:r>
      <w:r w:rsidR="008D1D5C" w:rsidRPr="008D1D5C">
        <w:rPr>
          <w:rFonts w:ascii="Arial" w:hAnsi="Arial" w:cs="Arial"/>
          <w:u w:val="single"/>
        </w:rPr>
        <w:t>[2010] EWCA Civ 1314</w:t>
      </w:r>
      <w:r w:rsidRPr="008672A4">
        <w:rPr>
          <w:rFonts w:ascii="Arial" w:hAnsi="Arial" w:cs="Arial"/>
        </w:rPr>
        <w:t>, the trial judge had applied a large range of subjective elements when assessing dishonesty</w:t>
      </w:r>
      <w:r w:rsidR="009713C7">
        <w:rPr>
          <w:rFonts w:ascii="Arial" w:hAnsi="Arial" w:cs="Arial"/>
        </w:rPr>
        <w:t>,</w:t>
      </w:r>
      <w:r w:rsidRPr="008672A4">
        <w:rPr>
          <w:rFonts w:ascii="Arial" w:hAnsi="Arial" w:cs="Arial"/>
        </w:rPr>
        <w:t xml:space="preserve"> but the Court of Appeal put beyond doubt that the test was objective. </w:t>
      </w:r>
      <w:r w:rsidR="009713C7">
        <w:rPr>
          <w:rFonts w:ascii="Arial" w:hAnsi="Arial" w:cs="Arial"/>
        </w:rPr>
        <w:t>Hughes LJ, at 32,</w:t>
      </w:r>
      <w:r w:rsidRPr="008672A4">
        <w:rPr>
          <w:rFonts w:ascii="Arial" w:hAnsi="Arial" w:cs="Arial"/>
        </w:rPr>
        <w:t xml:space="preserve"> corrected the tria</w:t>
      </w:r>
      <w:r w:rsidR="009713C7">
        <w:rPr>
          <w:rFonts w:ascii="Arial" w:hAnsi="Arial" w:cs="Arial"/>
        </w:rPr>
        <w:t>l judge’s approach, explaining:</w:t>
      </w:r>
    </w:p>
    <w:p w14:paraId="67F6690F" w14:textId="54D3D7BA" w:rsidR="008D1D5C" w:rsidRDefault="009713C7" w:rsidP="00A0012A">
      <w:pPr>
        <w:spacing w:line="480" w:lineRule="auto"/>
        <w:ind w:left="720"/>
        <w:contextualSpacing/>
        <w:jc w:val="both"/>
        <w:rPr>
          <w:rFonts w:ascii="Arial" w:hAnsi="Arial" w:cs="Arial"/>
        </w:rPr>
      </w:pPr>
      <w:r>
        <w:rPr>
          <w:rFonts w:ascii="Arial" w:hAnsi="Arial" w:cs="Arial"/>
        </w:rPr>
        <w:t>“</w:t>
      </w:r>
      <w:r w:rsidRPr="009713C7">
        <w:rPr>
          <w:rFonts w:ascii="Arial" w:hAnsi="Arial" w:cs="Arial"/>
        </w:rPr>
        <w:t xml:space="preserve">The relevant standard, described variously in the statements I have quoted, is the ordinary standard of honest behaviour. Just as the subjective understanding of the person concerned as to whether his conduct is dishonest is irrelevant so also is it irrelevant that there may be a body of opinion which regards the ordinary standard of </w:t>
      </w:r>
      <w:r w:rsidRPr="009713C7">
        <w:rPr>
          <w:rFonts w:ascii="Arial" w:hAnsi="Arial" w:cs="Arial"/>
        </w:rPr>
        <w:lastRenderedPageBreak/>
        <w:t>honest behaviour as being set too high. Ultimately, in civil proceedings, it is for the court to determine what that standard is and to apply it to the facts of the case.</w:t>
      </w:r>
      <w:r>
        <w:rPr>
          <w:rFonts w:ascii="Arial" w:hAnsi="Arial" w:cs="Arial"/>
        </w:rPr>
        <w:t>”</w:t>
      </w:r>
    </w:p>
    <w:p w14:paraId="55A46F64" w14:textId="6AEB06F5" w:rsidR="00AC3CDD" w:rsidRDefault="00340180" w:rsidP="00AC3CDD">
      <w:pPr>
        <w:spacing w:line="480" w:lineRule="auto"/>
        <w:contextualSpacing/>
        <w:jc w:val="both"/>
        <w:rPr>
          <w:rFonts w:ascii="Arial" w:hAnsi="Arial" w:cs="Arial"/>
        </w:rPr>
      </w:pPr>
      <w:r w:rsidRPr="00340180">
        <w:rPr>
          <w:rFonts w:ascii="Arial" w:hAnsi="Arial" w:cs="Arial"/>
          <w:i/>
          <w:u w:val="single"/>
        </w:rPr>
        <w:t>Ivey v Genting Casinos</w:t>
      </w:r>
      <w:r w:rsidRPr="00340180">
        <w:rPr>
          <w:rFonts w:ascii="Arial" w:hAnsi="Arial" w:cs="Arial"/>
          <w:u w:val="single"/>
        </w:rPr>
        <w:t xml:space="preserve"> [2017] UKSC 67</w:t>
      </w:r>
      <w:r>
        <w:rPr>
          <w:rFonts w:ascii="Arial" w:hAnsi="Arial" w:cs="Arial"/>
        </w:rPr>
        <w:t xml:space="preserve"> </w:t>
      </w:r>
      <w:r w:rsidRPr="00AC3CDD">
        <w:rPr>
          <w:rFonts w:ascii="Arial" w:hAnsi="Arial" w:cs="Arial"/>
        </w:rPr>
        <w:t xml:space="preserve">and </w:t>
      </w:r>
      <w:r w:rsidR="004469F0" w:rsidRPr="00AC3CDD">
        <w:rPr>
          <w:rFonts w:ascii="Arial" w:hAnsi="Arial" w:cs="Arial"/>
          <w:i/>
          <w:u w:val="single"/>
        </w:rPr>
        <w:t>Group Seven Ltd v Notable Services LLP</w:t>
      </w:r>
      <w:r w:rsidR="00500AD5" w:rsidRPr="00AC3CDD">
        <w:rPr>
          <w:rFonts w:ascii="Arial" w:hAnsi="Arial" w:cs="Arial"/>
          <w:u w:val="single"/>
        </w:rPr>
        <w:t xml:space="preserve"> [2019]</w:t>
      </w:r>
      <w:r w:rsidR="004469F0" w:rsidRPr="00AC3CDD">
        <w:rPr>
          <w:rFonts w:ascii="Arial" w:hAnsi="Arial" w:cs="Arial"/>
          <w:u w:val="single"/>
        </w:rPr>
        <w:t xml:space="preserve"> EWCA Civ 614</w:t>
      </w:r>
      <w:r w:rsidR="009713C7" w:rsidRPr="009713C7">
        <w:rPr>
          <w:rFonts w:ascii="Arial" w:hAnsi="Arial" w:cs="Arial"/>
        </w:rPr>
        <w:t xml:space="preserve"> </w:t>
      </w:r>
      <w:r w:rsidR="009713C7">
        <w:rPr>
          <w:rFonts w:ascii="Arial" w:hAnsi="Arial" w:cs="Arial"/>
        </w:rPr>
        <w:t xml:space="preserve">have </w:t>
      </w:r>
      <w:r w:rsidR="009713C7" w:rsidRPr="009713C7">
        <w:rPr>
          <w:rFonts w:ascii="Arial" w:hAnsi="Arial" w:cs="Arial"/>
        </w:rPr>
        <w:t xml:space="preserve">also confirmed the approach in </w:t>
      </w:r>
      <w:r w:rsidR="009713C7" w:rsidRPr="001D22FD">
        <w:rPr>
          <w:rFonts w:ascii="Arial" w:hAnsi="Arial" w:cs="Arial"/>
          <w:i/>
          <w:u w:val="single"/>
        </w:rPr>
        <w:t>Barlow Clowes</w:t>
      </w:r>
      <w:r w:rsidR="004469F0" w:rsidRPr="00AC3CDD">
        <w:rPr>
          <w:rFonts w:ascii="Arial" w:hAnsi="Arial" w:cs="Arial"/>
        </w:rPr>
        <w:t>.</w:t>
      </w:r>
      <w:r w:rsidR="00320F25" w:rsidRPr="00AC3CDD">
        <w:rPr>
          <w:rFonts w:ascii="Arial" w:hAnsi="Arial" w:cs="Arial"/>
        </w:rPr>
        <w:t xml:space="preserve"> </w:t>
      </w:r>
      <w:r w:rsidRPr="00AC3CDD">
        <w:rPr>
          <w:rFonts w:ascii="Arial" w:hAnsi="Arial" w:cs="Arial"/>
        </w:rPr>
        <w:t>These cases</w:t>
      </w:r>
      <w:r w:rsidR="004469F0" w:rsidRPr="00AC3CDD">
        <w:rPr>
          <w:rFonts w:ascii="Arial" w:hAnsi="Arial" w:cs="Arial"/>
        </w:rPr>
        <w:t xml:space="preserve"> put beyond doubt that the object</w:t>
      </w:r>
      <w:r w:rsidR="005C349C">
        <w:rPr>
          <w:rFonts w:ascii="Arial" w:hAnsi="Arial" w:cs="Arial"/>
        </w:rPr>
        <w:t>ive</w:t>
      </w:r>
      <w:r w:rsidR="004469F0" w:rsidRPr="00AC3CDD">
        <w:rPr>
          <w:rFonts w:ascii="Arial" w:hAnsi="Arial" w:cs="Arial"/>
        </w:rPr>
        <w:t xml:space="preserve"> test </w:t>
      </w:r>
      <w:r w:rsidRPr="00AC3CDD">
        <w:rPr>
          <w:rFonts w:ascii="Arial" w:hAnsi="Arial" w:cs="Arial"/>
        </w:rPr>
        <w:t xml:space="preserve">is </w:t>
      </w:r>
      <w:r w:rsidR="004469F0" w:rsidRPr="00AC3CDD">
        <w:rPr>
          <w:rFonts w:ascii="Arial" w:hAnsi="Arial" w:cs="Arial"/>
        </w:rPr>
        <w:t>to be pr</w:t>
      </w:r>
      <w:r w:rsidR="00AC3CDD" w:rsidRPr="00AC3CDD">
        <w:rPr>
          <w:rFonts w:ascii="Arial" w:hAnsi="Arial" w:cs="Arial"/>
        </w:rPr>
        <w:t xml:space="preserve">eferred over the combined test. In </w:t>
      </w:r>
      <w:r w:rsidR="00AC3CDD" w:rsidRPr="00AC3CDD">
        <w:rPr>
          <w:rFonts w:ascii="Arial" w:hAnsi="Arial" w:cs="Arial"/>
          <w:i/>
          <w:u w:val="single"/>
        </w:rPr>
        <w:t>Ivey</w:t>
      </w:r>
      <w:r w:rsidR="00AC3CDD" w:rsidRPr="00AC3CDD">
        <w:rPr>
          <w:rFonts w:ascii="Arial" w:hAnsi="Arial" w:cs="Arial"/>
        </w:rPr>
        <w:t>, Hughes</w:t>
      </w:r>
      <w:r w:rsidR="00AA17B7">
        <w:rPr>
          <w:rFonts w:ascii="Arial" w:hAnsi="Arial" w:cs="Arial"/>
        </w:rPr>
        <w:t xml:space="preserve"> LJ</w:t>
      </w:r>
      <w:r w:rsidR="00AC3CDD" w:rsidRPr="00AC3CDD">
        <w:rPr>
          <w:rFonts w:ascii="Arial" w:hAnsi="Arial" w:cs="Arial"/>
        </w:rPr>
        <w:t xml:space="preserve">, at 74, confirmed that the approach of Nicholls </w:t>
      </w:r>
      <w:r w:rsidR="00AA17B7">
        <w:rPr>
          <w:rFonts w:ascii="Arial" w:hAnsi="Arial" w:cs="Arial"/>
        </w:rPr>
        <w:t xml:space="preserve">LJ </w:t>
      </w:r>
      <w:r w:rsidR="00AC3CDD" w:rsidRPr="00AC3CDD">
        <w:rPr>
          <w:rFonts w:ascii="Arial" w:hAnsi="Arial" w:cs="Arial"/>
        </w:rPr>
        <w:t xml:space="preserve">in </w:t>
      </w:r>
      <w:r w:rsidR="00AC3CDD" w:rsidRPr="00AC3CDD">
        <w:rPr>
          <w:rFonts w:ascii="Arial" w:hAnsi="Arial" w:cs="Arial"/>
          <w:i/>
          <w:u w:val="single"/>
        </w:rPr>
        <w:t>Tan</w:t>
      </w:r>
      <w:r w:rsidR="00AC3CDD">
        <w:rPr>
          <w:rFonts w:ascii="Arial" w:hAnsi="Arial" w:cs="Arial"/>
        </w:rPr>
        <w:t xml:space="preserve"> represents the law; namely,</w:t>
      </w:r>
      <w:r w:rsidR="00AC3CDD" w:rsidRPr="00AC3CDD">
        <w:rPr>
          <w:rFonts w:ascii="Arial" w:hAnsi="Arial" w:cs="Arial"/>
        </w:rPr>
        <w:t xml:space="preserve"> </w:t>
      </w:r>
      <w:r w:rsidR="00DD41E5">
        <w:rPr>
          <w:rFonts w:ascii="Arial" w:hAnsi="Arial" w:cs="Arial"/>
        </w:rPr>
        <w:t xml:space="preserve">that </w:t>
      </w:r>
      <w:r w:rsidR="00AC3CDD" w:rsidRPr="00AC3CDD">
        <w:rPr>
          <w:rFonts w:ascii="Arial" w:hAnsi="Arial" w:cs="Arial"/>
        </w:rPr>
        <w:t xml:space="preserve">the test of dishonesty is </w:t>
      </w:r>
      <w:r w:rsidR="00DD41E5">
        <w:rPr>
          <w:rFonts w:ascii="Arial" w:hAnsi="Arial" w:cs="Arial"/>
        </w:rPr>
        <w:t>whether a</w:t>
      </w:r>
      <w:r w:rsidR="00AC3CDD" w:rsidRPr="00AC3CDD">
        <w:rPr>
          <w:rFonts w:ascii="Arial" w:hAnsi="Arial" w:cs="Arial"/>
        </w:rPr>
        <w:t xml:space="preserve"> reasonable, honest person imbued with the knowledge and attributes of the defendant</w:t>
      </w:r>
      <w:r w:rsidR="00DD41E5">
        <w:rPr>
          <w:rFonts w:ascii="Arial" w:hAnsi="Arial" w:cs="Arial"/>
        </w:rPr>
        <w:t xml:space="preserve"> would be thought to be dishonest</w:t>
      </w:r>
      <w:r w:rsidR="00AC3CDD" w:rsidRPr="00AC3CDD">
        <w:rPr>
          <w:rFonts w:ascii="Arial" w:hAnsi="Arial" w:cs="Arial"/>
        </w:rPr>
        <w:t>.</w:t>
      </w:r>
    </w:p>
    <w:p w14:paraId="4D9187C9" w14:textId="1C60A6A6" w:rsidR="009E5647" w:rsidRDefault="00AC3CDD" w:rsidP="00B31500">
      <w:pPr>
        <w:spacing w:line="480" w:lineRule="auto"/>
        <w:ind w:left="720"/>
        <w:contextualSpacing/>
        <w:jc w:val="both"/>
        <w:rPr>
          <w:rFonts w:ascii="Arial" w:hAnsi="Arial" w:cs="Arial"/>
        </w:rPr>
      </w:pPr>
      <w:r>
        <w:rPr>
          <w:rFonts w:ascii="Arial" w:hAnsi="Arial" w:cs="Arial"/>
        </w:rPr>
        <w:t>“</w:t>
      </w:r>
      <w:r w:rsidRPr="00AC3CDD">
        <w:rPr>
          <w:rFonts w:ascii="Arial" w:hAnsi="Arial" w:cs="Arial"/>
        </w:rPr>
        <w:t>When dishonesty is in question the fact-finding tribunal must first ascertain (subjectively) the actual state of the individual's knowledge or belief as to the facts. The reasonableness or otherwise of his belief is a matter of evidence (often in practice determinative) going to whether he held the belief, but it is not an additional requirement that his belief must be reasonable; the question is whether it is genuinely held. When once his actual state of mind as to knowledge or belief as to facts is established, the question whether his conduct was honest or dishonest is to be determined by the fact-finder by applying the (objective) standards of ordinary decent people. There is no requirement that the defendant must appreciate that what he has done is, by those standards, dishonest.</w:t>
      </w:r>
      <w:r>
        <w:rPr>
          <w:rFonts w:ascii="Arial" w:hAnsi="Arial" w:cs="Arial"/>
        </w:rPr>
        <w:t>”</w:t>
      </w:r>
    </w:p>
    <w:p w14:paraId="2664E1B4" w14:textId="77777777" w:rsidR="009E5647" w:rsidRPr="00916FB1" w:rsidRDefault="009E5647" w:rsidP="00AE3010">
      <w:pPr>
        <w:spacing w:line="480" w:lineRule="auto"/>
        <w:jc w:val="both"/>
        <w:rPr>
          <w:rFonts w:ascii="Arial" w:hAnsi="Arial" w:cs="Arial"/>
        </w:rPr>
      </w:pPr>
    </w:p>
    <w:bookmarkEnd w:id="0"/>
    <w:bookmarkEnd w:id="1"/>
    <w:p w14:paraId="4ABEDBEF" w14:textId="67C47F78" w:rsidR="00657E40" w:rsidRPr="00916FB1" w:rsidRDefault="00657E40" w:rsidP="00AE3010">
      <w:pPr>
        <w:pStyle w:val="ListParagraph"/>
        <w:spacing w:after="120" w:line="480" w:lineRule="auto"/>
        <w:ind w:left="357"/>
        <w:jc w:val="both"/>
        <w:rPr>
          <w:rFonts w:ascii="Arial" w:eastAsia="Times New Roman" w:hAnsi="Arial" w:cs="Arial"/>
          <w:lang w:bidi="en-US"/>
        </w:rPr>
      </w:pPr>
    </w:p>
    <w:sectPr w:rsidR="00657E40" w:rsidRPr="00916FB1" w:rsidSect="00B869B7">
      <w:headerReference w:type="default" r:id="rId9"/>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48690" w14:textId="77777777" w:rsidR="005C1CBF" w:rsidRDefault="005C1CBF" w:rsidP="00177ED8">
      <w:pPr>
        <w:spacing w:after="0" w:line="240" w:lineRule="auto"/>
      </w:pPr>
      <w:r>
        <w:separator/>
      </w:r>
    </w:p>
  </w:endnote>
  <w:endnote w:type="continuationSeparator" w:id="0">
    <w:p w14:paraId="2F810AC7" w14:textId="77777777" w:rsidR="005C1CBF" w:rsidRDefault="005C1CBF"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5243884"/>
      <w:docPartObj>
        <w:docPartGallery w:val="Page Numbers (Bottom of Page)"/>
        <w:docPartUnique/>
      </w:docPartObj>
    </w:sdtPr>
    <w:sdtEndPr/>
    <w:sdtContent>
      <w:sdt>
        <w:sdtPr>
          <w:id w:val="1728636285"/>
          <w:docPartObj>
            <w:docPartGallery w:val="Page Numbers (Top of Page)"/>
            <w:docPartUnique/>
          </w:docPartObj>
        </w:sdtPr>
        <w:sdtEndPr/>
        <w:sdtContent>
          <w:p w14:paraId="5F7A13DA" w14:textId="68975E97"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5C349C">
              <w:rPr>
                <w:rFonts w:ascii="Arial" w:hAnsi="Arial" w:cs="Arial"/>
                <w:bCs/>
                <w:noProof/>
                <w:sz w:val="20"/>
                <w:szCs w:val="20"/>
              </w:rPr>
              <w:t>13</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5C349C">
              <w:rPr>
                <w:rFonts w:ascii="Arial" w:hAnsi="Arial" w:cs="Arial"/>
                <w:bCs/>
                <w:noProof/>
                <w:sz w:val="20"/>
                <w:szCs w:val="20"/>
              </w:rPr>
              <w:t>13</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B0882" w14:textId="77777777" w:rsidR="005C1CBF" w:rsidRDefault="005C1CBF" w:rsidP="00177ED8">
      <w:pPr>
        <w:spacing w:after="0" w:line="240" w:lineRule="auto"/>
      </w:pPr>
      <w:r>
        <w:separator/>
      </w:r>
    </w:p>
  </w:footnote>
  <w:footnote w:type="continuationSeparator" w:id="0">
    <w:p w14:paraId="4AE0ED93" w14:textId="77777777" w:rsidR="005C1CBF" w:rsidRDefault="005C1CBF"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835EA" w14:textId="1AA27D8C" w:rsidR="00F82459" w:rsidRPr="00F82459" w:rsidRDefault="00F82459" w:rsidP="00F82459">
    <w:pPr>
      <w:pStyle w:val="Header"/>
      <w:jc w:val="right"/>
      <w:rPr>
        <w:rFonts w:ascii="Arial" w:hAnsi="Arial" w:cs="Arial"/>
      </w:rPr>
    </w:pPr>
    <w:r>
      <w:rPr>
        <w:rFonts w:ascii="Arial" w:hAnsi="Arial" w:cs="Arial"/>
      </w:rPr>
      <w:t>Trusts Law Week 1</w:t>
    </w:r>
    <w:r w:rsidR="00723288">
      <w:rPr>
        <w:rFonts w:ascii="Arial" w:hAnsi="Arial" w:cs="Arial"/>
      </w:rPr>
      <w:t>7</w:t>
    </w:r>
  </w:p>
  <w:p w14:paraId="1DC5858A"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156FF"/>
    <w:multiLevelType w:val="hybridMultilevel"/>
    <w:tmpl w:val="59DE3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8671E8"/>
    <w:multiLevelType w:val="hybridMultilevel"/>
    <w:tmpl w:val="467440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2515A0"/>
    <w:multiLevelType w:val="hybridMultilevel"/>
    <w:tmpl w:val="F65E393A"/>
    <w:lvl w:ilvl="0" w:tplc="08090011">
      <w:start w:val="1"/>
      <w:numFmt w:val="decimal"/>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Aria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524427D"/>
    <w:multiLevelType w:val="hybridMultilevel"/>
    <w:tmpl w:val="F42CF792"/>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66C51C4"/>
    <w:multiLevelType w:val="hybridMultilevel"/>
    <w:tmpl w:val="4B101040"/>
    <w:lvl w:ilvl="0" w:tplc="E01064CA">
      <w:start w:val="1"/>
      <w:numFmt w:val="bullet"/>
      <w:lvlText w:val=""/>
      <w:lvlJc w:val="left"/>
      <w:pPr>
        <w:ind w:left="720" w:hanging="360"/>
      </w:pPr>
      <w:rPr>
        <w:rFonts w:ascii="Symbol" w:hAnsi="Symbol" w:hint="default"/>
      </w:rPr>
    </w:lvl>
    <w:lvl w:ilvl="1" w:tplc="07746D78">
      <w:start w:val="1"/>
      <w:numFmt w:val="bullet"/>
      <w:lvlText w:val="o"/>
      <w:lvlJc w:val="left"/>
      <w:pPr>
        <w:ind w:left="1440" w:hanging="360"/>
      </w:pPr>
      <w:rPr>
        <w:rFonts w:ascii="Courier New" w:hAnsi="Courier New" w:hint="default"/>
      </w:rPr>
    </w:lvl>
    <w:lvl w:ilvl="2" w:tplc="3710C65C">
      <w:start w:val="1"/>
      <w:numFmt w:val="bullet"/>
      <w:lvlText w:val=""/>
      <w:lvlJc w:val="left"/>
      <w:pPr>
        <w:ind w:left="2160" w:hanging="360"/>
      </w:pPr>
      <w:rPr>
        <w:rFonts w:ascii="Wingdings" w:hAnsi="Wingdings" w:hint="default"/>
      </w:rPr>
    </w:lvl>
    <w:lvl w:ilvl="3" w:tplc="61B4B1E6">
      <w:start w:val="1"/>
      <w:numFmt w:val="bullet"/>
      <w:lvlText w:val=""/>
      <w:lvlJc w:val="left"/>
      <w:pPr>
        <w:ind w:left="2880" w:hanging="360"/>
      </w:pPr>
      <w:rPr>
        <w:rFonts w:ascii="Symbol" w:hAnsi="Symbol" w:hint="default"/>
      </w:rPr>
    </w:lvl>
    <w:lvl w:ilvl="4" w:tplc="361EABD2">
      <w:start w:val="1"/>
      <w:numFmt w:val="bullet"/>
      <w:lvlText w:val="o"/>
      <w:lvlJc w:val="left"/>
      <w:pPr>
        <w:ind w:left="3600" w:hanging="360"/>
      </w:pPr>
      <w:rPr>
        <w:rFonts w:ascii="Courier New" w:hAnsi="Courier New" w:hint="default"/>
      </w:rPr>
    </w:lvl>
    <w:lvl w:ilvl="5" w:tplc="0BDEB2A4">
      <w:start w:val="1"/>
      <w:numFmt w:val="bullet"/>
      <w:lvlText w:val=""/>
      <w:lvlJc w:val="left"/>
      <w:pPr>
        <w:ind w:left="4320" w:hanging="360"/>
      </w:pPr>
      <w:rPr>
        <w:rFonts w:ascii="Wingdings" w:hAnsi="Wingdings" w:hint="default"/>
      </w:rPr>
    </w:lvl>
    <w:lvl w:ilvl="6" w:tplc="C41CFAAC">
      <w:start w:val="1"/>
      <w:numFmt w:val="bullet"/>
      <w:lvlText w:val=""/>
      <w:lvlJc w:val="left"/>
      <w:pPr>
        <w:ind w:left="5040" w:hanging="360"/>
      </w:pPr>
      <w:rPr>
        <w:rFonts w:ascii="Symbol" w:hAnsi="Symbol" w:hint="default"/>
      </w:rPr>
    </w:lvl>
    <w:lvl w:ilvl="7" w:tplc="4AAC0490">
      <w:start w:val="1"/>
      <w:numFmt w:val="bullet"/>
      <w:lvlText w:val="o"/>
      <w:lvlJc w:val="left"/>
      <w:pPr>
        <w:ind w:left="5760" w:hanging="360"/>
      </w:pPr>
      <w:rPr>
        <w:rFonts w:ascii="Courier New" w:hAnsi="Courier New" w:hint="default"/>
      </w:rPr>
    </w:lvl>
    <w:lvl w:ilvl="8" w:tplc="79E23FCE">
      <w:start w:val="1"/>
      <w:numFmt w:val="bullet"/>
      <w:lvlText w:val=""/>
      <w:lvlJc w:val="left"/>
      <w:pPr>
        <w:ind w:left="6480" w:hanging="360"/>
      </w:pPr>
      <w:rPr>
        <w:rFonts w:ascii="Wingdings" w:hAnsi="Wingdings" w:hint="default"/>
      </w:rPr>
    </w:lvl>
  </w:abstractNum>
  <w:abstractNum w:abstractNumId="5" w15:restartNumberingAfterBreak="0">
    <w:nsid w:val="1D5E57B4"/>
    <w:multiLevelType w:val="hybridMultilevel"/>
    <w:tmpl w:val="F39AE014"/>
    <w:lvl w:ilvl="0" w:tplc="F3047A7C">
      <w:start w:val="1"/>
      <w:numFmt w:val="decimal"/>
      <w:lvlText w:val="(%1)"/>
      <w:lvlJc w:val="left"/>
      <w:pPr>
        <w:ind w:left="360" w:hanging="360"/>
      </w:pPr>
      <w:rPr>
        <w:rFonts w:asciiTheme="minorHAnsi" w:eastAsia="Times New Roman" w:hAnsiTheme="minorHAnsi" w:cstheme="minorHAnsi"/>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DD6614A"/>
    <w:multiLevelType w:val="hybridMultilevel"/>
    <w:tmpl w:val="3EF811DC"/>
    <w:lvl w:ilvl="0" w:tplc="FB686F5C">
      <w:start w:val="1"/>
      <w:numFmt w:val="bullet"/>
      <w:lvlText w:val=""/>
      <w:lvlJc w:val="left"/>
      <w:pPr>
        <w:ind w:left="360" w:hanging="360"/>
      </w:pPr>
      <w:rPr>
        <w:rFonts w:ascii="Wingdings" w:hAnsi="Wingdings" w:hint="default"/>
        <w:b/>
        <w:bCs/>
        <w:color w:val="653265"/>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05045B3"/>
    <w:multiLevelType w:val="hybridMultilevel"/>
    <w:tmpl w:val="4FEC7EE2"/>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055020F"/>
    <w:multiLevelType w:val="hybridMultilevel"/>
    <w:tmpl w:val="F1640B2A"/>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2BC317E6"/>
    <w:multiLevelType w:val="hybridMultilevel"/>
    <w:tmpl w:val="12406DFC"/>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28D0805"/>
    <w:multiLevelType w:val="hybridMultilevel"/>
    <w:tmpl w:val="9B3A6690"/>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3661E40"/>
    <w:multiLevelType w:val="hybridMultilevel"/>
    <w:tmpl w:val="52BC8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885E17"/>
    <w:multiLevelType w:val="hybridMultilevel"/>
    <w:tmpl w:val="E710E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D80230C"/>
    <w:multiLevelType w:val="hybridMultilevel"/>
    <w:tmpl w:val="6A189C92"/>
    <w:lvl w:ilvl="0" w:tplc="0B4EF84E">
      <w:start w:val="1"/>
      <w:numFmt w:val="bullet"/>
      <w:lvlText w:val=""/>
      <w:lvlJc w:val="left"/>
      <w:pPr>
        <w:tabs>
          <w:tab w:val="num" w:pos="720"/>
        </w:tabs>
        <w:ind w:left="720" w:hanging="360"/>
      </w:pPr>
      <w:rPr>
        <w:rFonts w:ascii="Symbol" w:hAnsi="Symbol" w:hint="default"/>
        <w:sz w:val="20"/>
      </w:rPr>
    </w:lvl>
    <w:lvl w:ilvl="1" w:tplc="69E27F8E" w:tentative="1">
      <w:start w:val="1"/>
      <w:numFmt w:val="bullet"/>
      <w:lvlText w:val=""/>
      <w:lvlJc w:val="left"/>
      <w:pPr>
        <w:tabs>
          <w:tab w:val="num" w:pos="1440"/>
        </w:tabs>
        <w:ind w:left="1440" w:hanging="360"/>
      </w:pPr>
      <w:rPr>
        <w:rFonts w:ascii="Symbol" w:hAnsi="Symbol" w:hint="default"/>
        <w:sz w:val="20"/>
      </w:rPr>
    </w:lvl>
    <w:lvl w:ilvl="2" w:tplc="F0A23168" w:tentative="1">
      <w:start w:val="1"/>
      <w:numFmt w:val="bullet"/>
      <w:lvlText w:val=""/>
      <w:lvlJc w:val="left"/>
      <w:pPr>
        <w:tabs>
          <w:tab w:val="num" w:pos="2160"/>
        </w:tabs>
        <w:ind w:left="2160" w:hanging="360"/>
      </w:pPr>
      <w:rPr>
        <w:rFonts w:ascii="Symbol" w:hAnsi="Symbol" w:hint="default"/>
        <w:sz w:val="20"/>
      </w:rPr>
    </w:lvl>
    <w:lvl w:ilvl="3" w:tplc="CA9A09A4" w:tentative="1">
      <w:start w:val="1"/>
      <w:numFmt w:val="bullet"/>
      <w:lvlText w:val=""/>
      <w:lvlJc w:val="left"/>
      <w:pPr>
        <w:tabs>
          <w:tab w:val="num" w:pos="2880"/>
        </w:tabs>
        <w:ind w:left="2880" w:hanging="360"/>
      </w:pPr>
      <w:rPr>
        <w:rFonts w:ascii="Symbol" w:hAnsi="Symbol" w:hint="default"/>
        <w:sz w:val="20"/>
      </w:rPr>
    </w:lvl>
    <w:lvl w:ilvl="4" w:tplc="5D2CD450" w:tentative="1">
      <w:start w:val="1"/>
      <w:numFmt w:val="bullet"/>
      <w:lvlText w:val=""/>
      <w:lvlJc w:val="left"/>
      <w:pPr>
        <w:tabs>
          <w:tab w:val="num" w:pos="3600"/>
        </w:tabs>
        <w:ind w:left="3600" w:hanging="360"/>
      </w:pPr>
      <w:rPr>
        <w:rFonts w:ascii="Symbol" w:hAnsi="Symbol" w:hint="default"/>
        <w:sz w:val="20"/>
      </w:rPr>
    </w:lvl>
    <w:lvl w:ilvl="5" w:tplc="B68CAE9E" w:tentative="1">
      <w:start w:val="1"/>
      <w:numFmt w:val="bullet"/>
      <w:lvlText w:val=""/>
      <w:lvlJc w:val="left"/>
      <w:pPr>
        <w:tabs>
          <w:tab w:val="num" w:pos="4320"/>
        </w:tabs>
        <w:ind w:left="4320" w:hanging="360"/>
      </w:pPr>
      <w:rPr>
        <w:rFonts w:ascii="Symbol" w:hAnsi="Symbol" w:hint="default"/>
        <w:sz w:val="20"/>
      </w:rPr>
    </w:lvl>
    <w:lvl w:ilvl="6" w:tplc="81A05E74" w:tentative="1">
      <w:start w:val="1"/>
      <w:numFmt w:val="bullet"/>
      <w:lvlText w:val=""/>
      <w:lvlJc w:val="left"/>
      <w:pPr>
        <w:tabs>
          <w:tab w:val="num" w:pos="5040"/>
        </w:tabs>
        <w:ind w:left="5040" w:hanging="360"/>
      </w:pPr>
      <w:rPr>
        <w:rFonts w:ascii="Symbol" w:hAnsi="Symbol" w:hint="default"/>
        <w:sz w:val="20"/>
      </w:rPr>
    </w:lvl>
    <w:lvl w:ilvl="7" w:tplc="F578BE7A" w:tentative="1">
      <w:start w:val="1"/>
      <w:numFmt w:val="bullet"/>
      <w:lvlText w:val=""/>
      <w:lvlJc w:val="left"/>
      <w:pPr>
        <w:tabs>
          <w:tab w:val="num" w:pos="5760"/>
        </w:tabs>
        <w:ind w:left="5760" w:hanging="360"/>
      </w:pPr>
      <w:rPr>
        <w:rFonts w:ascii="Symbol" w:hAnsi="Symbol" w:hint="default"/>
        <w:sz w:val="20"/>
      </w:rPr>
    </w:lvl>
    <w:lvl w:ilvl="8" w:tplc="DD36086E"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05820AD"/>
    <w:multiLevelType w:val="hybridMultilevel"/>
    <w:tmpl w:val="703644F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2796735"/>
    <w:multiLevelType w:val="hybridMultilevel"/>
    <w:tmpl w:val="3E1AD656"/>
    <w:lvl w:ilvl="0" w:tplc="F2DED12C">
      <w:start w:val="1"/>
      <w:numFmt w:val="bullet"/>
      <w:lvlText w:val=""/>
      <w:lvlJc w:val="left"/>
      <w:pPr>
        <w:tabs>
          <w:tab w:val="num" w:pos="720"/>
        </w:tabs>
        <w:ind w:left="720" w:hanging="360"/>
      </w:pPr>
      <w:rPr>
        <w:rFonts w:ascii="Symbol" w:hAnsi="Symbol" w:hint="default"/>
        <w:sz w:val="20"/>
      </w:rPr>
    </w:lvl>
    <w:lvl w:ilvl="1" w:tplc="36F4A50E" w:tentative="1">
      <w:start w:val="1"/>
      <w:numFmt w:val="bullet"/>
      <w:lvlText w:val=""/>
      <w:lvlJc w:val="left"/>
      <w:pPr>
        <w:tabs>
          <w:tab w:val="num" w:pos="1440"/>
        </w:tabs>
        <w:ind w:left="1440" w:hanging="360"/>
      </w:pPr>
      <w:rPr>
        <w:rFonts w:ascii="Symbol" w:hAnsi="Symbol" w:hint="default"/>
        <w:sz w:val="20"/>
      </w:rPr>
    </w:lvl>
    <w:lvl w:ilvl="2" w:tplc="8DB249DA" w:tentative="1">
      <w:start w:val="1"/>
      <w:numFmt w:val="bullet"/>
      <w:lvlText w:val=""/>
      <w:lvlJc w:val="left"/>
      <w:pPr>
        <w:tabs>
          <w:tab w:val="num" w:pos="2160"/>
        </w:tabs>
        <w:ind w:left="2160" w:hanging="360"/>
      </w:pPr>
      <w:rPr>
        <w:rFonts w:ascii="Symbol" w:hAnsi="Symbol" w:hint="default"/>
        <w:sz w:val="20"/>
      </w:rPr>
    </w:lvl>
    <w:lvl w:ilvl="3" w:tplc="C4629E06" w:tentative="1">
      <w:start w:val="1"/>
      <w:numFmt w:val="bullet"/>
      <w:lvlText w:val=""/>
      <w:lvlJc w:val="left"/>
      <w:pPr>
        <w:tabs>
          <w:tab w:val="num" w:pos="2880"/>
        </w:tabs>
        <w:ind w:left="2880" w:hanging="360"/>
      </w:pPr>
      <w:rPr>
        <w:rFonts w:ascii="Symbol" w:hAnsi="Symbol" w:hint="default"/>
        <w:sz w:val="20"/>
      </w:rPr>
    </w:lvl>
    <w:lvl w:ilvl="4" w:tplc="F3663A08" w:tentative="1">
      <w:start w:val="1"/>
      <w:numFmt w:val="bullet"/>
      <w:lvlText w:val=""/>
      <w:lvlJc w:val="left"/>
      <w:pPr>
        <w:tabs>
          <w:tab w:val="num" w:pos="3600"/>
        </w:tabs>
        <w:ind w:left="3600" w:hanging="360"/>
      </w:pPr>
      <w:rPr>
        <w:rFonts w:ascii="Symbol" w:hAnsi="Symbol" w:hint="default"/>
        <w:sz w:val="20"/>
      </w:rPr>
    </w:lvl>
    <w:lvl w:ilvl="5" w:tplc="CD165588" w:tentative="1">
      <w:start w:val="1"/>
      <w:numFmt w:val="bullet"/>
      <w:lvlText w:val=""/>
      <w:lvlJc w:val="left"/>
      <w:pPr>
        <w:tabs>
          <w:tab w:val="num" w:pos="4320"/>
        </w:tabs>
        <w:ind w:left="4320" w:hanging="360"/>
      </w:pPr>
      <w:rPr>
        <w:rFonts w:ascii="Symbol" w:hAnsi="Symbol" w:hint="default"/>
        <w:sz w:val="20"/>
      </w:rPr>
    </w:lvl>
    <w:lvl w:ilvl="6" w:tplc="B3B24C50" w:tentative="1">
      <w:start w:val="1"/>
      <w:numFmt w:val="bullet"/>
      <w:lvlText w:val=""/>
      <w:lvlJc w:val="left"/>
      <w:pPr>
        <w:tabs>
          <w:tab w:val="num" w:pos="5040"/>
        </w:tabs>
        <w:ind w:left="5040" w:hanging="360"/>
      </w:pPr>
      <w:rPr>
        <w:rFonts w:ascii="Symbol" w:hAnsi="Symbol" w:hint="default"/>
        <w:sz w:val="20"/>
      </w:rPr>
    </w:lvl>
    <w:lvl w:ilvl="7" w:tplc="F5EE7426" w:tentative="1">
      <w:start w:val="1"/>
      <w:numFmt w:val="bullet"/>
      <w:lvlText w:val=""/>
      <w:lvlJc w:val="left"/>
      <w:pPr>
        <w:tabs>
          <w:tab w:val="num" w:pos="5760"/>
        </w:tabs>
        <w:ind w:left="5760" w:hanging="360"/>
      </w:pPr>
      <w:rPr>
        <w:rFonts w:ascii="Symbol" w:hAnsi="Symbol" w:hint="default"/>
        <w:sz w:val="20"/>
      </w:rPr>
    </w:lvl>
    <w:lvl w:ilvl="8" w:tplc="52FC0034"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52566B"/>
    <w:multiLevelType w:val="hybridMultilevel"/>
    <w:tmpl w:val="42729956"/>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4AD806E8"/>
    <w:multiLevelType w:val="hybridMultilevel"/>
    <w:tmpl w:val="25965A24"/>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54173090"/>
    <w:multiLevelType w:val="hybridMultilevel"/>
    <w:tmpl w:val="5F44340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986220F"/>
    <w:multiLevelType w:val="hybridMultilevel"/>
    <w:tmpl w:val="97A4F484"/>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B534123"/>
    <w:multiLevelType w:val="hybridMultilevel"/>
    <w:tmpl w:val="55F07458"/>
    <w:lvl w:ilvl="0" w:tplc="FB686F5C">
      <w:start w:val="1"/>
      <w:numFmt w:val="bullet"/>
      <w:lvlText w:val=""/>
      <w:lvlJc w:val="left"/>
      <w:pPr>
        <w:ind w:left="360" w:hanging="360"/>
      </w:pPr>
      <w:rPr>
        <w:rFonts w:ascii="Wingdings" w:hAnsi="Wingdings" w:hint="default"/>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5F406687"/>
    <w:multiLevelType w:val="hybridMultilevel"/>
    <w:tmpl w:val="0AF471C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2" w15:restartNumberingAfterBreak="0">
    <w:nsid w:val="68240085"/>
    <w:multiLevelType w:val="hybridMultilevel"/>
    <w:tmpl w:val="BD72379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Aria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98F5198"/>
    <w:multiLevelType w:val="hybridMultilevel"/>
    <w:tmpl w:val="29D405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9E671B8"/>
    <w:multiLevelType w:val="hybridMultilevel"/>
    <w:tmpl w:val="CF96230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FBE2272"/>
    <w:multiLevelType w:val="hybridMultilevel"/>
    <w:tmpl w:val="F940B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71CB4866"/>
    <w:multiLevelType w:val="hybridMultilevel"/>
    <w:tmpl w:val="F65E393A"/>
    <w:lvl w:ilvl="0" w:tplc="08090011">
      <w:start w:val="1"/>
      <w:numFmt w:val="decimal"/>
      <w:lvlText w:val="%1)"/>
      <w:lvlJc w:val="left"/>
      <w:pPr>
        <w:ind w:left="360" w:hanging="360"/>
      </w:pPr>
      <w:rPr>
        <w:rFonts w:hint="default"/>
      </w:rPr>
    </w:lvl>
    <w:lvl w:ilvl="1" w:tplc="08090003">
      <w:start w:val="1"/>
      <w:numFmt w:val="bullet"/>
      <w:lvlText w:val="o"/>
      <w:lvlJc w:val="left"/>
      <w:pPr>
        <w:ind w:left="1080" w:hanging="360"/>
      </w:pPr>
      <w:rPr>
        <w:rFonts w:ascii="Courier New" w:hAnsi="Courier New" w:cs="Arial"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Arial"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Arial"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73416519"/>
    <w:multiLevelType w:val="hybridMultilevel"/>
    <w:tmpl w:val="2E10A4EE"/>
    <w:lvl w:ilvl="0" w:tplc="92F67760">
      <w:start w:val="1"/>
      <w:numFmt w:val="decimal"/>
      <w:suff w:val="space"/>
      <w:lvlText w:val="(%1)"/>
      <w:lvlJc w:val="left"/>
      <w:pPr>
        <w:ind w:left="0" w:firstLine="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4B0658D"/>
    <w:multiLevelType w:val="hybridMultilevel"/>
    <w:tmpl w:val="3AA2D798"/>
    <w:lvl w:ilvl="0" w:tplc="08090001">
      <w:start w:val="1"/>
      <w:numFmt w:val="bullet"/>
      <w:lvlText w:val=""/>
      <w:lvlJc w:val="left"/>
      <w:pPr>
        <w:ind w:left="1077"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9" w15:restartNumberingAfterBreak="0">
    <w:nsid w:val="75A332B0"/>
    <w:multiLevelType w:val="multilevel"/>
    <w:tmpl w:val="0EFE6188"/>
    <w:lvl w:ilvl="0">
      <w:start w:val="2"/>
      <w:numFmt w:val="decimal"/>
      <w:lvlText w:val="%1."/>
      <w:lvlJc w:val="left"/>
      <w:pPr>
        <w:ind w:left="360" w:hanging="360"/>
      </w:pPr>
      <w:rPr>
        <w:rFonts w:hint="default"/>
        <w:b/>
        <w:bCs/>
        <w:sz w:val="28"/>
        <w:szCs w:val="28"/>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0" w15:restartNumberingAfterBreak="0">
    <w:nsid w:val="78371BCB"/>
    <w:multiLevelType w:val="hybridMultilevel"/>
    <w:tmpl w:val="F46A4C40"/>
    <w:lvl w:ilvl="0" w:tplc="4A864C6A">
      <w:start w:val="1"/>
      <w:numFmt w:val="decimal"/>
      <w:suff w:val="space"/>
      <w:lvlText w:val="%1)"/>
      <w:lvlJc w:val="left"/>
      <w:pPr>
        <w:ind w:left="0" w:firstLine="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F68120B"/>
    <w:multiLevelType w:val="hybridMultilevel"/>
    <w:tmpl w:val="B63C99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81166038">
    <w:abstractNumId w:val="4"/>
  </w:num>
  <w:num w:numId="2" w16cid:durableId="1628702381">
    <w:abstractNumId w:val="8"/>
  </w:num>
  <w:num w:numId="3" w16cid:durableId="179242935">
    <w:abstractNumId w:val="23"/>
  </w:num>
  <w:num w:numId="4" w16cid:durableId="1436705295">
    <w:abstractNumId w:val="25"/>
  </w:num>
  <w:num w:numId="5" w16cid:durableId="741218010">
    <w:abstractNumId w:val="29"/>
  </w:num>
  <w:num w:numId="6" w16cid:durableId="1720663245">
    <w:abstractNumId w:val="7"/>
  </w:num>
  <w:num w:numId="7" w16cid:durableId="169491091">
    <w:abstractNumId w:val="30"/>
  </w:num>
  <w:num w:numId="8" w16cid:durableId="1565794428">
    <w:abstractNumId w:val="5"/>
  </w:num>
  <w:num w:numId="9" w16cid:durableId="163980846">
    <w:abstractNumId w:val="9"/>
  </w:num>
  <w:num w:numId="10" w16cid:durableId="852230446">
    <w:abstractNumId w:val="17"/>
  </w:num>
  <w:num w:numId="11" w16cid:durableId="1611087135">
    <w:abstractNumId w:val="22"/>
  </w:num>
  <w:num w:numId="12" w16cid:durableId="1286235029">
    <w:abstractNumId w:val="12"/>
  </w:num>
  <w:num w:numId="13" w16cid:durableId="1512989030">
    <w:abstractNumId w:val="1"/>
  </w:num>
  <w:num w:numId="14" w16cid:durableId="881598185">
    <w:abstractNumId w:val="13"/>
  </w:num>
  <w:num w:numId="15" w16cid:durableId="604852841">
    <w:abstractNumId w:val="15"/>
  </w:num>
  <w:num w:numId="16" w16cid:durableId="1981499299">
    <w:abstractNumId w:val="27"/>
  </w:num>
  <w:num w:numId="17" w16cid:durableId="1684210171">
    <w:abstractNumId w:val="19"/>
  </w:num>
  <w:num w:numId="18" w16cid:durableId="2017726842">
    <w:abstractNumId w:val="18"/>
  </w:num>
  <w:num w:numId="19" w16cid:durableId="642931275">
    <w:abstractNumId w:val="31"/>
  </w:num>
  <w:num w:numId="20" w16cid:durableId="754130948">
    <w:abstractNumId w:val="11"/>
  </w:num>
  <w:num w:numId="21" w16cid:durableId="13924510">
    <w:abstractNumId w:val="28"/>
  </w:num>
  <w:num w:numId="22" w16cid:durableId="1089035422">
    <w:abstractNumId w:val="16"/>
  </w:num>
  <w:num w:numId="23" w16cid:durableId="1096049253">
    <w:abstractNumId w:val="20"/>
  </w:num>
  <w:num w:numId="24" w16cid:durableId="129641957">
    <w:abstractNumId w:val="6"/>
  </w:num>
  <w:num w:numId="25" w16cid:durableId="2063555632">
    <w:abstractNumId w:val="21"/>
  </w:num>
  <w:num w:numId="26" w16cid:durableId="1840582074">
    <w:abstractNumId w:val="10"/>
  </w:num>
  <w:num w:numId="27" w16cid:durableId="124004135">
    <w:abstractNumId w:val="3"/>
  </w:num>
  <w:num w:numId="28" w16cid:durableId="1162085639">
    <w:abstractNumId w:val="26"/>
  </w:num>
  <w:num w:numId="29" w16cid:durableId="666447971">
    <w:abstractNumId w:val="14"/>
  </w:num>
  <w:num w:numId="30" w16cid:durableId="754788808">
    <w:abstractNumId w:val="2"/>
  </w:num>
  <w:num w:numId="31" w16cid:durableId="1172331588">
    <w:abstractNumId w:val="24"/>
  </w:num>
  <w:num w:numId="32" w16cid:durableId="552666964">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D99"/>
    <w:rsid w:val="000157C8"/>
    <w:rsid w:val="00023692"/>
    <w:rsid w:val="00024CE4"/>
    <w:rsid w:val="00037924"/>
    <w:rsid w:val="000412E7"/>
    <w:rsid w:val="00045DF2"/>
    <w:rsid w:val="0004604C"/>
    <w:rsid w:val="00060310"/>
    <w:rsid w:val="00061EC8"/>
    <w:rsid w:val="000650C9"/>
    <w:rsid w:val="00080262"/>
    <w:rsid w:val="000847DC"/>
    <w:rsid w:val="0008678D"/>
    <w:rsid w:val="00094462"/>
    <w:rsid w:val="0009637C"/>
    <w:rsid w:val="000A467B"/>
    <w:rsid w:val="000A7AC6"/>
    <w:rsid w:val="000B0EB6"/>
    <w:rsid w:val="000B1E0D"/>
    <w:rsid w:val="000B5A12"/>
    <w:rsid w:val="000B5F20"/>
    <w:rsid w:val="000B787A"/>
    <w:rsid w:val="000D0FA1"/>
    <w:rsid w:val="000D21D2"/>
    <w:rsid w:val="000D2494"/>
    <w:rsid w:val="000E192F"/>
    <w:rsid w:val="000E366B"/>
    <w:rsid w:val="000E51DA"/>
    <w:rsid w:val="000F431F"/>
    <w:rsid w:val="001001D8"/>
    <w:rsid w:val="00106594"/>
    <w:rsid w:val="001067E9"/>
    <w:rsid w:val="00122DAA"/>
    <w:rsid w:val="00124CCB"/>
    <w:rsid w:val="00126CFE"/>
    <w:rsid w:val="00136955"/>
    <w:rsid w:val="00144153"/>
    <w:rsid w:val="00146F8D"/>
    <w:rsid w:val="00150BC1"/>
    <w:rsid w:val="0015167A"/>
    <w:rsid w:val="00151ADF"/>
    <w:rsid w:val="00155607"/>
    <w:rsid w:val="00156AC9"/>
    <w:rsid w:val="001618B6"/>
    <w:rsid w:val="00163655"/>
    <w:rsid w:val="00164BD7"/>
    <w:rsid w:val="00167D14"/>
    <w:rsid w:val="00170269"/>
    <w:rsid w:val="001772B1"/>
    <w:rsid w:val="00177ED8"/>
    <w:rsid w:val="00183760"/>
    <w:rsid w:val="00186571"/>
    <w:rsid w:val="0018683A"/>
    <w:rsid w:val="001B2FBC"/>
    <w:rsid w:val="001B3F6C"/>
    <w:rsid w:val="001B5B00"/>
    <w:rsid w:val="001B5B88"/>
    <w:rsid w:val="001D22FD"/>
    <w:rsid w:val="001D239F"/>
    <w:rsid w:val="001D5258"/>
    <w:rsid w:val="001E1A18"/>
    <w:rsid w:val="002034A0"/>
    <w:rsid w:val="00206FCB"/>
    <w:rsid w:val="00207DC5"/>
    <w:rsid w:val="00217F33"/>
    <w:rsid w:val="002200C6"/>
    <w:rsid w:val="00220CB2"/>
    <w:rsid w:val="00222650"/>
    <w:rsid w:val="002251D3"/>
    <w:rsid w:val="00225CB1"/>
    <w:rsid w:val="00235553"/>
    <w:rsid w:val="00236592"/>
    <w:rsid w:val="00244323"/>
    <w:rsid w:val="002469EC"/>
    <w:rsid w:val="002513AE"/>
    <w:rsid w:val="002528A9"/>
    <w:rsid w:val="00254B89"/>
    <w:rsid w:val="002574E3"/>
    <w:rsid w:val="002614A9"/>
    <w:rsid w:val="00261C62"/>
    <w:rsid w:val="002620B5"/>
    <w:rsid w:val="002718E3"/>
    <w:rsid w:val="00271DBF"/>
    <w:rsid w:val="002760A2"/>
    <w:rsid w:val="00292092"/>
    <w:rsid w:val="00292B26"/>
    <w:rsid w:val="002A1986"/>
    <w:rsid w:val="002A2739"/>
    <w:rsid w:val="002B22F9"/>
    <w:rsid w:val="002C276F"/>
    <w:rsid w:val="002D5FE8"/>
    <w:rsid w:val="002E5098"/>
    <w:rsid w:val="002E738B"/>
    <w:rsid w:val="002F5035"/>
    <w:rsid w:val="003020D4"/>
    <w:rsid w:val="00304F02"/>
    <w:rsid w:val="00306ECD"/>
    <w:rsid w:val="00317E77"/>
    <w:rsid w:val="00320F25"/>
    <w:rsid w:val="003265E5"/>
    <w:rsid w:val="003268FE"/>
    <w:rsid w:val="00332E80"/>
    <w:rsid w:val="00336F2F"/>
    <w:rsid w:val="00340180"/>
    <w:rsid w:val="00347E26"/>
    <w:rsid w:val="00350BF2"/>
    <w:rsid w:val="00381078"/>
    <w:rsid w:val="00384371"/>
    <w:rsid w:val="003A29BD"/>
    <w:rsid w:val="003A5768"/>
    <w:rsid w:val="003B44BA"/>
    <w:rsid w:val="003C1EAF"/>
    <w:rsid w:val="00443533"/>
    <w:rsid w:val="004469F0"/>
    <w:rsid w:val="00450CA3"/>
    <w:rsid w:val="004576E0"/>
    <w:rsid w:val="00457A76"/>
    <w:rsid w:val="004663D0"/>
    <w:rsid w:val="00472839"/>
    <w:rsid w:val="004832AA"/>
    <w:rsid w:val="004A6598"/>
    <w:rsid w:val="004B6D68"/>
    <w:rsid w:val="004C486E"/>
    <w:rsid w:val="004C7BA9"/>
    <w:rsid w:val="004F034A"/>
    <w:rsid w:val="00500AD5"/>
    <w:rsid w:val="005058ED"/>
    <w:rsid w:val="005210C2"/>
    <w:rsid w:val="00523E38"/>
    <w:rsid w:val="00524CC3"/>
    <w:rsid w:val="00533545"/>
    <w:rsid w:val="005358E6"/>
    <w:rsid w:val="00544EA6"/>
    <w:rsid w:val="005501DE"/>
    <w:rsid w:val="00554186"/>
    <w:rsid w:val="005636E9"/>
    <w:rsid w:val="00566221"/>
    <w:rsid w:val="005714D0"/>
    <w:rsid w:val="00571C38"/>
    <w:rsid w:val="00575FFF"/>
    <w:rsid w:val="00576713"/>
    <w:rsid w:val="00582160"/>
    <w:rsid w:val="005B399E"/>
    <w:rsid w:val="005B4C93"/>
    <w:rsid w:val="005C18FD"/>
    <w:rsid w:val="005C1CBF"/>
    <w:rsid w:val="005C2E6F"/>
    <w:rsid w:val="005C349C"/>
    <w:rsid w:val="005C685F"/>
    <w:rsid w:val="005C72A5"/>
    <w:rsid w:val="005C7BE3"/>
    <w:rsid w:val="005D34E5"/>
    <w:rsid w:val="005D4D36"/>
    <w:rsid w:val="005D6410"/>
    <w:rsid w:val="005D74D0"/>
    <w:rsid w:val="005E5AEF"/>
    <w:rsid w:val="005F12C2"/>
    <w:rsid w:val="005F7DBE"/>
    <w:rsid w:val="00605147"/>
    <w:rsid w:val="0061100D"/>
    <w:rsid w:val="00611BE8"/>
    <w:rsid w:val="00611CBC"/>
    <w:rsid w:val="006224EC"/>
    <w:rsid w:val="00625ED1"/>
    <w:rsid w:val="00627116"/>
    <w:rsid w:val="00630854"/>
    <w:rsid w:val="006417DC"/>
    <w:rsid w:val="00641DAE"/>
    <w:rsid w:val="006432DA"/>
    <w:rsid w:val="0065202D"/>
    <w:rsid w:val="00653CE5"/>
    <w:rsid w:val="00657E40"/>
    <w:rsid w:val="00670B4F"/>
    <w:rsid w:val="00671FB4"/>
    <w:rsid w:val="0067311A"/>
    <w:rsid w:val="00695FF9"/>
    <w:rsid w:val="006A18F9"/>
    <w:rsid w:val="006A57D3"/>
    <w:rsid w:val="006B1AF7"/>
    <w:rsid w:val="006B1E12"/>
    <w:rsid w:val="006B2727"/>
    <w:rsid w:val="006B6F26"/>
    <w:rsid w:val="006B715F"/>
    <w:rsid w:val="006C48D2"/>
    <w:rsid w:val="006D1D7B"/>
    <w:rsid w:val="006D30AC"/>
    <w:rsid w:val="006E0B58"/>
    <w:rsid w:val="006E30D4"/>
    <w:rsid w:val="006E65C8"/>
    <w:rsid w:val="006F45A7"/>
    <w:rsid w:val="006F5703"/>
    <w:rsid w:val="007011AC"/>
    <w:rsid w:val="00723288"/>
    <w:rsid w:val="00724382"/>
    <w:rsid w:val="00732DB2"/>
    <w:rsid w:val="00733F17"/>
    <w:rsid w:val="007356B8"/>
    <w:rsid w:val="00751B15"/>
    <w:rsid w:val="00751CBC"/>
    <w:rsid w:val="0075208E"/>
    <w:rsid w:val="007544F0"/>
    <w:rsid w:val="007636C8"/>
    <w:rsid w:val="00766CC2"/>
    <w:rsid w:val="0077599F"/>
    <w:rsid w:val="00777A69"/>
    <w:rsid w:val="007867DD"/>
    <w:rsid w:val="00795E82"/>
    <w:rsid w:val="007A1453"/>
    <w:rsid w:val="007A7136"/>
    <w:rsid w:val="007B3480"/>
    <w:rsid w:val="007C05F8"/>
    <w:rsid w:val="007C384B"/>
    <w:rsid w:val="007C40A5"/>
    <w:rsid w:val="007D5F06"/>
    <w:rsid w:val="00800A74"/>
    <w:rsid w:val="008026AE"/>
    <w:rsid w:val="008048D9"/>
    <w:rsid w:val="0081142C"/>
    <w:rsid w:val="00816ADE"/>
    <w:rsid w:val="0083495F"/>
    <w:rsid w:val="00841D12"/>
    <w:rsid w:val="00841D14"/>
    <w:rsid w:val="00842ED4"/>
    <w:rsid w:val="00844460"/>
    <w:rsid w:val="008532F1"/>
    <w:rsid w:val="008672A4"/>
    <w:rsid w:val="008773FA"/>
    <w:rsid w:val="0088171A"/>
    <w:rsid w:val="008842B9"/>
    <w:rsid w:val="00885541"/>
    <w:rsid w:val="008A4E69"/>
    <w:rsid w:val="008D1984"/>
    <w:rsid w:val="008D1A11"/>
    <w:rsid w:val="008D1D5C"/>
    <w:rsid w:val="008D247B"/>
    <w:rsid w:val="008D4A8E"/>
    <w:rsid w:val="008D6303"/>
    <w:rsid w:val="008D6D47"/>
    <w:rsid w:val="008E0CFD"/>
    <w:rsid w:val="008E0D88"/>
    <w:rsid w:val="008E4478"/>
    <w:rsid w:val="008F4DAB"/>
    <w:rsid w:val="009005A6"/>
    <w:rsid w:val="009037BD"/>
    <w:rsid w:val="0090747B"/>
    <w:rsid w:val="00907503"/>
    <w:rsid w:val="009137BC"/>
    <w:rsid w:val="00914269"/>
    <w:rsid w:val="00916FB1"/>
    <w:rsid w:val="00950C07"/>
    <w:rsid w:val="0095680A"/>
    <w:rsid w:val="00962489"/>
    <w:rsid w:val="009713C7"/>
    <w:rsid w:val="00986D7B"/>
    <w:rsid w:val="00992FCE"/>
    <w:rsid w:val="00994ED8"/>
    <w:rsid w:val="009B0C34"/>
    <w:rsid w:val="009C176E"/>
    <w:rsid w:val="009C3636"/>
    <w:rsid w:val="009D0611"/>
    <w:rsid w:val="009E0C97"/>
    <w:rsid w:val="009E5647"/>
    <w:rsid w:val="00A0012A"/>
    <w:rsid w:val="00A013BA"/>
    <w:rsid w:val="00A0305D"/>
    <w:rsid w:val="00A26234"/>
    <w:rsid w:val="00A32B1C"/>
    <w:rsid w:val="00A47758"/>
    <w:rsid w:val="00A51841"/>
    <w:rsid w:val="00A60C9D"/>
    <w:rsid w:val="00A720F8"/>
    <w:rsid w:val="00A7692A"/>
    <w:rsid w:val="00A77013"/>
    <w:rsid w:val="00A91AF8"/>
    <w:rsid w:val="00AA17B7"/>
    <w:rsid w:val="00AA1B8B"/>
    <w:rsid w:val="00AB107B"/>
    <w:rsid w:val="00AC3CDD"/>
    <w:rsid w:val="00AE2B44"/>
    <w:rsid w:val="00AE3010"/>
    <w:rsid w:val="00AE560A"/>
    <w:rsid w:val="00AE6DBE"/>
    <w:rsid w:val="00AF0F96"/>
    <w:rsid w:val="00B00547"/>
    <w:rsid w:val="00B05456"/>
    <w:rsid w:val="00B056EE"/>
    <w:rsid w:val="00B15B34"/>
    <w:rsid w:val="00B1649A"/>
    <w:rsid w:val="00B21883"/>
    <w:rsid w:val="00B244B7"/>
    <w:rsid w:val="00B31500"/>
    <w:rsid w:val="00B325F4"/>
    <w:rsid w:val="00B36329"/>
    <w:rsid w:val="00B44AE2"/>
    <w:rsid w:val="00B55616"/>
    <w:rsid w:val="00B76527"/>
    <w:rsid w:val="00B815B0"/>
    <w:rsid w:val="00B869B7"/>
    <w:rsid w:val="00BA507E"/>
    <w:rsid w:val="00BA5740"/>
    <w:rsid w:val="00BA74E0"/>
    <w:rsid w:val="00BA7B6D"/>
    <w:rsid w:val="00BB64DB"/>
    <w:rsid w:val="00BB76DB"/>
    <w:rsid w:val="00BC07EC"/>
    <w:rsid w:val="00BD3E57"/>
    <w:rsid w:val="00BF59B8"/>
    <w:rsid w:val="00C02453"/>
    <w:rsid w:val="00C11703"/>
    <w:rsid w:val="00C14CE2"/>
    <w:rsid w:val="00C15B63"/>
    <w:rsid w:val="00C25ADC"/>
    <w:rsid w:val="00C307A8"/>
    <w:rsid w:val="00C31E62"/>
    <w:rsid w:val="00C3666E"/>
    <w:rsid w:val="00C401CA"/>
    <w:rsid w:val="00C40819"/>
    <w:rsid w:val="00C54BB1"/>
    <w:rsid w:val="00C558CC"/>
    <w:rsid w:val="00C5661E"/>
    <w:rsid w:val="00C63735"/>
    <w:rsid w:val="00C7447F"/>
    <w:rsid w:val="00C80846"/>
    <w:rsid w:val="00C81B19"/>
    <w:rsid w:val="00C81E8E"/>
    <w:rsid w:val="00C8287E"/>
    <w:rsid w:val="00C93D64"/>
    <w:rsid w:val="00C93EA1"/>
    <w:rsid w:val="00C973DA"/>
    <w:rsid w:val="00CB4EBC"/>
    <w:rsid w:val="00CB6080"/>
    <w:rsid w:val="00CB7712"/>
    <w:rsid w:val="00CC3D7B"/>
    <w:rsid w:val="00CD04E4"/>
    <w:rsid w:val="00CD2DAA"/>
    <w:rsid w:val="00CD7E72"/>
    <w:rsid w:val="00CE5ADF"/>
    <w:rsid w:val="00CE6067"/>
    <w:rsid w:val="00CF5149"/>
    <w:rsid w:val="00D025CC"/>
    <w:rsid w:val="00D136BD"/>
    <w:rsid w:val="00D13AFF"/>
    <w:rsid w:val="00D17A04"/>
    <w:rsid w:val="00D34B46"/>
    <w:rsid w:val="00D455B0"/>
    <w:rsid w:val="00D47F9D"/>
    <w:rsid w:val="00D56668"/>
    <w:rsid w:val="00D63C77"/>
    <w:rsid w:val="00D67617"/>
    <w:rsid w:val="00D70BEB"/>
    <w:rsid w:val="00D71CD4"/>
    <w:rsid w:val="00D75B37"/>
    <w:rsid w:val="00D84B69"/>
    <w:rsid w:val="00DA03F5"/>
    <w:rsid w:val="00DA55A2"/>
    <w:rsid w:val="00DD41E5"/>
    <w:rsid w:val="00DF259A"/>
    <w:rsid w:val="00E04EA1"/>
    <w:rsid w:val="00E129CC"/>
    <w:rsid w:val="00E27C9E"/>
    <w:rsid w:val="00E27E74"/>
    <w:rsid w:val="00E32D09"/>
    <w:rsid w:val="00E360D2"/>
    <w:rsid w:val="00E40AF7"/>
    <w:rsid w:val="00E423B0"/>
    <w:rsid w:val="00E45042"/>
    <w:rsid w:val="00E4659D"/>
    <w:rsid w:val="00E523F1"/>
    <w:rsid w:val="00E714F5"/>
    <w:rsid w:val="00E75324"/>
    <w:rsid w:val="00E85E65"/>
    <w:rsid w:val="00E93B1E"/>
    <w:rsid w:val="00E960AC"/>
    <w:rsid w:val="00EA446F"/>
    <w:rsid w:val="00EB2455"/>
    <w:rsid w:val="00EC1011"/>
    <w:rsid w:val="00ED14B8"/>
    <w:rsid w:val="00EE2D31"/>
    <w:rsid w:val="00EE766C"/>
    <w:rsid w:val="00EF3C83"/>
    <w:rsid w:val="00F07947"/>
    <w:rsid w:val="00F13A18"/>
    <w:rsid w:val="00F17467"/>
    <w:rsid w:val="00F174C6"/>
    <w:rsid w:val="00F23F84"/>
    <w:rsid w:val="00F27434"/>
    <w:rsid w:val="00F37BBE"/>
    <w:rsid w:val="00F538DA"/>
    <w:rsid w:val="00F5524E"/>
    <w:rsid w:val="00F60CBE"/>
    <w:rsid w:val="00F67C3D"/>
    <w:rsid w:val="00F70D46"/>
    <w:rsid w:val="00F70E24"/>
    <w:rsid w:val="00F72CB8"/>
    <w:rsid w:val="00F76033"/>
    <w:rsid w:val="00F77345"/>
    <w:rsid w:val="00F82196"/>
    <w:rsid w:val="00F82459"/>
    <w:rsid w:val="00F8507A"/>
    <w:rsid w:val="00F85164"/>
    <w:rsid w:val="00F9320D"/>
    <w:rsid w:val="00F94ECD"/>
    <w:rsid w:val="00F97CBE"/>
    <w:rsid w:val="00FA26DA"/>
    <w:rsid w:val="00FB4D5A"/>
    <w:rsid w:val="00FB76C1"/>
    <w:rsid w:val="00FC014E"/>
    <w:rsid w:val="00FC2CF2"/>
    <w:rsid w:val="00FC63E4"/>
    <w:rsid w:val="00FD00E3"/>
    <w:rsid w:val="00FE5683"/>
    <w:rsid w:val="00FE58B0"/>
    <w:rsid w:val="00FF19AB"/>
    <w:rsid w:val="00FF2DBF"/>
    <w:rsid w:val="00FF32B9"/>
    <w:rsid w:val="04A85285"/>
    <w:rsid w:val="07F33EA2"/>
    <w:rsid w:val="0CB9C828"/>
    <w:rsid w:val="0FB27AB4"/>
    <w:rsid w:val="12EFAF3C"/>
    <w:rsid w:val="1A725C6C"/>
    <w:rsid w:val="1C16F179"/>
    <w:rsid w:val="2872CA33"/>
    <w:rsid w:val="29C30C4D"/>
    <w:rsid w:val="3C6A3F48"/>
    <w:rsid w:val="3E678A57"/>
    <w:rsid w:val="4CFAF237"/>
    <w:rsid w:val="515ABDB6"/>
    <w:rsid w:val="53042AC8"/>
    <w:rsid w:val="5F61FB7D"/>
    <w:rsid w:val="63F67330"/>
    <w:rsid w:val="69F57826"/>
    <w:rsid w:val="6C9B0034"/>
    <w:rsid w:val="6DE15883"/>
    <w:rsid w:val="6EDB20C5"/>
    <w:rsid w:val="745E782D"/>
    <w:rsid w:val="7728179B"/>
    <w:rsid w:val="798185A9"/>
    <w:rsid w:val="7EAE42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paragraph" w:customStyle="1" w:styleId="list-item2">
    <w:name w:val="list-item2"/>
    <w:basedOn w:val="Normal"/>
    <w:rsid w:val="00FF19A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521550644">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355418072">
      <w:bodyDiv w:val="1"/>
      <w:marLeft w:val="0"/>
      <w:marRight w:val="0"/>
      <w:marTop w:val="0"/>
      <w:marBottom w:val="0"/>
      <w:divBdr>
        <w:top w:val="none" w:sz="0" w:space="0" w:color="auto"/>
        <w:left w:val="none" w:sz="0" w:space="0" w:color="auto"/>
        <w:bottom w:val="none" w:sz="0" w:space="0" w:color="auto"/>
        <w:right w:val="none" w:sz="0" w:space="0" w:color="auto"/>
      </w:divBdr>
    </w:div>
    <w:div w:id="1411729116">
      <w:bodyDiv w:val="1"/>
      <w:marLeft w:val="0"/>
      <w:marRight w:val="0"/>
      <w:marTop w:val="0"/>
      <w:marBottom w:val="0"/>
      <w:divBdr>
        <w:top w:val="none" w:sz="0" w:space="0" w:color="auto"/>
        <w:left w:val="none" w:sz="0" w:space="0" w:color="auto"/>
        <w:bottom w:val="none" w:sz="0" w:space="0" w:color="auto"/>
        <w:right w:val="none" w:sz="0" w:space="0" w:color="auto"/>
      </w:divBdr>
    </w:div>
    <w:div w:id="1425564448">
      <w:bodyDiv w:val="1"/>
      <w:marLeft w:val="0"/>
      <w:marRight w:val="0"/>
      <w:marTop w:val="0"/>
      <w:marBottom w:val="0"/>
      <w:divBdr>
        <w:top w:val="none" w:sz="0" w:space="0" w:color="auto"/>
        <w:left w:val="none" w:sz="0" w:space="0" w:color="auto"/>
        <w:bottom w:val="none" w:sz="0" w:space="0" w:color="auto"/>
        <w:right w:val="none" w:sz="0" w:space="0" w:color="auto"/>
      </w:divBdr>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1770737254">
      <w:bodyDiv w:val="1"/>
      <w:marLeft w:val="0"/>
      <w:marRight w:val="0"/>
      <w:marTop w:val="0"/>
      <w:marBottom w:val="0"/>
      <w:divBdr>
        <w:top w:val="none" w:sz="0" w:space="0" w:color="auto"/>
        <w:left w:val="none" w:sz="0" w:space="0" w:color="auto"/>
        <w:bottom w:val="none" w:sz="0" w:space="0" w:color="auto"/>
        <w:right w:val="none" w:sz="0" w:space="0" w:color="auto"/>
      </w:divBdr>
      <w:divsChild>
        <w:div w:id="464978315">
          <w:marLeft w:val="0"/>
          <w:marRight w:val="0"/>
          <w:marTop w:val="0"/>
          <w:marBottom w:val="0"/>
          <w:divBdr>
            <w:top w:val="none" w:sz="0" w:space="0" w:color="auto"/>
            <w:left w:val="none" w:sz="0" w:space="0" w:color="auto"/>
            <w:bottom w:val="none" w:sz="0" w:space="0" w:color="auto"/>
            <w:right w:val="none" w:sz="0" w:space="0" w:color="auto"/>
          </w:divBdr>
        </w:div>
        <w:div w:id="494226460">
          <w:marLeft w:val="0"/>
          <w:marRight w:val="0"/>
          <w:marTop w:val="0"/>
          <w:marBottom w:val="0"/>
          <w:divBdr>
            <w:top w:val="none" w:sz="0" w:space="0" w:color="auto"/>
            <w:left w:val="none" w:sz="0" w:space="0" w:color="auto"/>
            <w:bottom w:val="none" w:sz="0" w:space="0" w:color="auto"/>
            <w:right w:val="none" w:sz="0" w:space="0" w:color="auto"/>
          </w:divBdr>
        </w:div>
      </w:divsChild>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F204F-D10D-4EB5-B7BF-61C7E41ED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3482</Words>
  <Characters>19853</Characters>
  <Application>Microsoft Office Word</Application>
  <DocSecurity>0</DocSecurity>
  <Lines>165</Lines>
  <Paragraphs>46</Paragraphs>
  <ScaleCrop>false</ScaleCrop>
  <Company/>
  <LinksUpToDate>false</LinksUpToDate>
  <CharactersWithSpaces>23289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2025-02-12T12:42:00Z</dcterms:created>
  <dcterms:modified xsi:type="dcterms:W3CDTF">2025-02-12T12:43:00Z</dcterms:modified>
</cp:coreProperties>
</file>