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1B01F" w14:textId="00A663EC" w:rsidR="00D56668" w:rsidRPr="00916FB1" w:rsidRDefault="00B91FFB" w:rsidP="00AE3010">
      <w:pPr>
        <w:spacing w:line="480" w:lineRule="auto"/>
        <w:jc w:val="both"/>
        <w:rPr>
          <w:rFonts w:ascii="Arial" w:hAnsi="Arial" w:cs="Arial"/>
        </w:rPr>
      </w:pPr>
      <w:r>
        <w:rPr>
          <w:noProof/>
        </w:rPr>
        <w:drawing>
          <wp:inline distT="0" distB="0" distL="0" distR="0" wp14:anchorId="0A5410AE" wp14:editId="5610A2AD">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493E9038" w14:textId="77777777" w:rsidR="00D56668" w:rsidRPr="00916FB1" w:rsidRDefault="00D56668" w:rsidP="00AE3010">
      <w:pPr>
        <w:spacing w:line="480" w:lineRule="auto"/>
        <w:jc w:val="both"/>
        <w:rPr>
          <w:rFonts w:ascii="Arial" w:hAnsi="Arial" w:cs="Arial"/>
        </w:rPr>
      </w:pPr>
    </w:p>
    <w:p w14:paraId="008759BE" w14:textId="77777777" w:rsidR="00B91FFB" w:rsidRPr="00345BB4" w:rsidRDefault="00B91FFB" w:rsidP="00B91FFB">
      <w:pPr>
        <w:spacing w:line="480" w:lineRule="auto"/>
        <w:jc w:val="center"/>
        <w:rPr>
          <w:rFonts w:ascii="Arial" w:hAnsi="Arial" w:cs="Arial"/>
          <w:bCs/>
          <w:sz w:val="52"/>
          <w:szCs w:val="52"/>
        </w:rPr>
      </w:pPr>
      <w:r w:rsidRPr="00345BB4">
        <w:rPr>
          <w:rFonts w:ascii="Arial" w:hAnsi="Arial" w:cs="Arial"/>
          <w:bCs/>
          <w:sz w:val="52"/>
          <w:szCs w:val="52"/>
        </w:rPr>
        <w:t xml:space="preserve">Lecture Handout </w:t>
      </w:r>
    </w:p>
    <w:p w14:paraId="638A8A30" w14:textId="3FA40478" w:rsidR="00B91FFB" w:rsidRDefault="00B91FFB" w:rsidP="00B91FFB">
      <w:pPr>
        <w:spacing w:line="480" w:lineRule="auto"/>
        <w:jc w:val="center"/>
        <w:rPr>
          <w:rFonts w:ascii="Arial" w:hAnsi="Arial" w:cs="Arial"/>
          <w:bCs/>
          <w:sz w:val="52"/>
          <w:szCs w:val="52"/>
        </w:rPr>
      </w:pPr>
      <w:r w:rsidRPr="00345BB4">
        <w:rPr>
          <w:rFonts w:ascii="Arial" w:hAnsi="Arial" w:cs="Arial"/>
          <w:bCs/>
          <w:sz w:val="52"/>
          <w:szCs w:val="52"/>
        </w:rPr>
        <w:t>Epiphany Term Week 1</w:t>
      </w:r>
      <w:r>
        <w:rPr>
          <w:rFonts w:ascii="Arial" w:hAnsi="Arial" w:cs="Arial"/>
          <w:bCs/>
          <w:sz w:val="52"/>
          <w:szCs w:val="52"/>
        </w:rPr>
        <w:t>8</w:t>
      </w:r>
    </w:p>
    <w:p w14:paraId="54E44E2C" w14:textId="24602703" w:rsidR="00B91FFB" w:rsidRPr="00881216" w:rsidRDefault="00B91FFB" w:rsidP="00B91FFB">
      <w:pPr>
        <w:spacing w:line="480" w:lineRule="auto"/>
        <w:jc w:val="center"/>
        <w:rPr>
          <w:rFonts w:ascii="Arial" w:hAnsi="Arial" w:cs="Arial"/>
          <w:b/>
          <w:sz w:val="52"/>
          <w:szCs w:val="52"/>
          <w:u w:val="single"/>
        </w:rPr>
      </w:pPr>
      <w:r w:rsidRPr="00881216">
        <w:rPr>
          <w:rFonts w:ascii="Arial" w:hAnsi="Arial" w:cs="Arial"/>
          <w:b/>
          <w:sz w:val="52"/>
          <w:szCs w:val="52"/>
          <w:u w:val="single"/>
        </w:rPr>
        <w:t>Knowing receipt</w:t>
      </w:r>
    </w:p>
    <w:p w14:paraId="5597C127" w14:textId="22F571E3" w:rsidR="00B91FFB" w:rsidRDefault="00B91FFB" w:rsidP="00B91FFB">
      <w:pPr>
        <w:spacing w:line="480" w:lineRule="auto"/>
        <w:jc w:val="center"/>
        <w:rPr>
          <w:rFonts w:ascii="Arial" w:hAnsi="Arial" w:cs="Arial"/>
          <w:sz w:val="52"/>
          <w:szCs w:val="52"/>
        </w:rPr>
      </w:pPr>
      <w:r>
        <w:rPr>
          <w:rFonts w:ascii="Arial" w:hAnsi="Arial" w:cs="Arial"/>
          <w:sz w:val="52"/>
          <w:szCs w:val="52"/>
        </w:rPr>
        <w:t>202</w:t>
      </w:r>
      <w:r w:rsidR="00881216">
        <w:rPr>
          <w:rFonts w:ascii="Arial" w:hAnsi="Arial" w:cs="Arial"/>
          <w:sz w:val="52"/>
          <w:szCs w:val="52"/>
        </w:rPr>
        <w:t>4</w:t>
      </w:r>
      <w:r>
        <w:rPr>
          <w:rFonts w:ascii="Arial" w:hAnsi="Arial" w:cs="Arial"/>
          <w:sz w:val="52"/>
          <w:szCs w:val="52"/>
        </w:rPr>
        <w:t>/2</w:t>
      </w:r>
      <w:r w:rsidR="00881216">
        <w:rPr>
          <w:rFonts w:ascii="Arial" w:hAnsi="Arial" w:cs="Arial"/>
          <w:sz w:val="52"/>
          <w:szCs w:val="52"/>
        </w:rPr>
        <w:t>5</w:t>
      </w:r>
    </w:p>
    <w:p w14:paraId="39D9E6D6" w14:textId="77777777" w:rsidR="00B91FFB" w:rsidRDefault="00B91FFB" w:rsidP="00B91FFB">
      <w:pPr>
        <w:spacing w:line="480" w:lineRule="auto"/>
        <w:jc w:val="center"/>
        <w:rPr>
          <w:rFonts w:ascii="Arial" w:hAnsi="Arial" w:cs="Arial"/>
          <w:sz w:val="52"/>
          <w:szCs w:val="52"/>
        </w:rPr>
      </w:pPr>
      <w:r w:rsidRPr="44FD698F">
        <w:rPr>
          <w:rFonts w:ascii="Arial" w:hAnsi="Arial" w:cs="Arial"/>
          <w:sz w:val="52"/>
          <w:szCs w:val="52"/>
        </w:rPr>
        <w:t>Dr Johanna Jacques</w:t>
      </w:r>
    </w:p>
    <w:p w14:paraId="35465ACB" w14:textId="1D5EEC21" w:rsidR="63F67330" w:rsidRPr="00D17AC3" w:rsidRDefault="63F67330" w:rsidP="00D17AC3">
      <w:pPr>
        <w:rPr>
          <w:rFonts w:ascii="Arial" w:hAnsi="Arial" w:cs="Arial"/>
          <w:sz w:val="52"/>
          <w:szCs w:val="52"/>
          <w:highlight w:val="yellow"/>
        </w:rPr>
      </w:pPr>
    </w:p>
    <w:p w14:paraId="7E12B9D8" w14:textId="4766A577" w:rsidR="63F67330" w:rsidRDefault="63F67330" w:rsidP="63F67330">
      <w:pPr>
        <w:spacing w:line="480" w:lineRule="auto"/>
        <w:jc w:val="center"/>
        <w:rPr>
          <w:rFonts w:ascii="Calibri" w:eastAsia="Calibri" w:hAnsi="Calibri" w:cs="Calibri"/>
          <w:highlight w:val="yellow"/>
        </w:rPr>
      </w:pPr>
    </w:p>
    <w:p w14:paraId="7CC233B5" w14:textId="4D621A35" w:rsidR="00177ED8" w:rsidRPr="00916FB1" w:rsidRDefault="00177ED8" w:rsidP="00AE3010">
      <w:pPr>
        <w:spacing w:line="480" w:lineRule="auto"/>
        <w:jc w:val="both"/>
        <w:rPr>
          <w:rFonts w:ascii="Arial" w:hAnsi="Arial" w:cs="Arial"/>
        </w:rPr>
      </w:pPr>
    </w:p>
    <w:p w14:paraId="0B2B6841" w14:textId="77777777" w:rsidR="00E714F5" w:rsidRPr="00916FB1" w:rsidRDefault="00E714F5" w:rsidP="00AE3010">
      <w:pPr>
        <w:spacing w:line="480" w:lineRule="auto"/>
        <w:jc w:val="both"/>
        <w:rPr>
          <w:rFonts w:ascii="Arial" w:hAnsi="Arial" w:cs="Arial"/>
          <w:b/>
        </w:rPr>
      </w:pPr>
      <w:r w:rsidRPr="00916FB1">
        <w:rPr>
          <w:rFonts w:ascii="Arial" w:hAnsi="Arial" w:cs="Arial"/>
          <w:b/>
        </w:rPr>
        <w:br w:type="page"/>
      </w:r>
    </w:p>
    <w:p w14:paraId="41469B6B" w14:textId="098695BF" w:rsidR="00177ED8" w:rsidRPr="00916FB1" w:rsidRDefault="00B056EE" w:rsidP="00AE3010">
      <w:pPr>
        <w:pStyle w:val="ListParagraph"/>
        <w:numPr>
          <w:ilvl w:val="0"/>
          <w:numId w:val="2"/>
        </w:numPr>
        <w:spacing w:line="480" w:lineRule="auto"/>
        <w:jc w:val="both"/>
        <w:rPr>
          <w:rFonts w:ascii="Arial" w:hAnsi="Arial" w:cs="Arial"/>
          <w:b/>
        </w:rPr>
      </w:pPr>
      <w:r w:rsidRPr="00916FB1">
        <w:rPr>
          <w:rFonts w:ascii="Arial" w:hAnsi="Arial" w:cs="Arial"/>
          <w:b/>
        </w:rPr>
        <w:lastRenderedPageBreak/>
        <w:t>Reading</w:t>
      </w:r>
    </w:p>
    <w:p w14:paraId="55CE2E4F" w14:textId="77777777" w:rsidR="00856E00" w:rsidRPr="00856E00" w:rsidRDefault="00856E00" w:rsidP="00856E00">
      <w:pPr>
        <w:spacing w:line="480" w:lineRule="auto"/>
        <w:jc w:val="both"/>
        <w:rPr>
          <w:rFonts w:ascii="Arial" w:hAnsi="Arial" w:cs="Arial"/>
          <w:u w:val="single"/>
        </w:rPr>
      </w:pPr>
      <w:bookmarkStart w:id="0" w:name="_Toc367975301"/>
      <w:bookmarkStart w:id="1" w:name="_Toc431462977"/>
      <w:r w:rsidRPr="00856E00">
        <w:rPr>
          <w:rFonts w:ascii="Arial" w:hAnsi="Arial" w:cs="Arial"/>
          <w:u w:val="single"/>
        </w:rPr>
        <w:t xml:space="preserve">I – Essential and further reading  </w:t>
      </w:r>
    </w:p>
    <w:p w14:paraId="06B28691" w14:textId="77777777" w:rsidR="00856E00" w:rsidRPr="00856E00" w:rsidRDefault="00856E00" w:rsidP="00856E00">
      <w:pPr>
        <w:spacing w:line="480" w:lineRule="auto"/>
        <w:jc w:val="both"/>
        <w:rPr>
          <w:rFonts w:ascii="Arial" w:hAnsi="Arial" w:cs="Arial"/>
        </w:rPr>
      </w:pPr>
      <w:r w:rsidRPr="00856E00">
        <w:rPr>
          <w:rFonts w:ascii="Arial" w:hAnsi="Arial" w:cs="Arial"/>
        </w:rPr>
        <w:t xml:space="preserve">For essential and further (‘seminar’) reading, please see the Reading List feature on Learn Ultra.  </w:t>
      </w:r>
    </w:p>
    <w:p w14:paraId="06B7FDC5" w14:textId="77777777" w:rsidR="00856E00" w:rsidRDefault="00856E00" w:rsidP="00856E00">
      <w:pPr>
        <w:spacing w:line="480" w:lineRule="auto"/>
        <w:jc w:val="both"/>
        <w:rPr>
          <w:rFonts w:ascii="Arial" w:hAnsi="Arial" w:cs="Arial"/>
        </w:rPr>
      </w:pPr>
    </w:p>
    <w:p w14:paraId="1B50C63C" w14:textId="77777777" w:rsidR="00856E00" w:rsidRPr="00856E00" w:rsidRDefault="00856E00" w:rsidP="00856E00">
      <w:pPr>
        <w:spacing w:line="480" w:lineRule="auto"/>
        <w:jc w:val="both"/>
        <w:rPr>
          <w:rFonts w:ascii="Arial" w:hAnsi="Arial" w:cs="Arial"/>
          <w:u w:val="single"/>
        </w:rPr>
      </w:pPr>
      <w:r w:rsidRPr="00856E00">
        <w:rPr>
          <w:rFonts w:ascii="Arial" w:hAnsi="Arial" w:cs="Arial"/>
          <w:u w:val="single"/>
        </w:rPr>
        <w:t xml:space="preserve">II – Cases  </w:t>
      </w:r>
    </w:p>
    <w:p w14:paraId="69D914C2" w14:textId="5B8F1621" w:rsidR="00DC5D7A" w:rsidRPr="00856E00" w:rsidRDefault="00DC5D7A" w:rsidP="00856E00">
      <w:pPr>
        <w:pStyle w:val="ListParagraph"/>
        <w:numPr>
          <w:ilvl w:val="0"/>
          <w:numId w:val="3"/>
        </w:numPr>
        <w:spacing w:line="480" w:lineRule="auto"/>
        <w:jc w:val="both"/>
        <w:rPr>
          <w:rFonts w:ascii="Arial" w:hAnsi="Arial" w:cs="Arial"/>
        </w:rPr>
      </w:pPr>
      <w:r w:rsidRPr="00856E00">
        <w:rPr>
          <w:rFonts w:ascii="Arial" w:hAnsi="Arial" w:cs="Arial"/>
          <w:i/>
        </w:rPr>
        <w:t>Agip (Africa) Ltd v Jackson</w:t>
      </w:r>
      <w:r w:rsidRPr="00856E00">
        <w:rPr>
          <w:rFonts w:ascii="Arial" w:hAnsi="Arial" w:cs="Arial"/>
        </w:rPr>
        <w:t xml:space="preserve"> [1990] Ch 265</w:t>
      </w:r>
    </w:p>
    <w:p w14:paraId="1BFA717B" w14:textId="130A57BB" w:rsidR="00674982" w:rsidRPr="00881216" w:rsidRDefault="5E7FEC77" w:rsidP="00F3525E">
      <w:pPr>
        <w:pStyle w:val="ListParagraph"/>
        <w:numPr>
          <w:ilvl w:val="0"/>
          <w:numId w:val="3"/>
        </w:numPr>
        <w:spacing w:line="480" w:lineRule="auto"/>
        <w:jc w:val="both"/>
        <w:rPr>
          <w:rFonts w:ascii="Arial" w:eastAsia="Calibri" w:hAnsi="Arial" w:cs="Arial"/>
          <w:lang w:bidi="en-US"/>
        </w:rPr>
      </w:pPr>
      <w:r w:rsidRPr="00881216">
        <w:rPr>
          <w:rFonts w:ascii="Arial" w:hAnsi="Arial" w:cs="Arial"/>
          <w:i/>
          <w:iCs/>
        </w:rPr>
        <w:t>Byers v Saudi National Bank</w:t>
      </w:r>
      <w:r w:rsidRPr="00881216">
        <w:rPr>
          <w:rFonts w:ascii="Arial" w:hAnsi="Arial" w:cs="Arial"/>
        </w:rPr>
        <w:t xml:space="preserve"> [2023] UKSC 51</w:t>
      </w:r>
    </w:p>
    <w:p w14:paraId="47FE3303" w14:textId="77777777" w:rsidR="00DC5D7A" w:rsidRPr="00881216" w:rsidRDefault="5E7FEC77" w:rsidP="00DC5D7A">
      <w:pPr>
        <w:pStyle w:val="ListParagraph"/>
        <w:numPr>
          <w:ilvl w:val="0"/>
          <w:numId w:val="3"/>
        </w:numPr>
        <w:spacing w:line="480" w:lineRule="auto"/>
        <w:jc w:val="both"/>
        <w:rPr>
          <w:rFonts w:ascii="Arial" w:eastAsia="Calibri" w:hAnsi="Arial" w:cs="Arial"/>
          <w:lang w:bidi="en-US"/>
        </w:rPr>
      </w:pPr>
      <w:r w:rsidRPr="00881216">
        <w:rPr>
          <w:rFonts w:ascii="Arial" w:hAnsi="Arial" w:cs="Arial"/>
          <w:i/>
          <w:iCs/>
        </w:rPr>
        <w:t>Baden Delvaux and Lecuit v Société Générale</w:t>
      </w:r>
      <w:r w:rsidRPr="00881216">
        <w:rPr>
          <w:rFonts w:ascii="Arial" w:hAnsi="Arial" w:cs="Arial"/>
        </w:rPr>
        <w:t xml:space="preserve"> [1983] BCLC325</w:t>
      </w:r>
    </w:p>
    <w:p w14:paraId="7DF7E070" w14:textId="77777777" w:rsidR="00DC5D7A" w:rsidRPr="00881216" w:rsidRDefault="00DC5D7A" w:rsidP="00DC5D7A">
      <w:pPr>
        <w:pStyle w:val="ListParagraph"/>
        <w:numPr>
          <w:ilvl w:val="0"/>
          <w:numId w:val="3"/>
        </w:numPr>
        <w:spacing w:line="480" w:lineRule="auto"/>
        <w:jc w:val="both"/>
        <w:rPr>
          <w:rFonts w:ascii="Arial" w:eastAsia="Calibri" w:hAnsi="Arial" w:cs="Arial"/>
          <w:lang w:bidi="en-US"/>
        </w:rPr>
      </w:pPr>
      <w:r w:rsidRPr="00881216">
        <w:rPr>
          <w:rFonts w:ascii="Arial" w:hAnsi="Arial" w:cs="Arial"/>
          <w:i/>
        </w:rPr>
        <w:t>Re Montagu’s Settlement Trusts</w:t>
      </w:r>
      <w:r w:rsidRPr="00881216">
        <w:rPr>
          <w:rFonts w:ascii="Arial" w:hAnsi="Arial" w:cs="Arial"/>
        </w:rPr>
        <w:t xml:space="preserve"> [1987] Ch 264</w:t>
      </w:r>
    </w:p>
    <w:p w14:paraId="4E101624" w14:textId="77777777" w:rsidR="0060198B" w:rsidRPr="00881216" w:rsidRDefault="00DC5D7A" w:rsidP="00DC5D7A">
      <w:pPr>
        <w:pStyle w:val="ListParagraph"/>
        <w:numPr>
          <w:ilvl w:val="0"/>
          <w:numId w:val="3"/>
        </w:numPr>
        <w:spacing w:line="480" w:lineRule="auto"/>
        <w:jc w:val="both"/>
        <w:rPr>
          <w:rFonts w:ascii="Arial" w:eastAsia="Calibri" w:hAnsi="Arial" w:cs="Arial"/>
          <w:lang w:bidi="en-US"/>
        </w:rPr>
      </w:pPr>
      <w:r w:rsidRPr="00881216">
        <w:rPr>
          <w:rFonts w:ascii="Arial" w:hAnsi="Arial" w:cs="Arial"/>
          <w:i/>
        </w:rPr>
        <w:t>BCCI v Akindele</w:t>
      </w:r>
      <w:r w:rsidRPr="00881216">
        <w:rPr>
          <w:rFonts w:ascii="Arial" w:hAnsi="Arial" w:cs="Arial"/>
        </w:rPr>
        <w:t xml:space="preserve"> [2001] Ch 437</w:t>
      </w:r>
    </w:p>
    <w:p w14:paraId="431187FF" w14:textId="77777777" w:rsidR="0060198B" w:rsidRPr="00881216" w:rsidRDefault="0060198B" w:rsidP="00DC5D7A">
      <w:pPr>
        <w:pStyle w:val="ListParagraph"/>
        <w:numPr>
          <w:ilvl w:val="0"/>
          <w:numId w:val="3"/>
        </w:numPr>
        <w:spacing w:line="480" w:lineRule="auto"/>
        <w:jc w:val="both"/>
        <w:rPr>
          <w:rFonts w:ascii="Arial" w:eastAsia="Calibri" w:hAnsi="Arial" w:cs="Arial"/>
          <w:lang w:bidi="en-US"/>
        </w:rPr>
      </w:pPr>
      <w:r w:rsidRPr="00881216">
        <w:rPr>
          <w:rFonts w:ascii="Arial" w:hAnsi="Arial" w:cs="Arial"/>
          <w:i/>
        </w:rPr>
        <w:t>Armstrong DLW GmbH v Winnington Networks Ltd</w:t>
      </w:r>
      <w:r w:rsidRPr="00881216">
        <w:rPr>
          <w:rFonts w:ascii="Arial" w:hAnsi="Arial" w:cs="Arial"/>
        </w:rPr>
        <w:t xml:space="preserve"> [2012] EWHC 10 (Ch)</w:t>
      </w:r>
    </w:p>
    <w:p w14:paraId="697484D3" w14:textId="1CD50FFC" w:rsidR="00DC5D7A" w:rsidRPr="00DC5D7A" w:rsidRDefault="0060198B" w:rsidP="00DC5D7A">
      <w:pPr>
        <w:pStyle w:val="ListParagraph"/>
        <w:numPr>
          <w:ilvl w:val="0"/>
          <w:numId w:val="3"/>
        </w:numPr>
        <w:spacing w:line="480" w:lineRule="auto"/>
        <w:jc w:val="both"/>
        <w:rPr>
          <w:rFonts w:ascii="Arial" w:eastAsia="Calibri" w:hAnsi="Arial" w:cs="Arial"/>
          <w:u w:val="single"/>
          <w:lang w:bidi="en-US"/>
        </w:rPr>
      </w:pPr>
      <w:r w:rsidRPr="00881216">
        <w:rPr>
          <w:rFonts w:ascii="Arial" w:hAnsi="Arial" w:cs="Arial"/>
          <w:i/>
        </w:rPr>
        <w:t>Arthur v Attorney-General or the Turks and Caicos Islands</w:t>
      </w:r>
      <w:r w:rsidRPr="00881216">
        <w:rPr>
          <w:rFonts w:ascii="Arial" w:hAnsi="Arial" w:cs="Arial"/>
        </w:rPr>
        <w:t xml:space="preserve"> [2012] UKPC 30</w:t>
      </w:r>
      <w:r w:rsidR="00DC5D7A" w:rsidRPr="00DC5D7A">
        <w:rPr>
          <w:rFonts w:ascii="Arial" w:eastAsia="Times New Roman" w:hAnsi="Arial" w:cs="Arial"/>
          <w:b/>
          <w:bCs/>
          <w:iCs/>
          <w:lang w:bidi="en-US"/>
        </w:rPr>
        <w:br w:type="page"/>
      </w:r>
    </w:p>
    <w:p w14:paraId="55588DC9" w14:textId="58D11DE3" w:rsidR="00320F25" w:rsidRDefault="00B54981" w:rsidP="00AE3010">
      <w:pPr>
        <w:pStyle w:val="ListParagraph"/>
        <w:numPr>
          <w:ilvl w:val="0"/>
          <w:numId w:val="2"/>
        </w:numPr>
        <w:spacing w:line="480" w:lineRule="auto"/>
        <w:jc w:val="both"/>
        <w:rPr>
          <w:rFonts w:ascii="Arial" w:eastAsia="Times New Roman" w:hAnsi="Arial" w:cs="Arial"/>
          <w:b/>
          <w:bCs/>
          <w:iCs/>
          <w:lang w:bidi="en-US"/>
        </w:rPr>
      </w:pPr>
      <w:r>
        <w:rPr>
          <w:rFonts w:ascii="Arial" w:eastAsia="Times New Roman" w:hAnsi="Arial" w:cs="Arial"/>
          <w:b/>
          <w:bCs/>
          <w:iCs/>
          <w:lang w:bidi="en-US"/>
        </w:rPr>
        <w:lastRenderedPageBreak/>
        <w:t>Knowing receipt</w:t>
      </w:r>
    </w:p>
    <w:p w14:paraId="0AF8B8B2" w14:textId="33DA4EA0" w:rsidR="00B31500" w:rsidRPr="00B31500" w:rsidRDefault="00881216" w:rsidP="00B31500">
      <w:pPr>
        <w:spacing w:line="480" w:lineRule="auto"/>
        <w:jc w:val="both"/>
        <w:rPr>
          <w:rFonts w:ascii="Arial" w:eastAsia="Times New Roman" w:hAnsi="Arial" w:cs="Arial"/>
          <w:bCs/>
          <w:iCs/>
          <w:u w:val="single"/>
          <w:lang w:bidi="en-US"/>
        </w:rPr>
      </w:pPr>
      <w:r>
        <w:rPr>
          <w:rFonts w:ascii="Arial" w:eastAsia="Times New Roman" w:hAnsi="Arial" w:cs="Arial"/>
          <w:bCs/>
          <w:iCs/>
          <w:u w:val="single"/>
          <w:lang w:bidi="en-US"/>
        </w:rPr>
        <w:t xml:space="preserve">I – </w:t>
      </w:r>
      <w:r w:rsidR="00B31500" w:rsidRPr="00B31500">
        <w:rPr>
          <w:rFonts w:ascii="Arial" w:eastAsia="Times New Roman" w:hAnsi="Arial" w:cs="Arial"/>
          <w:bCs/>
          <w:iCs/>
          <w:u w:val="single"/>
          <w:lang w:bidi="en-US"/>
        </w:rPr>
        <w:t>Introduction</w:t>
      </w:r>
      <w:r>
        <w:rPr>
          <w:rFonts w:ascii="Arial" w:eastAsia="Times New Roman" w:hAnsi="Arial" w:cs="Arial"/>
          <w:bCs/>
          <w:iCs/>
          <w:u w:val="single"/>
          <w:lang w:bidi="en-US"/>
        </w:rPr>
        <w:t xml:space="preserve"> </w:t>
      </w:r>
    </w:p>
    <w:p w14:paraId="229449CD" w14:textId="3E1B54C9" w:rsidR="001F5584" w:rsidRDefault="00B54981" w:rsidP="001F5584">
      <w:pPr>
        <w:spacing w:after="0" w:line="480" w:lineRule="auto"/>
        <w:jc w:val="both"/>
        <w:rPr>
          <w:rFonts w:ascii="Arial" w:hAnsi="Arial" w:cs="Arial"/>
        </w:rPr>
      </w:pPr>
      <w:r>
        <w:rPr>
          <w:rFonts w:ascii="Arial" w:hAnsi="Arial" w:cs="Arial"/>
        </w:rPr>
        <w:t xml:space="preserve">Last week, we saw that in some instance it is possible to bring a personal claim against a third party who has </w:t>
      </w:r>
      <w:r w:rsidR="007D00E4">
        <w:rPr>
          <w:rFonts w:ascii="Arial" w:hAnsi="Arial" w:cs="Arial"/>
        </w:rPr>
        <w:t xml:space="preserve">dishonestly </w:t>
      </w:r>
      <w:r>
        <w:rPr>
          <w:rFonts w:ascii="Arial" w:hAnsi="Arial" w:cs="Arial"/>
        </w:rPr>
        <w:t xml:space="preserve">assisted the trustee in a breach of trust </w:t>
      </w:r>
      <w:r w:rsidR="00C82F38">
        <w:rPr>
          <w:rFonts w:ascii="Arial" w:hAnsi="Arial" w:cs="Arial"/>
        </w:rPr>
        <w:t xml:space="preserve">or fiduciary duty </w:t>
      </w:r>
      <w:r w:rsidRPr="00916FB1">
        <w:rPr>
          <w:rFonts w:ascii="Arial" w:hAnsi="Arial" w:cs="Arial"/>
        </w:rPr>
        <w:t>(‘dishonest assistance’)</w:t>
      </w:r>
      <w:r>
        <w:rPr>
          <w:rFonts w:ascii="Arial" w:hAnsi="Arial" w:cs="Arial"/>
        </w:rPr>
        <w:t xml:space="preserve">. It may also be </w:t>
      </w:r>
      <w:r w:rsidR="00320F25" w:rsidRPr="00916FB1">
        <w:rPr>
          <w:rFonts w:ascii="Arial" w:hAnsi="Arial" w:cs="Arial"/>
        </w:rPr>
        <w:t>possible to bring a personal claim</w:t>
      </w:r>
      <w:r>
        <w:rPr>
          <w:rFonts w:ascii="Arial" w:hAnsi="Arial" w:cs="Arial"/>
        </w:rPr>
        <w:t xml:space="preserve"> against a third party who has </w:t>
      </w:r>
      <w:r w:rsidR="007D00E4">
        <w:rPr>
          <w:rFonts w:ascii="Arial" w:hAnsi="Arial" w:cs="Arial"/>
        </w:rPr>
        <w:t xml:space="preserve">knowingly </w:t>
      </w:r>
      <w:r>
        <w:rPr>
          <w:rFonts w:ascii="Arial" w:hAnsi="Arial" w:cs="Arial"/>
        </w:rPr>
        <w:t xml:space="preserve">received trust property subject to a breach </w:t>
      </w:r>
      <w:r w:rsidRPr="00916FB1">
        <w:rPr>
          <w:rFonts w:ascii="Arial" w:hAnsi="Arial" w:cs="Arial"/>
        </w:rPr>
        <w:t>(‘knowing receipt’)</w:t>
      </w:r>
      <w:r>
        <w:rPr>
          <w:rFonts w:ascii="Arial" w:hAnsi="Arial" w:cs="Arial"/>
        </w:rPr>
        <w:t xml:space="preserve">. </w:t>
      </w:r>
      <w:r w:rsidR="001F5584">
        <w:rPr>
          <w:rFonts w:ascii="Arial" w:hAnsi="Arial" w:cs="Arial"/>
        </w:rPr>
        <w:t>Here, l</w:t>
      </w:r>
      <w:r w:rsidR="001F5584" w:rsidRPr="001F5584">
        <w:rPr>
          <w:rFonts w:ascii="Arial" w:hAnsi="Arial" w:cs="Arial"/>
        </w:rPr>
        <w:t>iability may be justified on the grounds of unjust enrichment i.e.</w:t>
      </w:r>
      <w:r w:rsidR="001F5584">
        <w:rPr>
          <w:rFonts w:ascii="Arial" w:hAnsi="Arial" w:cs="Arial"/>
        </w:rPr>
        <w:t>, that</w:t>
      </w:r>
      <w:r w:rsidR="001F5584" w:rsidRPr="001F5584">
        <w:rPr>
          <w:rFonts w:ascii="Arial" w:hAnsi="Arial" w:cs="Arial"/>
        </w:rPr>
        <w:t xml:space="preserve"> </w:t>
      </w:r>
      <w:r w:rsidR="001F5584">
        <w:rPr>
          <w:rFonts w:ascii="Arial" w:hAnsi="Arial" w:cs="Arial"/>
        </w:rPr>
        <w:t>the third party</w:t>
      </w:r>
      <w:r w:rsidR="001F5584" w:rsidRPr="001F5584">
        <w:rPr>
          <w:rFonts w:ascii="Arial" w:hAnsi="Arial" w:cs="Arial"/>
        </w:rPr>
        <w:t xml:space="preserve"> has received an unjust enrichment to which they </w:t>
      </w:r>
      <w:r w:rsidR="001F5584">
        <w:rPr>
          <w:rFonts w:ascii="Arial" w:hAnsi="Arial" w:cs="Arial"/>
        </w:rPr>
        <w:t>were</w:t>
      </w:r>
      <w:r w:rsidR="001F5584" w:rsidRPr="001F5584">
        <w:rPr>
          <w:rFonts w:ascii="Arial" w:hAnsi="Arial" w:cs="Arial"/>
        </w:rPr>
        <w:t xml:space="preserve"> not entitl</w:t>
      </w:r>
      <w:r w:rsidR="00974F16">
        <w:rPr>
          <w:rFonts w:ascii="Arial" w:hAnsi="Arial" w:cs="Arial"/>
        </w:rPr>
        <w:t xml:space="preserve">ed. </w:t>
      </w:r>
      <w:r w:rsidR="001F5584" w:rsidRPr="001F5584">
        <w:rPr>
          <w:rFonts w:ascii="Arial" w:hAnsi="Arial" w:cs="Arial"/>
        </w:rPr>
        <w:t xml:space="preserve">As with dishonest assistance, liability </w:t>
      </w:r>
      <w:r w:rsidR="00974F16">
        <w:rPr>
          <w:rFonts w:ascii="Arial" w:hAnsi="Arial" w:cs="Arial"/>
        </w:rPr>
        <w:t xml:space="preserve">for knowing receipt </w:t>
      </w:r>
      <w:r w:rsidR="001F5584" w:rsidRPr="001F5584">
        <w:rPr>
          <w:rFonts w:ascii="Arial" w:hAnsi="Arial" w:cs="Arial"/>
        </w:rPr>
        <w:t xml:space="preserve">is not strict </w:t>
      </w:r>
      <w:r w:rsidR="00974F16">
        <w:rPr>
          <w:rFonts w:ascii="Arial" w:hAnsi="Arial" w:cs="Arial"/>
        </w:rPr>
        <w:t xml:space="preserve">but fault-based: The recipient must have known about the trust. </w:t>
      </w:r>
      <w:r w:rsidR="001F5584" w:rsidRPr="001F5584">
        <w:rPr>
          <w:rFonts w:ascii="Arial" w:hAnsi="Arial" w:cs="Arial"/>
        </w:rPr>
        <w:t xml:space="preserve">Thus, liability can also be justified on the basis that the </w:t>
      </w:r>
      <w:r w:rsidR="00974F16">
        <w:rPr>
          <w:rFonts w:ascii="Arial" w:hAnsi="Arial" w:cs="Arial"/>
        </w:rPr>
        <w:t>third party’s</w:t>
      </w:r>
      <w:r w:rsidR="001F5584" w:rsidRPr="001F5584">
        <w:rPr>
          <w:rFonts w:ascii="Arial" w:hAnsi="Arial" w:cs="Arial"/>
        </w:rPr>
        <w:t xml:space="preserve"> conscience </w:t>
      </w:r>
      <w:r w:rsidR="00974F16">
        <w:rPr>
          <w:rFonts w:ascii="Arial" w:hAnsi="Arial" w:cs="Arial"/>
        </w:rPr>
        <w:t xml:space="preserve">was </w:t>
      </w:r>
      <w:r w:rsidR="001F5584" w:rsidRPr="001F5584">
        <w:rPr>
          <w:rFonts w:ascii="Arial" w:hAnsi="Arial" w:cs="Arial"/>
        </w:rPr>
        <w:t xml:space="preserve">affected </w:t>
      </w:r>
      <w:r w:rsidR="00974F16">
        <w:rPr>
          <w:rFonts w:ascii="Arial" w:hAnsi="Arial" w:cs="Arial"/>
        </w:rPr>
        <w:t>in receiving the</w:t>
      </w:r>
      <w:r w:rsidR="001F5584" w:rsidRPr="001F5584">
        <w:rPr>
          <w:rFonts w:ascii="Arial" w:hAnsi="Arial" w:cs="Arial"/>
        </w:rPr>
        <w:t xml:space="preserve"> property.</w:t>
      </w:r>
    </w:p>
    <w:p w14:paraId="23A4FF37" w14:textId="209F83E9" w:rsidR="00320F25" w:rsidRPr="00916FB1" w:rsidRDefault="001F5584" w:rsidP="00C81B19">
      <w:pPr>
        <w:spacing w:after="0" w:line="480" w:lineRule="auto"/>
        <w:jc w:val="both"/>
        <w:rPr>
          <w:rFonts w:ascii="Arial" w:hAnsi="Arial" w:cs="Arial"/>
        </w:rPr>
      </w:pPr>
      <w:r>
        <w:rPr>
          <w:rFonts w:ascii="Arial" w:hAnsi="Arial" w:cs="Arial"/>
        </w:rPr>
        <w:t xml:space="preserve">If found liable, </w:t>
      </w:r>
      <w:r w:rsidR="007D00E4">
        <w:rPr>
          <w:rFonts w:ascii="Arial" w:hAnsi="Arial" w:cs="Arial"/>
        </w:rPr>
        <w:t>the</w:t>
      </w:r>
      <w:r w:rsidR="00320F25" w:rsidRPr="00916FB1">
        <w:rPr>
          <w:rFonts w:ascii="Arial" w:hAnsi="Arial" w:cs="Arial"/>
        </w:rPr>
        <w:t xml:space="preserve"> third party </w:t>
      </w:r>
      <w:r>
        <w:rPr>
          <w:rFonts w:ascii="Arial" w:hAnsi="Arial" w:cs="Arial"/>
        </w:rPr>
        <w:t xml:space="preserve">must </w:t>
      </w:r>
      <w:r w:rsidR="00320F25" w:rsidRPr="00916FB1">
        <w:rPr>
          <w:rFonts w:ascii="Arial" w:hAnsi="Arial" w:cs="Arial"/>
        </w:rPr>
        <w:t xml:space="preserve">account for the property </w:t>
      </w:r>
      <w:r w:rsidR="007D00E4">
        <w:rPr>
          <w:rFonts w:ascii="Arial" w:hAnsi="Arial" w:cs="Arial"/>
        </w:rPr>
        <w:t xml:space="preserve">they </w:t>
      </w:r>
      <w:r w:rsidR="00320F25" w:rsidRPr="00916FB1">
        <w:rPr>
          <w:rFonts w:ascii="Arial" w:hAnsi="Arial" w:cs="Arial"/>
        </w:rPr>
        <w:t>received</w:t>
      </w:r>
      <w:r w:rsidR="007D00E4">
        <w:rPr>
          <w:rFonts w:ascii="Arial" w:hAnsi="Arial" w:cs="Arial"/>
        </w:rPr>
        <w:t>, regardless of whether they retained it, and</w:t>
      </w:r>
      <w:r w:rsidR="00320F25" w:rsidRPr="00916FB1">
        <w:rPr>
          <w:rFonts w:ascii="Arial" w:hAnsi="Arial" w:cs="Arial"/>
        </w:rPr>
        <w:t xml:space="preserve"> may also be liable for any profits made from the receipt</w:t>
      </w:r>
      <w:r w:rsidR="002E5098">
        <w:rPr>
          <w:rFonts w:ascii="Arial" w:hAnsi="Arial" w:cs="Arial"/>
        </w:rPr>
        <w:t>, such as fees for their services.</w:t>
      </w:r>
    </w:p>
    <w:p w14:paraId="2EE453C1" w14:textId="6EAE5C7C" w:rsidR="00320F25" w:rsidRPr="00916FB1" w:rsidRDefault="00320F25" w:rsidP="00AE3010">
      <w:pPr>
        <w:spacing w:line="480" w:lineRule="auto"/>
        <w:contextualSpacing/>
        <w:jc w:val="both"/>
        <w:rPr>
          <w:rFonts w:ascii="Arial" w:hAnsi="Arial" w:cs="Arial"/>
        </w:rPr>
      </w:pPr>
    </w:p>
    <w:p w14:paraId="086DD7C0" w14:textId="2E82C4CF" w:rsidR="00320F25" w:rsidRPr="00B31500" w:rsidRDefault="00881216" w:rsidP="00B31500">
      <w:pPr>
        <w:spacing w:line="480" w:lineRule="auto"/>
        <w:jc w:val="both"/>
        <w:rPr>
          <w:rFonts w:ascii="Arial" w:eastAsia="Times New Roman" w:hAnsi="Arial" w:cs="Arial"/>
          <w:bCs/>
          <w:iCs/>
          <w:u w:val="single"/>
          <w:lang w:bidi="en-US"/>
        </w:rPr>
      </w:pPr>
      <w:r>
        <w:rPr>
          <w:rFonts w:ascii="Arial" w:eastAsia="Times New Roman" w:hAnsi="Arial" w:cs="Arial"/>
          <w:bCs/>
          <w:iCs/>
          <w:u w:val="single"/>
          <w:lang w:bidi="en-US"/>
        </w:rPr>
        <w:t xml:space="preserve">II – </w:t>
      </w:r>
      <w:r w:rsidR="00B31500" w:rsidRPr="00B31500">
        <w:rPr>
          <w:rFonts w:ascii="Arial" w:eastAsia="Times New Roman" w:hAnsi="Arial" w:cs="Arial"/>
          <w:bCs/>
          <w:iCs/>
          <w:u w:val="single"/>
          <w:lang w:bidi="en-US"/>
        </w:rPr>
        <w:t>Requirements</w:t>
      </w:r>
      <w:r>
        <w:rPr>
          <w:rFonts w:ascii="Arial" w:eastAsia="Times New Roman" w:hAnsi="Arial" w:cs="Arial"/>
          <w:bCs/>
          <w:iCs/>
          <w:u w:val="single"/>
          <w:lang w:bidi="en-US"/>
        </w:rPr>
        <w:t xml:space="preserve"> </w:t>
      </w:r>
      <w:r w:rsidR="00B31500" w:rsidRPr="00B31500">
        <w:rPr>
          <w:rFonts w:ascii="Arial" w:eastAsia="Times New Roman" w:hAnsi="Arial" w:cs="Arial"/>
          <w:bCs/>
          <w:iCs/>
          <w:u w:val="single"/>
          <w:lang w:bidi="en-US"/>
        </w:rPr>
        <w:t>for liability</w:t>
      </w:r>
    </w:p>
    <w:bookmarkEnd w:id="0"/>
    <w:bookmarkEnd w:id="1"/>
    <w:p w14:paraId="16C80DDF" w14:textId="27FE92F2" w:rsidR="00B54981" w:rsidRDefault="00B54981" w:rsidP="00B54981">
      <w:pPr>
        <w:spacing w:line="480" w:lineRule="auto"/>
        <w:jc w:val="both"/>
        <w:rPr>
          <w:rFonts w:ascii="Arial" w:hAnsi="Arial" w:cs="Arial"/>
        </w:rPr>
      </w:pPr>
      <w:r w:rsidRPr="00916FB1">
        <w:rPr>
          <w:rFonts w:ascii="Arial" w:hAnsi="Arial" w:cs="Arial"/>
        </w:rPr>
        <w:t>To bring a personal claim for knowing receipt, the third party must have received trust property, and the claim thus relies on successfully tracing the property into the stranger’s hands. However, merely having receiv</w:t>
      </w:r>
      <w:r w:rsidR="0066799B">
        <w:rPr>
          <w:rFonts w:ascii="Arial" w:hAnsi="Arial" w:cs="Arial"/>
        </w:rPr>
        <w:t>ed</w:t>
      </w:r>
      <w:r w:rsidRPr="00916FB1">
        <w:rPr>
          <w:rFonts w:ascii="Arial" w:hAnsi="Arial" w:cs="Arial"/>
        </w:rPr>
        <w:t xml:space="preserve"> the trust property is insufficient to give rise to personal liability. As the law currently stands, there </w:t>
      </w:r>
      <w:r>
        <w:rPr>
          <w:rFonts w:ascii="Arial" w:hAnsi="Arial" w:cs="Arial"/>
        </w:rPr>
        <w:t xml:space="preserve">is also a fault requirement. </w:t>
      </w:r>
      <w:r w:rsidRPr="00916FB1">
        <w:rPr>
          <w:rFonts w:ascii="Arial" w:hAnsi="Arial" w:cs="Arial"/>
          <w:i/>
          <w:u w:val="single"/>
        </w:rPr>
        <w:t>El Ajou v Dollar Land Holdings</w:t>
      </w:r>
      <w:r w:rsidRPr="00916FB1">
        <w:rPr>
          <w:rFonts w:ascii="Arial" w:hAnsi="Arial" w:cs="Arial"/>
          <w:u w:val="single"/>
        </w:rPr>
        <w:t xml:space="preserve"> [1994] BCC 143</w:t>
      </w:r>
      <w:r w:rsidRPr="00916FB1">
        <w:rPr>
          <w:rFonts w:ascii="Arial" w:hAnsi="Arial" w:cs="Arial"/>
        </w:rPr>
        <w:t xml:space="preserve"> thus laid down three requirements that must be met for a party to be liable for knowing receipt:</w:t>
      </w:r>
    </w:p>
    <w:p w14:paraId="13C8E9A0" w14:textId="0682DB62" w:rsidR="00B54981" w:rsidRPr="009C3636" w:rsidRDefault="00B54981" w:rsidP="00B54981">
      <w:pPr>
        <w:pStyle w:val="ListParagraph"/>
        <w:numPr>
          <w:ilvl w:val="0"/>
          <w:numId w:val="30"/>
        </w:numPr>
        <w:spacing w:after="200" w:line="480" w:lineRule="auto"/>
        <w:jc w:val="both"/>
        <w:rPr>
          <w:rFonts w:ascii="Arial" w:hAnsi="Arial" w:cs="Arial"/>
        </w:rPr>
      </w:pPr>
      <w:r w:rsidRPr="009C3636">
        <w:rPr>
          <w:rFonts w:ascii="Arial" w:hAnsi="Arial" w:cs="Arial"/>
        </w:rPr>
        <w:t xml:space="preserve">Disposal of assets in breach of trust or fiduciary </w:t>
      </w:r>
      <w:proofErr w:type="gramStart"/>
      <w:r w:rsidRPr="009C3636">
        <w:rPr>
          <w:rFonts w:ascii="Arial" w:hAnsi="Arial" w:cs="Arial"/>
        </w:rPr>
        <w:t>duty</w:t>
      </w:r>
      <w:r w:rsidR="007D00E4">
        <w:rPr>
          <w:rFonts w:ascii="Arial" w:hAnsi="Arial" w:cs="Arial"/>
        </w:rPr>
        <w:t>;</w:t>
      </w:r>
      <w:proofErr w:type="gramEnd"/>
    </w:p>
    <w:p w14:paraId="1DB748CA" w14:textId="46CF36D9" w:rsidR="00B54981" w:rsidRPr="009C3636" w:rsidRDefault="00B54981" w:rsidP="00B54981">
      <w:pPr>
        <w:pStyle w:val="ListParagraph"/>
        <w:numPr>
          <w:ilvl w:val="0"/>
          <w:numId w:val="30"/>
        </w:numPr>
        <w:spacing w:after="200" w:line="480" w:lineRule="auto"/>
        <w:jc w:val="both"/>
        <w:rPr>
          <w:rFonts w:ascii="Arial" w:hAnsi="Arial" w:cs="Arial"/>
        </w:rPr>
      </w:pPr>
      <w:r w:rsidRPr="009C3636">
        <w:rPr>
          <w:rFonts w:ascii="Arial" w:hAnsi="Arial" w:cs="Arial"/>
        </w:rPr>
        <w:t xml:space="preserve">Beneficial receipt of </w:t>
      </w:r>
      <w:r w:rsidRPr="00916FB1">
        <w:rPr>
          <w:rFonts w:ascii="Arial" w:hAnsi="Arial" w:cs="Arial"/>
        </w:rPr>
        <w:t xml:space="preserve">assets which are traceable as representing the assets of the </w:t>
      </w:r>
      <w:r>
        <w:rPr>
          <w:rFonts w:ascii="Arial" w:hAnsi="Arial" w:cs="Arial"/>
        </w:rPr>
        <w:t>claimant</w:t>
      </w:r>
      <w:r w:rsidR="007D00E4">
        <w:rPr>
          <w:rFonts w:ascii="Arial" w:hAnsi="Arial" w:cs="Arial"/>
        </w:rPr>
        <w:t>; and</w:t>
      </w:r>
    </w:p>
    <w:p w14:paraId="1B702090" w14:textId="2A50F584" w:rsidR="00B54981" w:rsidRDefault="00B54981" w:rsidP="00B54981">
      <w:pPr>
        <w:pStyle w:val="ListParagraph"/>
        <w:numPr>
          <w:ilvl w:val="0"/>
          <w:numId w:val="30"/>
        </w:numPr>
        <w:spacing w:after="200" w:line="480" w:lineRule="auto"/>
        <w:jc w:val="both"/>
        <w:rPr>
          <w:rFonts w:ascii="Arial" w:hAnsi="Arial" w:cs="Arial"/>
        </w:rPr>
      </w:pPr>
      <w:r w:rsidRPr="009C3636">
        <w:rPr>
          <w:rFonts w:ascii="Arial" w:hAnsi="Arial" w:cs="Arial"/>
        </w:rPr>
        <w:lastRenderedPageBreak/>
        <w:t xml:space="preserve">Knowledge </w:t>
      </w:r>
      <w:r>
        <w:rPr>
          <w:rFonts w:ascii="Arial" w:hAnsi="Arial" w:cs="Arial"/>
        </w:rPr>
        <w:t>by</w:t>
      </w:r>
      <w:r w:rsidRPr="00916FB1">
        <w:rPr>
          <w:rFonts w:ascii="Arial" w:hAnsi="Arial" w:cs="Arial"/>
        </w:rPr>
        <w:t xml:space="preserve"> the defendant that the assets </w:t>
      </w:r>
      <w:r>
        <w:rPr>
          <w:rFonts w:ascii="Arial" w:hAnsi="Arial" w:cs="Arial"/>
        </w:rPr>
        <w:t>(s)</w:t>
      </w:r>
      <w:r w:rsidRPr="00916FB1">
        <w:rPr>
          <w:rFonts w:ascii="Arial" w:hAnsi="Arial" w:cs="Arial"/>
        </w:rPr>
        <w:t xml:space="preserve">he received are traceable to a breach of </w:t>
      </w:r>
      <w:r>
        <w:rPr>
          <w:rFonts w:ascii="Arial" w:hAnsi="Arial" w:cs="Arial"/>
        </w:rPr>
        <w:t xml:space="preserve">trust or </w:t>
      </w:r>
      <w:r w:rsidRPr="00916FB1">
        <w:rPr>
          <w:rFonts w:ascii="Arial" w:hAnsi="Arial" w:cs="Arial"/>
        </w:rPr>
        <w:t>fiduciary duty</w:t>
      </w:r>
      <w:r w:rsidR="007D00E4">
        <w:rPr>
          <w:rFonts w:ascii="Arial" w:hAnsi="Arial" w:cs="Arial"/>
        </w:rPr>
        <w:t>.</w:t>
      </w:r>
    </w:p>
    <w:p w14:paraId="379DEA1D" w14:textId="77777777" w:rsidR="00B54981" w:rsidRPr="00916FB1" w:rsidRDefault="00B54981" w:rsidP="00B54981">
      <w:pPr>
        <w:pStyle w:val="ListParagraph"/>
        <w:spacing w:after="200" w:line="480" w:lineRule="auto"/>
        <w:ind w:left="360"/>
        <w:jc w:val="both"/>
        <w:rPr>
          <w:rFonts w:ascii="Arial" w:hAnsi="Arial" w:cs="Arial"/>
        </w:rPr>
      </w:pPr>
    </w:p>
    <w:p w14:paraId="402B1E0C" w14:textId="77777777" w:rsidR="00B54981" w:rsidRPr="00881216" w:rsidRDefault="00B54981" w:rsidP="00B54981">
      <w:pPr>
        <w:spacing w:line="480" w:lineRule="auto"/>
        <w:jc w:val="both"/>
        <w:rPr>
          <w:rFonts w:ascii="Arial" w:hAnsi="Arial" w:cs="Arial"/>
          <w:bCs/>
        </w:rPr>
      </w:pPr>
      <w:r w:rsidRPr="00881216">
        <w:rPr>
          <w:rFonts w:ascii="Arial" w:hAnsi="Arial" w:cs="Arial"/>
          <w:bCs/>
        </w:rPr>
        <w:t>1) Disposal of assets in breach of trust or fiduciary duty</w:t>
      </w:r>
    </w:p>
    <w:p w14:paraId="512C7F16" w14:textId="19FA5BD6" w:rsidR="00B54981" w:rsidRDefault="00B54981" w:rsidP="00B54981">
      <w:pPr>
        <w:spacing w:line="480" w:lineRule="auto"/>
        <w:jc w:val="both"/>
        <w:rPr>
          <w:rFonts w:ascii="Arial" w:hAnsi="Arial" w:cs="Arial"/>
        </w:rPr>
      </w:pPr>
      <w:r>
        <w:rPr>
          <w:rFonts w:ascii="Arial" w:hAnsi="Arial" w:cs="Arial"/>
        </w:rPr>
        <w:t xml:space="preserve">This requirement is </w:t>
      </w:r>
      <w:proofErr w:type="gramStart"/>
      <w:r>
        <w:rPr>
          <w:rFonts w:ascii="Arial" w:hAnsi="Arial" w:cs="Arial"/>
        </w:rPr>
        <w:t>fairly straight</w:t>
      </w:r>
      <w:proofErr w:type="gramEnd"/>
      <w:r>
        <w:rPr>
          <w:rFonts w:ascii="Arial" w:hAnsi="Arial" w:cs="Arial"/>
        </w:rPr>
        <w:t xml:space="preserve">-forward. </w:t>
      </w:r>
      <w:r w:rsidRPr="00916FB1">
        <w:rPr>
          <w:rFonts w:ascii="Arial" w:hAnsi="Arial" w:cs="Arial"/>
        </w:rPr>
        <w:t xml:space="preserve">Where a trustee has transferred trust assets to a third party in breach of trust </w:t>
      </w:r>
      <w:r w:rsidR="00C82F38">
        <w:rPr>
          <w:rFonts w:ascii="Arial" w:hAnsi="Arial" w:cs="Arial"/>
        </w:rPr>
        <w:t xml:space="preserve">or fiduciary duty </w:t>
      </w:r>
      <w:r w:rsidRPr="00916FB1">
        <w:rPr>
          <w:rFonts w:ascii="Arial" w:hAnsi="Arial" w:cs="Arial"/>
        </w:rPr>
        <w:t xml:space="preserve">there is </w:t>
      </w:r>
      <w:r>
        <w:rPr>
          <w:rFonts w:ascii="Arial" w:hAnsi="Arial" w:cs="Arial"/>
        </w:rPr>
        <w:t xml:space="preserve">clearly </w:t>
      </w:r>
      <w:r w:rsidRPr="00916FB1">
        <w:rPr>
          <w:rFonts w:ascii="Arial" w:hAnsi="Arial" w:cs="Arial"/>
        </w:rPr>
        <w:t>no difficulty in showing that this requirement has been met.</w:t>
      </w:r>
    </w:p>
    <w:p w14:paraId="61FFAA50" w14:textId="77777777" w:rsidR="00974F16" w:rsidRPr="00916FB1" w:rsidRDefault="00974F16" w:rsidP="00B54981">
      <w:pPr>
        <w:spacing w:line="480" w:lineRule="auto"/>
        <w:jc w:val="both"/>
        <w:rPr>
          <w:rFonts w:ascii="Arial" w:hAnsi="Arial" w:cs="Arial"/>
        </w:rPr>
      </w:pPr>
    </w:p>
    <w:p w14:paraId="2C3AE50D" w14:textId="77777777" w:rsidR="00B54981" w:rsidRPr="00881216" w:rsidRDefault="00B54981" w:rsidP="00B54981">
      <w:pPr>
        <w:spacing w:line="480" w:lineRule="auto"/>
        <w:jc w:val="both"/>
        <w:rPr>
          <w:rFonts w:ascii="Arial" w:hAnsi="Arial" w:cs="Arial"/>
          <w:bCs/>
        </w:rPr>
      </w:pPr>
      <w:r w:rsidRPr="00881216">
        <w:rPr>
          <w:rFonts w:ascii="Arial" w:hAnsi="Arial" w:cs="Arial"/>
          <w:bCs/>
        </w:rPr>
        <w:t xml:space="preserve">2) Beneficial receipt of traceable assets </w:t>
      </w:r>
    </w:p>
    <w:p w14:paraId="6A71FD1C" w14:textId="77777777" w:rsidR="00B54981" w:rsidRPr="00916FB1" w:rsidRDefault="00B54981" w:rsidP="00B54981">
      <w:pPr>
        <w:spacing w:line="480" w:lineRule="auto"/>
        <w:jc w:val="both"/>
        <w:rPr>
          <w:rFonts w:ascii="Arial" w:hAnsi="Arial" w:cs="Arial"/>
        </w:rPr>
      </w:pPr>
      <w:r w:rsidRPr="00916FB1">
        <w:rPr>
          <w:rFonts w:ascii="Arial" w:hAnsi="Arial" w:cs="Arial"/>
        </w:rPr>
        <w:t>T</w:t>
      </w:r>
      <w:r>
        <w:rPr>
          <w:rFonts w:ascii="Arial" w:hAnsi="Arial" w:cs="Arial"/>
        </w:rPr>
        <w:t>he key word here is ‘beneficial</w:t>
      </w:r>
      <w:r w:rsidRPr="00916FB1">
        <w:rPr>
          <w:rFonts w:ascii="Arial" w:hAnsi="Arial" w:cs="Arial"/>
        </w:rPr>
        <w:t>’</w:t>
      </w:r>
      <w:r>
        <w:rPr>
          <w:rFonts w:ascii="Arial" w:hAnsi="Arial" w:cs="Arial"/>
        </w:rPr>
        <w:t xml:space="preserve"> receipt,</w:t>
      </w:r>
      <w:r w:rsidRPr="00916FB1">
        <w:rPr>
          <w:rFonts w:ascii="Arial" w:hAnsi="Arial" w:cs="Arial"/>
        </w:rPr>
        <w:t xml:space="preserve"> which is to be contrasted with mere ‘ministerial’ receipt. To have received the assets beneficially, the stranger must have received the property “for his own use and benefit” (</w:t>
      </w:r>
      <w:r w:rsidRPr="00916FB1">
        <w:rPr>
          <w:rFonts w:ascii="Arial" w:hAnsi="Arial" w:cs="Arial"/>
          <w:i/>
          <w:u w:val="single"/>
        </w:rPr>
        <w:t>Agip (Africa) Ltd v Jackson</w:t>
      </w:r>
      <w:r w:rsidRPr="00916FB1">
        <w:rPr>
          <w:rFonts w:ascii="Arial" w:hAnsi="Arial" w:cs="Arial"/>
          <w:u w:val="single"/>
        </w:rPr>
        <w:t xml:space="preserve"> [1990] Ch 265</w:t>
      </w:r>
      <w:r w:rsidRPr="00916FB1">
        <w:rPr>
          <w:rFonts w:ascii="Arial" w:hAnsi="Arial" w:cs="Arial"/>
        </w:rPr>
        <w:t>, per Millett J</w:t>
      </w:r>
      <w:r>
        <w:rPr>
          <w:rFonts w:ascii="Arial" w:hAnsi="Arial" w:cs="Arial"/>
        </w:rPr>
        <w:t>,</w:t>
      </w:r>
      <w:r w:rsidRPr="00916FB1">
        <w:rPr>
          <w:rFonts w:ascii="Arial" w:hAnsi="Arial" w:cs="Arial"/>
        </w:rPr>
        <w:t xml:space="preserve"> at 292). </w:t>
      </w:r>
      <w:r w:rsidRPr="00BC07EC">
        <w:rPr>
          <w:rFonts w:ascii="Arial" w:hAnsi="Arial" w:cs="Arial"/>
        </w:rPr>
        <w:t>No action will lie against a stranger who receives trust property as an agent for another i.e.</w:t>
      </w:r>
      <w:r>
        <w:rPr>
          <w:rFonts w:ascii="Arial" w:hAnsi="Arial" w:cs="Arial"/>
        </w:rPr>
        <w:t>,</w:t>
      </w:r>
      <w:r w:rsidRPr="00BC07EC">
        <w:rPr>
          <w:rFonts w:ascii="Arial" w:hAnsi="Arial" w:cs="Arial"/>
        </w:rPr>
        <w:t xml:space="preserve"> not for the stranger’s own </w:t>
      </w:r>
      <w:r>
        <w:rPr>
          <w:rFonts w:ascii="Arial" w:hAnsi="Arial" w:cs="Arial"/>
        </w:rPr>
        <w:t xml:space="preserve">use and </w:t>
      </w:r>
      <w:r w:rsidRPr="00BC07EC">
        <w:rPr>
          <w:rFonts w:ascii="Arial" w:hAnsi="Arial" w:cs="Arial"/>
        </w:rPr>
        <w:t>benefit.</w:t>
      </w:r>
    </w:p>
    <w:p w14:paraId="32080FC3" w14:textId="77777777" w:rsidR="00B54981" w:rsidRPr="00916FB1" w:rsidRDefault="00B54981" w:rsidP="00B54981">
      <w:pPr>
        <w:spacing w:line="480" w:lineRule="auto"/>
        <w:jc w:val="both"/>
        <w:rPr>
          <w:rFonts w:ascii="Arial" w:hAnsi="Arial" w:cs="Arial"/>
        </w:rPr>
      </w:pPr>
      <w:r w:rsidRPr="00916FB1">
        <w:rPr>
          <w:rFonts w:ascii="Arial" w:hAnsi="Arial" w:cs="Arial"/>
        </w:rPr>
        <w:t xml:space="preserve">The question has arisen in the context of banks. If, for example, a trustee deposits money in a bank account in breach of trust, can the bank be considered to have received that property beneficially? This question was considered in </w:t>
      </w:r>
      <w:r w:rsidRPr="00916FB1">
        <w:rPr>
          <w:rFonts w:ascii="Arial" w:hAnsi="Arial" w:cs="Arial"/>
          <w:i/>
          <w:u w:val="single"/>
        </w:rPr>
        <w:t>Agip</w:t>
      </w:r>
      <w:r w:rsidRPr="00916FB1">
        <w:rPr>
          <w:rFonts w:ascii="Arial" w:hAnsi="Arial" w:cs="Arial"/>
        </w:rPr>
        <w:t>, where Millet J said</w:t>
      </w:r>
      <w:r>
        <w:rPr>
          <w:rFonts w:ascii="Arial" w:hAnsi="Arial" w:cs="Arial"/>
        </w:rPr>
        <w:t>, at 292</w:t>
      </w:r>
      <w:r w:rsidRPr="00916FB1">
        <w:rPr>
          <w:rFonts w:ascii="Arial" w:hAnsi="Arial" w:cs="Arial"/>
        </w:rPr>
        <w:t>:</w:t>
      </w:r>
      <w:r>
        <w:rPr>
          <w:rFonts w:ascii="Arial" w:hAnsi="Arial" w:cs="Arial"/>
        </w:rPr>
        <w:t xml:space="preserve"> “</w:t>
      </w:r>
      <w:r w:rsidRPr="009C3636">
        <w:rPr>
          <w:rFonts w:ascii="Arial" w:hAnsi="Arial" w:cs="Arial"/>
        </w:rPr>
        <w:t>In paying or collecting money for a customer the bank acts only as his agent. It is otherwise, however, if the collecting bank uses the money to reduce or discharge the customer’s overdraft. In doing so it receives the money for its own benefit.</w:t>
      </w:r>
      <w:r>
        <w:rPr>
          <w:rFonts w:ascii="Arial" w:hAnsi="Arial" w:cs="Arial"/>
        </w:rPr>
        <w:t>”</w:t>
      </w:r>
    </w:p>
    <w:p w14:paraId="7A517797" w14:textId="6BE23742" w:rsidR="00B54981" w:rsidRPr="00916FB1" w:rsidRDefault="00B54981" w:rsidP="00B54981">
      <w:pPr>
        <w:spacing w:line="480" w:lineRule="auto"/>
        <w:jc w:val="both"/>
        <w:rPr>
          <w:rFonts w:ascii="Arial" w:hAnsi="Arial" w:cs="Arial"/>
        </w:rPr>
      </w:pPr>
      <w:r>
        <w:rPr>
          <w:rFonts w:ascii="Arial" w:hAnsi="Arial" w:cs="Arial"/>
        </w:rPr>
        <w:t>As to ‘traceable assets,’ t</w:t>
      </w:r>
      <w:r w:rsidRPr="00916FB1">
        <w:rPr>
          <w:rFonts w:ascii="Arial" w:hAnsi="Arial" w:cs="Arial"/>
        </w:rPr>
        <w:t xml:space="preserve">his </w:t>
      </w:r>
      <w:r w:rsidR="00356A98">
        <w:rPr>
          <w:rFonts w:ascii="Arial" w:hAnsi="Arial" w:cs="Arial"/>
        </w:rPr>
        <w:t xml:space="preserve">does not </w:t>
      </w:r>
      <w:r w:rsidRPr="00916FB1">
        <w:rPr>
          <w:rFonts w:ascii="Arial" w:hAnsi="Arial" w:cs="Arial"/>
        </w:rPr>
        <w:t xml:space="preserve">mean that the assets that the defendant receives are the original trust property, </w:t>
      </w:r>
      <w:proofErr w:type="gramStart"/>
      <w:r w:rsidRPr="00916FB1">
        <w:rPr>
          <w:rFonts w:ascii="Arial" w:hAnsi="Arial" w:cs="Arial"/>
        </w:rPr>
        <w:t>as long as</w:t>
      </w:r>
      <w:proofErr w:type="gramEnd"/>
      <w:r w:rsidRPr="00916FB1">
        <w:rPr>
          <w:rFonts w:ascii="Arial" w:hAnsi="Arial" w:cs="Arial"/>
        </w:rPr>
        <w:t xml:space="preserve"> they represent such property (as its proceeds or substitutions)</w:t>
      </w:r>
      <w:r w:rsidR="00674982">
        <w:rPr>
          <w:rFonts w:ascii="Arial" w:hAnsi="Arial" w:cs="Arial"/>
        </w:rPr>
        <w:t xml:space="preserve"> and are therefore traceable</w:t>
      </w:r>
      <w:r w:rsidR="00356A98">
        <w:rPr>
          <w:rFonts w:ascii="Arial" w:hAnsi="Arial" w:cs="Arial"/>
        </w:rPr>
        <w:t xml:space="preserve">. However, </w:t>
      </w:r>
      <w:r w:rsidR="00674982">
        <w:rPr>
          <w:rFonts w:ascii="Arial" w:hAnsi="Arial" w:cs="Arial"/>
        </w:rPr>
        <w:t xml:space="preserve">as established in </w:t>
      </w:r>
      <w:r w:rsidR="00674982" w:rsidRPr="00313BB4">
        <w:rPr>
          <w:rFonts w:ascii="Arial" w:hAnsi="Arial" w:cs="Arial"/>
          <w:i/>
          <w:iCs/>
          <w:u w:val="single"/>
        </w:rPr>
        <w:t>Byers</w:t>
      </w:r>
      <w:r w:rsidR="00F3525E">
        <w:rPr>
          <w:rFonts w:ascii="Arial" w:hAnsi="Arial" w:cs="Arial"/>
          <w:i/>
          <w:iCs/>
          <w:u w:val="single"/>
        </w:rPr>
        <w:t xml:space="preserve"> </w:t>
      </w:r>
      <w:r w:rsidR="00674982" w:rsidRPr="00313BB4">
        <w:rPr>
          <w:rFonts w:ascii="Arial" w:hAnsi="Arial" w:cs="Arial"/>
          <w:i/>
          <w:iCs/>
          <w:u w:val="single"/>
        </w:rPr>
        <w:t>v Saudi National Bank</w:t>
      </w:r>
      <w:r w:rsidR="00674982" w:rsidRPr="00313BB4">
        <w:rPr>
          <w:rFonts w:ascii="Arial" w:hAnsi="Arial" w:cs="Arial"/>
          <w:u w:val="single"/>
        </w:rPr>
        <w:t xml:space="preserve"> </w:t>
      </w:r>
      <w:r w:rsidR="00F3525E" w:rsidRPr="00F3525E">
        <w:rPr>
          <w:rFonts w:ascii="Arial" w:hAnsi="Arial" w:cs="Arial"/>
          <w:u w:val="single"/>
        </w:rPr>
        <w:t>[2023] UKSC 51</w:t>
      </w:r>
      <w:r w:rsidR="00674982" w:rsidRPr="00674982">
        <w:rPr>
          <w:rFonts w:ascii="Arial" w:hAnsi="Arial" w:cs="Arial"/>
        </w:rPr>
        <w:t>, it</w:t>
      </w:r>
      <w:r w:rsidR="00674982">
        <w:rPr>
          <w:rFonts w:ascii="Arial" w:hAnsi="Arial" w:cs="Arial"/>
        </w:rPr>
        <w:t xml:space="preserve"> does mean</w:t>
      </w:r>
      <w:r w:rsidR="00356A98">
        <w:rPr>
          <w:rFonts w:ascii="Arial" w:hAnsi="Arial" w:cs="Arial"/>
        </w:rPr>
        <w:t xml:space="preserve"> that the beneficiary’s rights in the assets </w:t>
      </w:r>
      <w:r w:rsidR="00313BB4">
        <w:rPr>
          <w:rFonts w:ascii="Arial" w:hAnsi="Arial" w:cs="Arial"/>
        </w:rPr>
        <w:t xml:space="preserve">must have </w:t>
      </w:r>
      <w:r w:rsidR="00356A98">
        <w:rPr>
          <w:rFonts w:ascii="Arial" w:hAnsi="Arial" w:cs="Arial"/>
        </w:rPr>
        <w:lastRenderedPageBreak/>
        <w:t>survived the</w:t>
      </w:r>
      <w:r w:rsidR="00313BB4">
        <w:rPr>
          <w:rFonts w:ascii="Arial" w:hAnsi="Arial" w:cs="Arial"/>
        </w:rPr>
        <w:t>ir</w:t>
      </w:r>
      <w:r w:rsidR="00356A98">
        <w:rPr>
          <w:rFonts w:ascii="Arial" w:hAnsi="Arial" w:cs="Arial"/>
        </w:rPr>
        <w:t xml:space="preserve"> transfer to the defendant</w:t>
      </w:r>
      <w:r w:rsidR="00313BB4">
        <w:rPr>
          <w:rFonts w:ascii="Arial" w:hAnsi="Arial" w:cs="Arial"/>
        </w:rPr>
        <w:t xml:space="preserve"> so that, if the defendant had retained the assets, the beneficiary would have had a proprietary interest in them</w:t>
      </w:r>
      <w:r w:rsidR="00102BBE">
        <w:rPr>
          <w:rFonts w:ascii="Arial" w:hAnsi="Arial" w:cs="Arial"/>
        </w:rPr>
        <w:t xml:space="preserve">. </w:t>
      </w:r>
    </w:p>
    <w:p w14:paraId="17B2A880" w14:textId="77777777" w:rsidR="00974F16" w:rsidRPr="00916FB1" w:rsidRDefault="00974F16" w:rsidP="00B54981">
      <w:pPr>
        <w:spacing w:line="480" w:lineRule="auto"/>
        <w:jc w:val="both"/>
        <w:rPr>
          <w:rFonts w:ascii="Arial" w:hAnsi="Arial" w:cs="Arial"/>
        </w:rPr>
      </w:pPr>
    </w:p>
    <w:p w14:paraId="36A43532" w14:textId="77777777" w:rsidR="00B54981" w:rsidRPr="00881216" w:rsidRDefault="00B54981" w:rsidP="00B54981">
      <w:pPr>
        <w:spacing w:line="480" w:lineRule="auto"/>
        <w:jc w:val="both"/>
        <w:rPr>
          <w:rFonts w:ascii="Arial" w:hAnsi="Arial" w:cs="Arial"/>
          <w:bCs/>
        </w:rPr>
      </w:pPr>
      <w:r w:rsidRPr="00881216">
        <w:rPr>
          <w:rFonts w:ascii="Arial" w:hAnsi="Arial" w:cs="Arial"/>
          <w:bCs/>
        </w:rPr>
        <w:t>3) Knowledge</w:t>
      </w:r>
    </w:p>
    <w:p w14:paraId="5499A19E" w14:textId="77777777" w:rsidR="00B54981" w:rsidRPr="00F60CBE" w:rsidRDefault="00B54981" w:rsidP="00B54981">
      <w:pPr>
        <w:spacing w:line="480" w:lineRule="auto"/>
        <w:jc w:val="both"/>
        <w:rPr>
          <w:rFonts w:ascii="Arial" w:hAnsi="Arial" w:cs="Arial"/>
        </w:rPr>
      </w:pPr>
      <w:r w:rsidRPr="00F60CBE">
        <w:rPr>
          <w:rFonts w:ascii="Arial" w:hAnsi="Arial" w:cs="Arial"/>
        </w:rPr>
        <w:t>The mental, fault element of ‘knowledge’ has proved the most controversial aspect of thi</w:t>
      </w:r>
      <w:r>
        <w:rPr>
          <w:rFonts w:ascii="Arial" w:hAnsi="Arial" w:cs="Arial"/>
        </w:rPr>
        <w:t>s form of liability. To consider are both the timing and the meaning of ‘knowledge.’</w:t>
      </w:r>
    </w:p>
    <w:p w14:paraId="24DA1E2A" w14:textId="77777777" w:rsidR="00B54981" w:rsidRDefault="00B54981" w:rsidP="00B54981">
      <w:pPr>
        <w:spacing w:line="480" w:lineRule="auto"/>
        <w:jc w:val="both"/>
        <w:rPr>
          <w:rFonts w:ascii="Arial" w:hAnsi="Arial" w:cs="Arial"/>
        </w:rPr>
      </w:pPr>
    </w:p>
    <w:p w14:paraId="5EC3FD15" w14:textId="77777777" w:rsidR="00B54981" w:rsidRPr="00F60CBE" w:rsidRDefault="00B54981" w:rsidP="00B54981">
      <w:pPr>
        <w:spacing w:line="480" w:lineRule="auto"/>
        <w:jc w:val="both"/>
        <w:rPr>
          <w:rFonts w:ascii="Arial" w:hAnsi="Arial" w:cs="Arial"/>
        </w:rPr>
      </w:pPr>
      <w:r w:rsidRPr="00F60CBE">
        <w:rPr>
          <w:rFonts w:ascii="Arial" w:hAnsi="Arial" w:cs="Arial"/>
        </w:rPr>
        <w:t>The timing of knowledge</w:t>
      </w:r>
    </w:p>
    <w:p w14:paraId="1FD107F1" w14:textId="77777777" w:rsidR="00B54981" w:rsidRDefault="00B54981" w:rsidP="00B54981">
      <w:pPr>
        <w:spacing w:line="480" w:lineRule="auto"/>
        <w:jc w:val="both"/>
        <w:rPr>
          <w:rFonts w:ascii="Arial" w:hAnsi="Arial" w:cs="Arial"/>
        </w:rPr>
      </w:pPr>
      <w:r w:rsidRPr="00916FB1">
        <w:rPr>
          <w:rFonts w:ascii="Arial" w:hAnsi="Arial" w:cs="Arial"/>
        </w:rPr>
        <w:t xml:space="preserve">A stranger can be liable for knowing receipt of trust property in two situations: </w:t>
      </w:r>
    </w:p>
    <w:p w14:paraId="312A5EF3" w14:textId="77777777" w:rsidR="00B54981" w:rsidRDefault="00B54981" w:rsidP="00B54981">
      <w:pPr>
        <w:pStyle w:val="ListParagraph"/>
        <w:numPr>
          <w:ilvl w:val="0"/>
          <w:numId w:val="3"/>
        </w:numPr>
        <w:spacing w:line="480" w:lineRule="auto"/>
        <w:jc w:val="both"/>
        <w:rPr>
          <w:rFonts w:ascii="Arial" w:hAnsi="Arial" w:cs="Arial"/>
        </w:rPr>
      </w:pPr>
      <w:r w:rsidRPr="00F60CBE">
        <w:rPr>
          <w:rFonts w:ascii="Arial" w:hAnsi="Arial" w:cs="Arial"/>
        </w:rPr>
        <w:t>Where</w:t>
      </w:r>
      <w:r>
        <w:rPr>
          <w:rFonts w:ascii="Arial" w:hAnsi="Arial" w:cs="Arial"/>
        </w:rPr>
        <w:t xml:space="preserve"> the stranger</w:t>
      </w:r>
      <w:r w:rsidRPr="00F60CBE">
        <w:rPr>
          <w:rFonts w:ascii="Arial" w:hAnsi="Arial" w:cs="Arial"/>
        </w:rPr>
        <w:t xml:space="preserve"> received the assets knowing that they were traceable to a breach of trust</w:t>
      </w:r>
      <w:r>
        <w:rPr>
          <w:rFonts w:ascii="Arial" w:hAnsi="Arial" w:cs="Arial"/>
        </w:rPr>
        <w:t xml:space="preserve"> or fiduciary duty, they become liable from receipt.</w:t>
      </w:r>
      <w:r w:rsidRPr="00F60CBE">
        <w:rPr>
          <w:rFonts w:ascii="Arial" w:hAnsi="Arial" w:cs="Arial"/>
        </w:rPr>
        <w:t xml:space="preserve"> </w:t>
      </w:r>
    </w:p>
    <w:p w14:paraId="4189652C" w14:textId="053F2424" w:rsidR="00B54981" w:rsidRDefault="00B54981" w:rsidP="00B54981">
      <w:pPr>
        <w:pStyle w:val="ListParagraph"/>
        <w:numPr>
          <w:ilvl w:val="0"/>
          <w:numId w:val="3"/>
        </w:numPr>
        <w:spacing w:line="480" w:lineRule="auto"/>
        <w:jc w:val="both"/>
        <w:rPr>
          <w:rFonts w:ascii="Arial" w:hAnsi="Arial" w:cs="Arial"/>
        </w:rPr>
      </w:pPr>
      <w:r>
        <w:rPr>
          <w:rFonts w:ascii="Arial" w:hAnsi="Arial" w:cs="Arial"/>
        </w:rPr>
        <w:t>W</w:t>
      </w:r>
      <w:r w:rsidRPr="00F60CBE">
        <w:rPr>
          <w:rFonts w:ascii="Arial" w:hAnsi="Arial" w:cs="Arial"/>
        </w:rPr>
        <w:t xml:space="preserve">here, although </w:t>
      </w:r>
      <w:r>
        <w:rPr>
          <w:rFonts w:ascii="Arial" w:hAnsi="Arial" w:cs="Arial"/>
        </w:rPr>
        <w:t xml:space="preserve">the stranger </w:t>
      </w:r>
      <w:r w:rsidRPr="00F60CBE">
        <w:rPr>
          <w:rFonts w:ascii="Arial" w:hAnsi="Arial" w:cs="Arial"/>
        </w:rPr>
        <w:t xml:space="preserve">did not know at the time of receipt that the assets were traceable to a breach, </w:t>
      </w:r>
      <w:r w:rsidR="00684C27">
        <w:rPr>
          <w:rFonts w:ascii="Arial" w:hAnsi="Arial" w:cs="Arial"/>
        </w:rPr>
        <w:t>they</w:t>
      </w:r>
      <w:r>
        <w:rPr>
          <w:rFonts w:ascii="Arial" w:hAnsi="Arial" w:cs="Arial"/>
        </w:rPr>
        <w:t xml:space="preserve"> </w:t>
      </w:r>
      <w:r w:rsidRPr="00F60CBE">
        <w:rPr>
          <w:rFonts w:ascii="Arial" w:hAnsi="Arial" w:cs="Arial"/>
        </w:rPr>
        <w:t xml:space="preserve">subsequently </w:t>
      </w:r>
      <w:r>
        <w:rPr>
          <w:rFonts w:ascii="Arial" w:hAnsi="Arial" w:cs="Arial"/>
        </w:rPr>
        <w:t>bec</w:t>
      </w:r>
      <w:r w:rsidR="00E933A5">
        <w:rPr>
          <w:rFonts w:ascii="Arial" w:hAnsi="Arial" w:cs="Arial"/>
        </w:rPr>
        <w:t>a</w:t>
      </w:r>
      <w:r>
        <w:rPr>
          <w:rFonts w:ascii="Arial" w:hAnsi="Arial" w:cs="Arial"/>
        </w:rPr>
        <w:t xml:space="preserve">me aware of the breach and then </w:t>
      </w:r>
      <w:r w:rsidR="00E933A5">
        <w:rPr>
          <w:rFonts w:ascii="Arial" w:hAnsi="Arial" w:cs="Arial"/>
        </w:rPr>
        <w:t xml:space="preserve">retained or </w:t>
      </w:r>
      <w:r w:rsidRPr="00F60CBE">
        <w:rPr>
          <w:rFonts w:ascii="Arial" w:hAnsi="Arial" w:cs="Arial"/>
        </w:rPr>
        <w:t>dealt with the</w:t>
      </w:r>
      <w:r w:rsidR="00E933A5">
        <w:rPr>
          <w:rFonts w:ascii="Arial" w:hAnsi="Arial" w:cs="Arial"/>
        </w:rPr>
        <w:t xml:space="preserve"> assets</w:t>
      </w:r>
      <w:r w:rsidRPr="00F60CBE">
        <w:rPr>
          <w:rFonts w:ascii="Arial" w:hAnsi="Arial" w:cs="Arial"/>
        </w:rPr>
        <w:t xml:space="preserve"> in a manner inconsistent with the trust</w:t>
      </w:r>
      <w:r>
        <w:rPr>
          <w:rFonts w:ascii="Arial" w:hAnsi="Arial" w:cs="Arial"/>
        </w:rPr>
        <w:t xml:space="preserve"> or fiduciary duty, they become liable from the point at which they became aware.</w:t>
      </w:r>
    </w:p>
    <w:p w14:paraId="4EFB1B1B" w14:textId="77777777" w:rsidR="00B54981" w:rsidRDefault="00B54981" w:rsidP="00B54981">
      <w:pPr>
        <w:spacing w:line="480" w:lineRule="auto"/>
        <w:jc w:val="both"/>
        <w:rPr>
          <w:rFonts w:ascii="Arial" w:hAnsi="Arial" w:cs="Arial"/>
        </w:rPr>
      </w:pPr>
      <w:r>
        <w:rPr>
          <w:rFonts w:ascii="Arial" w:hAnsi="Arial" w:cs="Arial"/>
        </w:rPr>
        <w:t xml:space="preserve">It goes without saying that where a stranger never becomes aware of the breach, they do not incur liability for knowing receipt. </w:t>
      </w:r>
    </w:p>
    <w:p w14:paraId="124BB7A6" w14:textId="77777777" w:rsidR="00B54981" w:rsidRPr="00F85164" w:rsidRDefault="00B54981" w:rsidP="00B54981">
      <w:pPr>
        <w:spacing w:line="480" w:lineRule="auto"/>
        <w:jc w:val="both"/>
        <w:rPr>
          <w:rFonts w:ascii="Arial" w:hAnsi="Arial" w:cs="Arial"/>
        </w:rPr>
      </w:pPr>
      <w:r w:rsidRPr="00F85164">
        <w:rPr>
          <w:rFonts w:ascii="Arial" w:hAnsi="Arial" w:cs="Arial"/>
        </w:rPr>
        <w:t xml:space="preserve"> </w:t>
      </w:r>
    </w:p>
    <w:p w14:paraId="7DD110CD" w14:textId="77777777" w:rsidR="00B54981" w:rsidRPr="00F85164" w:rsidRDefault="00B54981" w:rsidP="00B54981">
      <w:pPr>
        <w:spacing w:line="480" w:lineRule="auto"/>
        <w:jc w:val="both"/>
        <w:rPr>
          <w:rFonts w:ascii="Arial" w:hAnsi="Arial" w:cs="Arial"/>
        </w:rPr>
      </w:pPr>
      <w:r w:rsidRPr="00F85164">
        <w:rPr>
          <w:rFonts w:ascii="Arial" w:hAnsi="Arial" w:cs="Arial"/>
        </w:rPr>
        <w:t>The meaning of knowledge</w:t>
      </w:r>
    </w:p>
    <w:p w14:paraId="587E7CD6" w14:textId="19DFBA82" w:rsidR="00B54981" w:rsidRPr="00916FB1" w:rsidRDefault="426A650D" w:rsidP="00B54981">
      <w:pPr>
        <w:spacing w:line="480" w:lineRule="auto"/>
        <w:jc w:val="both"/>
        <w:rPr>
          <w:rFonts w:ascii="Arial" w:hAnsi="Arial" w:cs="Arial"/>
        </w:rPr>
      </w:pPr>
      <w:r w:rsidRPr="426A650D">
        <w:rPr>
          <w:rFonts w:ascii="Arial" w:hAnsi="Arial" w:cs="Arial"/>
        </w:rPr>
        <w:t xml:space="preserve">Before we get into the meaning of knowledge, we need to note that knowledge in the context of knowing receipt is – at least in principle – distinct from notice in the context of determining whether a party is a BFPFVWN, or equity’s darling. The former determines whether a stranger is thought to be sufficiently at fault in knowing about a breach </w:t>
      </w:r>
      <w:proofErr w:type="gramStart"/>
      <w:r w:rsidRPr="426A650D">
        <w:rPr>
          <w:rFonts w:ascii="Arial" w:hAnsi="Arial" w:cs="Arial"/>
        </w:rPr>
        <w:t>so as to</w:t>
      </w:r>
      <w:proofErr w:type="gramEnd"/>
      <w:r w:rsidRPr="426A650D">
        <w:rPr>
          <w:rFonts w:ascii="Arial" w:hAnsi="Arial" w:cs="Arial"/>
        </w:rPr>
        <w:t xml:space="preserve"> make them personally liable to account for the property even after it has left their hands. The latter determines </w:t>
      </w:r>
      <w:r w:rsidRPr="426A650D">
        <w:rPr>
          <w:rFonts w:ascii="Arial" w:hAnsi="Arial" w:cs="Arial"/>
        </w:rPr>
        <w:lastRenderedPageBreak/>
        <w:t xml:space="preserve">whether a purchaser is thought to be sufficiently alerted to a breach </w:t>
      </w:r>
      <w:proofErr w:type="gramStart"/>
      <w:r w:rsidRPr="426A650D">
        <w:rPr>
          <w:rFonts w:ascii="Arial" w:hAnsi="Arial" w:cs="Arial"/>
        </w:rPr>
        <w:t>so as to</w:t>
      </w:r>
      <w:proofErr w:type="gramEnd"/>
      <w:r w:rsidRPr="426A650D">
        <w:rPr>
          <w:rFonts w:ascii="Arial" w:hAnsi="Arial" w:cs="Arial"/>
        </w:rPr>
        <w:t xml:space="preserve"> allow a proprietary claim to be brought against them. It is therefore possible that a stranger who purchased assets with notice that they were subject to a trust will not be personally liable to account as a constructive trustee even though the beneficiary would have been entitled to a proprietary remedy had the assets remained in the stranger’s hands. </w:t>
      </w:r>
    </w:p>
    <w:p w14:paraId="0787FB08" w14:textId="7163ED89" w:rsidR="00B54981" w:rsidRPr="00F85164" w:rsidRDefault="00B54981" w:rsidP="00B54981">
      <w:pPr>
        <w:spacing w:line="480" w:lineRule="auto"/>
        <w:jc w:val="both"/>
        <w:rPr>
          <w:rFonts w:ascii="Arial" w:hAnsi="Arial" w:cs="Arial"/>
        </w:rPr>
      </w:pPr>
      <w:r w:rsidRPr="00F85164">
        <w:rPr>
          <w:rFonts w:ascii="Arial" w:hAnsi="Arial" w:cs="Arial"/>
        </w:rPr>
        <w:t>Knowledge on the part of the stranger is required</w:t>
      </w:r>
      <w:r>
        <w:rPr>
          <w:rFonts w:ascii="Arial" w:hAnsi="Arial" w:cs="Arial"/>
        </w:rPr>
        <w:t>,</w:t>
      </w:r>
      <w:r w:rsidRPr="00F85164">
        <w:rPr>
          <w:rFonts w:ascii="Arial" w:hAnsi="Arial" w:cs="Arial"/>
        </w:rPr>
        <w:t xml:space="preserve"> but what are we understand as ‘knowledge’ in this context? The courts have been grappling with this for some time</w:t>
      </w:r>
      <w:r>
        <w:rPr>
          <w:rFonts w:ascii="Arial" w:hAnsi="Arial" w:cs="Arial"/>
        </w:rPr>
        <w:t>, and there is considerable uncertainty in the law. We can split this into t</w:t>
      </w:r>
      <w:r w:rsidR="00684C27">
        <w:rPr>
          <w:rFonts w:ascii="Arial" w:hAnsi="Arial" w:cs="Arial"/>
        </w:rPr>
        <w:t>hree</w:t>
      </w:r>
      <w:r w:rsidRPr="00F85164">
        <w:rPr>
          <w:rFonts w:ascii="Arial" w:hAnsi="Arial" w:cs="Arial"/>
        </w:rPr>
        <w:t xml:space="preserve"> stages of development:</w:t>
      </w:r>
    </w:p>
    <w:p w14:paraId="06B61ADB" w14:textId="77777777" w:rsidR="00B54981" w:rsidRDefault="00B54981" w:rsidP="00B54981">
      <w:pPr>
        <w:spacing w:line="480" w:lineRule="auto"/>
        <w:jc w:val="both"/>
        <w:rPr>
          <w:rFonts w:ascii="Arial" w:hAnsi="Arial" w:cs="Arial"/>
        </w:rPr>
      </w:pPr>
      <w:r>
        <w:rPr>
          <w:rFonts w:ascii="Arial" w:hAnsi="Arial" w:cs="Arial"/>
        </w:rPr>
        <w:t xml:space="preserve">i) </w:t>
      </w:r>
      <w:r w:rsidRPr="00F85164">
        <w:rPr>
          <w:rFonts w:ascii="Arial" w:hAnsi="Arial" w:cs="Arial"/>
        </w:rPr>
        <w:t>The position pre-</w:t>
      </w:r>
      <w:r w:rsidRPr="00F85164">
        <w:rPr>
          <w:rFonts w:ascii="Arial" w:hAnsi="Arial" w:cs="Arial"/>
          <w:i/>
          <w:u w:val="single"/>
        </w:rPr>
        <w:t>Akindele</w:t>
      </w:r>
    </w:p>
    <w:p w14:paraId="1330F8D6" w14:textId="67C19951" w:rsidR="00B54981" w:rsidRDefault="00B54981" w:rsidP="00B54981">
      <w:pPr>
        <w:spacing w:line="480" w:lineRule="auto"/>
        <w:jc w:val="both"/>
        <w:rPr>
          <w:rFonts w:ascii="Arial" w:hAnsi="Arial" w:cs="Arial"/>
        </w:rPr>
      </w:pPr>
      <w:r>
        <w:rPr>
          <w:rFonts w:ascii="Arial" w:hAnsi="Arial" w:cs="Arial"/>
        </w:rPr>
        <w:t xml:space="preserve">ii) </w:t>
      </w:r>
      <w:r w:rsidRPr="00F85164">
        <w:rPr>
          <w:rFonts w:ascii="Arial" w:hAnsi="Arial" w:cs="Arial"/>
          <w:i/>
          <w:u w:val="single"/>
        </w:rPr>
        <w:t>Akindele</w:t>
      </w:r>
      <w:r>
        <w:rPr>
          <w:rFonts w:ascii="Arial" w:hAnsi="Arial" w:cs="Arial"/>
        </w:rPr>
        <w:t>: T</w:t>
      </w:r>
      <w:r w:rsidRPr="00F85164">
        <w:rPr>
          <w:rFonts w:ascii="Arial" w:hAnsi="Arial" w:cs="Arial"/>
        </w:rPr>
        <w:t xml:space="preserve">he move to </w:t>
      </w:r>
      <w:r w:rsidR="00CB7803">
        <w:rPr>
          <w:rFonts w:ascii="Arial" w:hAnsi="Arial" w:cs="Arial"/>
        </w:rPr>
        <w:t>Unconscionability</w:t>
      </w:r>
    </w:p>
    <w:p w14:paraId="01AE27A3" w14:textId="0AB5DC42" w:rsidR="00CB7803" w:rsidRDefault="00CB7803" w:rsidP="00B54981">
      <w:pPr>
        <w:spacing w:line="480" w:lineRule="auto"/>
        <w:jc w:val="both"/>
        <w:rPr>
          <w:rFonts w:ascii="Arial" w:hAnsi="Arial" w:cs="Arial"/>
        </w:rPr>
      </w:pPr>
      <w:r>
        <w:rPr>
          <w:rFonts w:ascii="Arial" w:hAnsi="Arial" w:cs="Arial"/>
        </w:rPr>
        <w:t>iii) The position post-</w:t>
      </w:r>
      <w:r w:rsidRPr="00CB7803">
        <w:rPr>
          <w:rFonts w:ascii="Arial" w:hAnsi="Arial" w:cs="Arial"/>
          <w:i/>
          <w:u w:val="single"/>
        </w:rPr>
        <w:t>Akindele</w:t>
      </w:r>
    </w:p>
    <w:p w14:paraId="60F91551" w14:textId="7F04540E" w:rsidR="00B54981" w:rsidRPr="00916FB1" w:rsidRDefault="00B54981" w:rsidP="00B54981">
      <w:pPr>
        <w:spacing w:line="480" w:lineRule="auto"/>
        <w:jc w:val="both"/>
        <w:rPr>
          <w:rFonts w:ascii="Arial" w:hAnsi="Arial" w:cs="Arial"/>
        </w:rPr>
      </w:pPr>
    </w:p>
    <w:p w14:paraId="4EB39BA4" w14:textId="77777777" w:rsidR="00B54981" w:rsidRDefault="00B54981" w:rsidP="00B54981">
      <w:pPr>
        <w:spacing w:line="480" w:lineRule="auto"/>
        <w:jc w:val="both"/>
        <w:rPr>
          <w:rFonts w:ascii="Arial" w:hAnsi="Arial" w:cs="Arial"/>
        </w:rPr>
      </w:pPr>
      <w:r w:rsidRPr="002A1986">
        <w:rPr>
          <w:rFonts w:ascii="Arial" w:hAnsi="Arial" w:cs="Arial"/>
        </w:rPr>
        <w:t>i) The position pre-Akindele</w:t>
      </w:r>
    </w:p>
    <w:p w14:paraId="5B66CCE6" w14:textId="77777777" w:rsidR="00B54981" w:rsidRPr="002A1986" w:rsidRDefault="00B54981" w:rsidP="00B54981">
      <w:pPr>
        <w:spacing w:line="480" w:lineRule="auto"/>
        <w:jc w:val="both"/>
        <w:rPr>
          <w:rFonts w:ascii="Arial" w:hAnsi="Arial" w:cs="Arial"/>
        </w:rPr>
      </w:pPr>
      <w:r w:rsidRPr="002A1986">
        <w:rPr>
          <w:rFonts w:ascii="Arial" w:hAnsi="Arial" w:cs="Arial"/>
        </w:rPr>
        <w:t>The st</w:t>
      </w:r>
      <w:r>
        <w:rPr>
          <w:rFonts w:ascii="Arial" w:hAnsi="Arial" w:cs="Arial"/>
        </w:rPr>
        <w:t xml:space="preserve">arting point on the meaning of </w:t>
      </w:r>
      <w:r w:rsidRPr="002A1986">
        <w:rPr>
          <w:rFonts w:ascii="Arial" w:hAnsi="Arial" w:cs="Arial"/>
        </w:rPr>
        <w:t>knowledge</w:t>
      </w:r>
      <w:r>
        <w:rPr>
          <w:rFonts w:ascii="Arial" w:hAnsi="Arial" w:cs="Arial"/>
        </w:rPr>
        <w:t xml:space="preserve"> is</w:t>
      </w:r>
      <w:r w:rsidRPr="002A1986">
        <w:rPr>
          <w:rFonts w:ascii="Arial" w:hAnsi="Arial" w:cs="Arial"/>
        </w:rPr>
        <w:t xml:space="preserve"> the so-called ‘five degrees of knowledge’ </w:t>
      </w:r>
      <w:r>
        <w:rPr>
          <w:rFonts w:ascii="Arial" w:hAnsi="Arial" w:cs="Arial"/>
        </w:rPr>
        <w:t xml:space="preserve">as laid down by Peter Gibson J in </w:t>
      </w:r>
      <w:r w:rsidRPr="007867DD">
        <w:rPr>
          <w:rFonts w:ascii="Arial" w:hAnsi="Arial" w:cs="Arial"/>
          <w:i/>
          <w:u w:val="single"/>
        </w:rPr>
        <w:t>Baden Delvaux and Lecuit v Société Générale</w:t>
      </w:r>
      <w:r w:rsidRPr="007867DD">
        <w:rPr>
          <w:rFonts w:ascii="Arial" w:hAnsi="Arial" w:cs="Arial"/>
          <w:u w:val="single"/>
        </w:rPr>
        <w:t xml:space="preserve"> [1983] BCLC325</w:t>
      </w:r>
      <w:r w:rsidRPr="002A1986">
        <w:rPr>
          <w:rFonts w:ascii="Arial" w:hAnsi="Arial" w:cs="Arial"/>
        </w:rPr>
        <w:t>.</w:t>
      </w:r>
      <w:r>
        <w:rPr>
          <w:rFonts w:ascii="Arial" w:hAnsi="Arial" w:cs="Arial"/>
        </w:rPr>
        <w:t xml:space="preserve"> </w:t>
      </w:r>
      <w:r w:rsidRPr="00916FB1">
        <w:rPr>
          <w:rFonts w:ascii="Arial" w:hAnsi="Arial" w:cs="Arial"/>
        </w:rPr>
        <w:t xml:space="preserve">Although the case </w:t>
      </w:r>
      <w:proofErr w:type="gramStart"/>
      <w:r w:rsidRPr="00916FB1">
        <w:rPr>
          <w:rFonts w:ascii="Arial" w:hAnsi="Arial" w:cs="Arial"/>
        </w:rPr>
        <w:t>actually concerned</w:t>
      </w:r>
      <w:proofErr w:type="gramEnd"/>
      <w:r w:rsidRPr="00916FB1">
        <w:rPr>
          <w:rFonts w:ascii="Arial" w:hAnsi="Arial" w:cs="Arial"/>
        </w:rPr>
        <w:t xml:space="preserve"> knowing assistance (as dishonest assistance used to be called), Peter Gibson J made it clear that knowledge for these purposes was the same as for the purposes of knowing receipt. The five types of knowledge he set out were:</w:t>
      </w:r>
      <w:r w:rsidRPr="002A1986">
        <w:rPr>
          <w:rFonts w:ascii="Arial" w:hAnsi="Arial" w:cs="Arial"/>
        </w:rPr>
        <w:t xml:space="preserve"> </w:t>
      </w:r>
    </w:p>
    <w:p w14:paraId="11CF8A18" w14:textId="69391836" w:rsidR="00B54981" w:rsidRPr="002A1986" w:rsidRDefault="00B54981" w:rsidP="00856E00">
      <w:pPr>
        <w:spacing w:line="480" w:lineRule="auto"/>
        <w:jc w:val="both"/>
        <w:rPr>
          <w:rFonts w:ascii="Arial" w:hAnsi="Arial" w:cs="Arial"/>
        </w:rPr>
      </w:pPr>
      <w:r w:rsidRPr="002A1986">
        <w:rPr>
          <w:rFonts w:ascii="Arial" w:hAnsi="Arial" w:cs="Arial"/>
        </w:rPr>
        <w:t>(1)</w:t>
      </w:r>
      <w:r w:rsidR="00856E00">
        <w:rPr>
          <w:rFonts w:ascii="Arial" w:hAnsi="Arial" w:cs="Arial"/>
        </w:rPr>
        <w:t xml:space="preserve"> </w:t>
      </w:r>
      <w:r w:rsidRPr="002A1986">
        <w:rPr>
          <w:rFonts w:ascii="Arial" w:hAnsi="Arial" w:cs="Arial"/>
        </w:rPr>
        <w:t xml:space="preserve">Actual </w:t>
      </w:r>
      <w:proofErr w:type="gramStart"/>
      <w:r w:rsidRPr="002A1986">
        <w:rPr>
          <w:rFonts w:ascii="Arial" w:hAnsi="Arial" w:cs="Arial"/>
        </w:rPr>
        <w:t>knowledge;</w:t>
      </w:r>
      <w:proofErr w:type="gramEnd"/>
    </w:p>
    <w:p w14:paraId="61F17BD4" w14:textId="3D223B9D" w:rsidR="00B54981" w:rsidRPr="002A1986" w:rsidRDefault="00B54981" w:rsidP="00856E00">
      <w:pPr>
        <w:spacing w:line="480" w:lineRule="auto"/>
        <w:jc w:val="both"/>
        <w:rPr>
          <w:rFonts w:ascii="Arial" w:hAnsi="Arial" w:cs="Arial"/>
        </w:rPr>
      </w:pPr>
      <w:r w:rsidRPr="002A1986">
        <w:rPr>
          <w:rFonts w:ascii="Arial" w:hAnsi="Arial" w:cs="Arial"/>
        </w:rPr>
        <w:t>(2)</w:t>
      </w:r>
      <w:r w:rsidR="00856E00">
        <w:rPr>
          <w:rFonts w:ascii="Arial" w:hAnsi="Arial" w:cs="Arial"/>
        </w:rPr>
        <w:t xml:space="preserve"> </w:t>
      </w:r>
      <w:r w:rsidRPr="002A1986">
        <w:rPr>
          <w:rFonts w:ascii="Arial" w:hAnsi="Arial" w:cs="Arial"/>
        </w:rPr>
        <w:t xml:space="preserve">Wilfully shutting one's eyes to the </w:t>
      </w:r>
      <w:proofErr w:type="gramStart"/>
      <w:r w:rsidRPr="002A1986">
        <w:rPr>
          <w:rFonts w:ascii="Arial" w:hAnsi="Arial" w:cs="Arial"/>
        </w:rPr>
        <w:t>obvious;</w:t>
      </w:r>
      <w:proofErr w:type="gramEnd"/>
    </w:p>
    <w:p w14:paraId="08286E4D" w14:textId="24E71AA6" w:rsidR="00B54981" w:rsidRPr="002A1986" w:rsidRDefault="00B54981" w:rsidP="00856E00">
      <w:pPr>
        <w:spacing w:line="480" w:lineRule="auto"/>
        <w:jc w:val="both"/>
        <w:rPr>
          <w:rFonts w:ascii="Arial" w:hAnsi="Arial" w:cs="Arial"/>
        </w:rPr>
      </w:pPr>
      <w:r w:rsidRPr="002A1986">
        <w:rPr>
          <w:rFonts w:ascii="Arial" w:hAnsi="Arial" w:cs="Arial"/>
        </w:rPr>
        <w:t>(3)</w:t>
      </w:r>
      <w:r w:rsidR="00856E00">
        <w:rPr>
          <w:rFonts w:ascii="Arial" w:hAnsi="Arial" w:cs="Arial"/>
        </w:rPr>
        <w:t xml:space="preserve"> </w:t>
      </w:r>
      <w:r w:rsidRPr="002A1986">
        <w:rPr>
          <w:rFonts w:ascii="Arial" w:hAnsi="Arial" w:cs="Arial"/>
        </w:rPr>
        <w:t xml:space="preserve">Wilfully and recklessly failing to make such enquiries as an honest and reasonable man would make in the </w:t>
      </w:r>
      <w:proofErr w:type="gramStart"/>
      <w:r w:rsidRPr="002A1986">
        <w:rPr>
          <w:rFonts w:ascii="Arial" w:hAnsi="Arial" w:cs="Arial"/>
        </w:rPr>
        <w:t>circumstances;</w:t>
      </w:r>
      <w:proofErr w:type="gramEnd"/>
    </w:p>
    <w:p w14:paraId="121C443C" w14:textId="0B84A199" w:rsidR="00B54981" w:rsidRPr="002A1986" w:rsidRDefault="00B54981" w:rsidP="00856E00">
      <w:pPr>
        <w:spacing w:line="480" w:lineRule="auto"/>
        <w:jc w:val="both"/>
        <w:rPr>
          <w:rFonts w:ascii="Arial" w:hAnsi="Arial" w:cs="Arial"/>
        </w:rPr>
      </w:pPr>
      <w:r w:rsidRPr="002A1986">
        <w:rPr>
          <w:rFonts w:ascii="Arial" w:hAnsi="Arial" w:cs="Arial"/>
        </w:rPr>
        <w:t>(4)</w:t>
      </w:r>
      <w:r w:rsidR="00856E00">
        <w:rPr>
          <w:rFonts w:ascii="Arial" w:hAnsi="Arial" w:cs="Arial"/>
        </w:rPr>
        <w:t xml:space="preserve"> </w:t>
      </w:r>
      <w:r w:rsidRPr="002A1986">
        <w:rPr>
          <w:rFonts w:ascii="Arial" w:hAnsi="Arial" w:cs="Arial"/>
        </w:rPr>
        <w:t>Knowledge of circumstances which would indicate the facts to an honest and reasonable man (though not a morally or mentally obtuse defendant);</w:t>
      </w:r>
      <w:r>
        <w:rPr>
          <w:rFonts w:ascii="Arial" w:hAnsi="Arial" w:cs="Arial"/>
        </w:rPr>
        <w:t xml:space="preserve"> and</w:t>
      </w:r>
    </w:p>
    <w:p w14:paraId="6172777A" w14:textId="53A9F0DB" w:rsidR="00B54981" w:rsidRPr="002A1986" w:rsidRDefault="00B54981" w:rsidP="00856E00">
      <w:pPr>
        <w:spacing w:line="480" w:lineRule="auto"/>
        <w:jc w:val="both"/>
        <w:rPr>
          <w:rFonts w:ascii="Arial" w:hAnsi="Arial" w:cs="Arial"/>
        </w:rPr>
      </w:pPr>
      <w:r w:rsidRPr="002A1986">
        <w:rPr>
          <w:rFonts w:ascii="Arial" w:hAnsi="Arial" w:cs="Arial"/>
        </w:rPr>
        <w:lastRenderedPageBreak/>
        <w:t>(5)</w:t>
      </w:r>
      <w:r w:rsidR="00856E00">
        <w:rPr>
          <w:rFonts w:ascii="Arial" w:hAnsi="Arial" w:cs="Arial"/>
        </w:rPr>
        <w:t xml:space="preserve"> </w:t>
      </w:r>
      <w:r w:rsidRPr="002A1986">
        <w:rPr>
          <w:rFonts w:ascii="Arial" w:hAnsi="Arial" w:cs="Arial"/>
        </w:rPr>
        <w:t>Knowledge of circumstances which would put an honest and reasonable man on enquiry.</w:t>
      </w:r>
    </w:p>
    <w:p w14:paraId="677B4244" w14:textId="77777777" w:rsidR="00B54981" w:rsidRPr="00916FB1" w:rsidRDefault="00B54981" w:rsidP="00B54981">
      <w:pPr>
        <w:spacing w:line="480" w:lineRule="auto"/>
        <w:jc w:val="both"/>
        <w:rPr>
          <w:rFonts w:ascii="Arial" w:hAnsi="Arial" w:cs="Arial"/>
        </w:rPr>
      </w:pPr>
      <w:r w:rsidRPr="002A1986">
        <w:rPr>
          <w:rFonts w:ascii="Arial" w:hAnsi="Arial" w:cs="Arial"/>
        </w:rPr>
        <w:t>The difficult</w:t>
      </w:r>
      <w:r>
        <w:rPr>
          <w:rFonts w:ascii="Arial" w:hAnsi="Arial" w:cs="Arial"/>
        </w:rPr>
        <w:t>y</w:t>
      </w:r>
      <w:r w:rsidRPr="002A1986">
        <w:rPr>
          <w:rFonts w:ascii="Arial" w:hAnsi="Arial" w:cs="Arial"/>
        </w:rPr>
        <w:t xml:space="preserve"> was determining which of the five categories of knowledge would suffice for the imposition of knowing receipt liability.</w:t>
      </w:r>
      <w:r>
        <w:rPr>
          <w:rFonts w:ascii="Arial" w:hAnsi="Arial" w:cs="Arial"/>
        </w:rPr>
        <w:t xml:space="preserve"> </w:t>
      </w:r>
      <w:r w:rsidRPr="00916FB1">
        <w:rPr>
          <w:rFonts w:ascii="Arial" w:hAnsi="Arial" w:cs="Arial"/>
        </w:rPr>
        <w:t>The distinction is often said to be</w:t>
      </w:r>
      <w:r>
        <w:rPr>
          <w:rFonts w:ascii="Arial" w:hAnsi="Arial" w:cs="Arial"/>
        </w:rPr>
        <w:t xml:space="preserve"> that a person in categories (2) and (3</w:t>
      </w:r>
      <w:r w:rsidRPr="00916FB1">
        <w:rPr>
          <w:rFonts w:ascii="Arial" w:hAnsi="Arial" w:cs="Arial"/>
        </w:rPr>
        <w:t>) is taken to have actual knowledge, wh</w:t>
      </w:r>
      <w:r>
        <w:rPr>
          <w:rFonts w:ascii="Arial" w:hAnsi="Arial" w:cs="Arial"/>
        </w:rPr>
        <w:t>ereas a person in categories (4) and (5</w:t>
      </w:r>
      <w:r w:rsidRPr="00916FB1">
        <w:rPr>
          <w:rFonts w:ascii="Arial" w:hAnsi="Arial" w:cs="Arial"/>
        </w:rPr>
        <w:t>) is taken to have only constructive knowledge. The principal difficulty is in</w:t>
      </w:r>
      <w:r>
        <w:rPr>
          <w:rFonts w:ascii="Arial" w:hAnsi="Arial" w:cs="Arial"/>
        </w:rPr>
        <w:t xml:space="preserve"> deciding whether categories (4) and (5</w:t>
      </w:r>
      <w:r w:rsidRPr="00916FB1">
        <w:rPr>
          <w:rFonts w:ascii="Arial" w:hAnsi="Arial" w:cs="Arial"/>
        </w:rPr>
        <w:t xml:space="preserve">), which involve mere negligence and inadvertence rather than conscious impropriety, are sufficient to give rise to liability for knowing receipt. </w:t>
      </w:r>
    </w:p>
    <w:p w14:paraId="7EAA073C" w14:textId="77777777" w:rsidR="00B54981" w:rsidRDefault="00B54981" w:rsidP="00B54981">
      <w:pPr>
        <w:spacing w:line="480" w:lineRule="auto"/>
        <w:jc w:val="both"/>
        <w:rPr>
          <w:rFonts w:ascii="Arial" w:hAnsi="Arial" w:cs="Arial"/>
        </w:rPr>
      </w:pPr>
      <w:r>
        <w:rPr>
          <w:rFonts w:ascii="Arial" w:hAnsi="Arial" w:cs="Arial"/>
        </w:rPr>
        <w:t>While o</w:t>
      </w:r>
      <w:r w:rsidRPr="00916FB1">
        <w:rPr>
          <w:rFonts w:ascii="Arial" w:hAnsi="Arial" w:cs="Arial"/>
        </w:rPr>
        <w:t xml:space="preserve">ne line of cases </w:t>
      </w:r>
      <w:r>
        <w:rPr>
          <w:rFonts w:ascii="Arial" w:hAnsi="Arial" w:cs="Arial"/>
        </w:rPr>
        <w:t xml:space="preserve">has </w:t>
      </w:r>
      <w:r w:rsidRPr="00916FB1">
        <w:rPr>
          <w:rFonts w:ascii="Arial" w:hAnsi="Arial" w:cs="Arial"/>
        </w:rPr>
        <w:t>suggest</w:t>
      </w:r>
      <w:r>
        <w:rPr>
          <w:rFonts w:ascii="Arial" w:hAnsi="Arial" w:cs="Arial"/>
        </w:rPr>
        <w:t xml:space="preserve">ed that constructive knowledge is sufficient to give rise to </w:t>
      </w:r>
      <w:r w:rsidRPr="00916FB1">
        <w:rPr>
          <w:rFonts w:ascii="Arial" w:hAnsi="Arial" w:cs="Arial"/>
        </w:rPr>
        <w:t>liability for knowing receipt</w:t>
      </w:r>
      <w:r>
        <w:rPr>
          <w:rFonts w:ascii="Arial" w:hAnsi="Arial" w:cs="Arial"/>
        </w:rPr>
        <w:t xml:space="preserve">, another </w:t>
      </w:r>
      <w:r w:rsidRPr="00916FB1">
        <w:rPr>
          <w:rFonts w:ascii="Arial" w:hAnsi="Arial" w:cs="Arial"/>
        </w:rPr>
        <w:t xml:space="preserve">line of cases has rejected the idea that constructive knowledge is sufficient. In </w:t>
      </w:r>
      <w:r w:rsidRPr="00916FB1">
        <w:rPr>
          <w:rFonts w:ascii="Arial" w:hAnsi="Arial" w:cs="Arial"/>
          <w:i/>
          <w:u w:val="single"/>
        </w:rPr>
        <w:t>Re Montagu’s Settlement Trusts</w:t>
      </w:r>
      <w:r w:rsidRPr="00916FB1">
        <w:rPr>
          <w:rFonts w:ascii="Arial" w:hAnsi="Arial" w:cs="Arial"/>
          <w:u w:val="single"/>
        </w:rPr>
        <w:t xml:space="preserve"> [1987] Ch 264</w:t>
      </w:r>
      <w:r w:rsidRPr="00795E82">
        <w:rPr>
          <w:rFonts w:ascii="Arial" w:hAnsi="Arial" w:cs="Arial"/>
        </w:rPr>
        <w:t>,</w:t>
      </w:r>
      <w:r w:rsidRPr="00916FB1">
        <w:rPr>
          <w:rFonts w:ascii="Arial" w:hAnsi="Arial" w:cs="Arial"/>
        </w:rPr>
        <w:t xml:space="preserve"> the 10th Duke of Manchester had been entitled as a remainderman to a large collection of chattels. His father, the 9th Duke of Manchester was the life tenant. In 1923, the 10th Duke assigned his interest to trustees. The terms of the settlement were that on the death of the 9th Duke, the trustees should select such chattels as they, in their absolute discretion thought fit, for inclusion in a settlement. Those chattels would then be held on the same trusts as the lands to which the 10th Duke would become entitled on the death of the 9th Duke. Any chattels which were not selected by the trustees for inclusion in the settlement would be held for the 10th Duke absolutely. The 9th Duke died in 1947. Both the trustees and the 10th Duke’s solicitors had, by that stage, forgotten the terms of the settlement and no selection of chattels for inclusion in the settlement was made. The result was that everyone at that stage assumed that the 10th Duke was absolutely entitled to all the chattels. When the 10th Duke died in 1977, the 11th Duke sued the estate. It was clear that some of the chattels had been received by the 10th Duke in breach of trust. The main issue in the case was whether the 10th Duke had received the chattels as a constructive trustee </w:t>
      </w:r>
      <w:proofErr w:type="gramStart"/>
      <w:r w:rsidRPr="00916FB1">
        <w:rPr>
          <w:rFonts w:ascii="Arial" w:hAnsi="Arial" w:cs="Arial"/>
        </w:rPr>
        <w:t>on the basis of</w:t>
      </w:r>
      <w:proofErr w:type="gramEnd"/>
      <w:r w:rsidRPr="00916FB1">
        <w:rPr>
          <w:rFonts w:ascii="Arial" w:hAnsi="Arial" w:cs="Arial"/>
        </w:rPr>
        <w:t xml:space="preserve"> knowing receipt. Megarry VC</w:t>
      </w:r>
      <w:r>
        <w:rPr>
          <w:rFonts w:ascii="Arial" w:hAnsi="Arial" w:cs="Arial"/>
        </w:rPr>
        <w:t>, at 285,</w:t>
      </w:r>
      <w:r w:rsidRPr="00916FB1">
        <w:rPr>
          <w:rFonts w:ascii="Arial" w:hAnsi="Arial" w:cs="Arial"/>
        </w:rPr>
        <w:t xml:space="preserve"> held that the 10th Duke’s estate was not liable. In his view</w:t>
      </w:r>
      <w:r>
        <w:rPr>
          <w:rFonts w:ascii="Arial" w:hAnsi="Arial" w:cs="Arial"/>
        </w:rPr>
        <w:t>,</w:t>
      </w:r>
      <w:r w:rsidRPr="00916FB1">
        <w:rPr>
          <w:rFonts w:ascii="Arial" w:hAnsi="Arial" w:cs="Arial"/>
        </w:rPr>
        <w:t xml:space="preserve"> the claimant would have to establish a lack of probity before the defendant could be liable to account as a constructive trustee for knowing receipt</w:t>
      </w:r>
      <w:r>
        <w:rPr>
          <w:rFonts w:ascii="Arial" w:hAnsi="Arial" w:cs="Arial"/>
        </w:rPr>
        <w:t>:</w:t>
      </w:r>
    </w:p>
    <w:p w14:paraId="3B071335" w14:textId="7ACF1169" w:rsidR="00D553F6" w:rsidRDefault="00B54981" w:rsidP="00856E00">
      <w:pPr>
        <w:spacing w:line="480" w:lineRule="auto"/>
        <w:ind w:left="720"/>
        <w:jc w:val="both"/>
        <w:rPr>
          <w:rFonts w:ascii="Arial" w:hAnsi="Arial" w:cs="Arial"/>
        </w:rPr>
      </w:pPr>
      <w:r>
        <w:rPr>
          <w:rFonts w:ascii="Arial" w:hAnsi="Arial" w:cs="Arial"/>
        </w:rPr>
        <w:lastRenderedPageBreak/>
        <w:t>“</w:t>
      </w:r>
      <w:r w:rsidRPr="00795E82">
        <w:rPr>
          <w:rFonts w:ascii="Arial" w:hAnsi="Arial" w:cs="Arial"/>
        </w:rPr>
        <w:t>For this purpose, knowledge is not confined to actual knowledge, but includes at least knowledge of types (ii) and (iii) in the Baden case [1983] B.C.L.C. 325, 407, i.e. actual knowledge that would have been acquired but for shutting one's eyes to the obvious, or wilfully and recklessly failing to make such inquiries as a reasonable and honest man would make; for in such cases there is a want of probity which justifies imposing a constructive trust.</w:t>
      </w:r>
      <w:r>
        <w:rPr>
          <w:rFonts w:ascii="Arial" w:hAnsi="Arial" w:cs="Arial"/>
        </w:rPr>
        <w:t xml:space="preserve"> . . </w:t>
      </w:r>
      <w:r w:rsidRPr="00795E82">
        <w:rPr>
          <w:rFonts w:ascii="Arial" w:hAnsi="Arial" w:cs="Arial"/>
        </w:rPr>
        <w:t>Whether knowledge of the Baden types (iv) and (v) suffices for this purpose is at best doubtful; in my view, it does not, for I cannot see that the carelessness involved will normally amount to a want of probity.</w:t>
      </w:r>
      <w:r>
        <w:rPr>
          <w:rFonts w:ascii="Arial" w:hAnsi="Arial" w:cs="Arial"/>
        </w:rPr>
        <w:t xml:space="preserve">” </w:t>
      </w:r>
    </w:p>
    <w:p w14:paraId="522DE256" w14:textId="3989E97C" w:rsidR="00D553F6" w:rsidRDefault="00B54981" w:rsidP="00B54981">
      <w:pPr>
        <w:spacing w:line="480" w:lineRule="auto"/>
        <w:jc w:val="both"/>
        <w:rPr>
          <w:rFonts w:ascii="Arial" w:hAnsi="Arial" w:cs="Arial"/>
        </w:rPr>
      </w:pPr>
      <w:r w:rsidRPr="00916FB1">
        <w:rPr>
          <w:rFonts w:ascii="Arial" w:hAnsi="Arial" w:cs="Arial"/>
        </w:rPr>
        <w:t xml:space="preserve">According to Vinelott J in </w:t>
      </w:r>
      <w:r w:rsidRPr="00916FB1">
        <w:rPr>
          <w:rFonts w:ascii="Arial" w:hAnsi="Arial" w:cs="Arial"/>
          <w:i/>
          <w:u w:val="single"/>
        </w:rPr>
        <w:t>Eagle Trust plc v SBC Securities Ltd</w:t>
      </w:r>
      <w:r w:rsidRPr="00916FB1">
        <w:rPr>
          <w:rFonts w:ascii="Arial" w:hAnsi="Arial" w:cs="Arial"/>
          <w:u w:val="single"/>
        </w:rPr>
        <w:t xml:space="preserve"> [1993] 1 WLR 484</w:t>
      </w:r>
      <w:r w:rsidRPr="00060310">
        <w:rPr>
          <w:rFonts w:ascii="Arial" w:hAnsi="Arial" w:cs="Arial"/>
        </w:rPr>
        <w:t xml:space="preserve">, in commercial transactions only categories (1)-(3) of the </w:t>
      </w:r>
      <w:r w:rsidRPr="00060310">
        <w:rPr>
          <w:rFonts w:ascii="Arial" w:hAnsi="Arial" w:cs="Arial"/>
          <w:i/>
          <w:u w:val="single"/>
        </w:rPr>
        <w:t>Bade</w:t>
      </w:r>
      <w:r>
        <w:rPr>
          <w:rFonts w:ascii="Arial" w:hAnsi="Arial" w:cs="Arial"/>
        </w:rPr>
        <w:t xml:space="preserve">n knowledge </w:t>
      </w:r>
      <w:r w:rsidRPr="00060310">
        <w:rPr>
          <w:rFonts w:ascii="Arial" w:hAnsi="Arial" w:cs="Arial"/>
        </w:rPr>
        <w:t>establish liability</w:t>
      </w:r>
      <w:r>
        <w:rPr>
          <w:rFonts w:ascii="Arial" w:hAnsi="Arial" w:cs="Arial"/>
        </w:rPr>
        <w:t>, as</w:t>
      </w:r>
      <w:r w:rsidRPr="00060310">
        <w:rPr>
          <w:rFonts w:ascii="Arial" w:hAnsi="Arial" w:cs="Arial"/>
        </w:rPr>
        <w:t xml:space="preserve"> commercial and professional parties should not continually have to look over their shoulders.</w:t>
      </w:r>
      <w:r w:rsidRPr="00916FB1">
        <w:rPr>
          <w:rFonts w:ascii="Arial" w:hAnsi="Arial" w:cs="Arial"/>
        </w:rPr>
        <w:t xml:space="preserve"> Clearly</w:t>
      </w:r>
      <w:r>
        <w:rPr>
          <w:rFonts w:ascii="Arial" w:hAnsi="Arial" w:cs="Arial"/>
        </w:rPr>
        <w:t>,</w:t>
      </w:r>
      <w:r w:rsidRPr="00916FB1">
        <w:rPr>
          <w:rFonts w:ascii="Arial" w:hAnsi="Arial" w:cs="Arial"/>
        </w:rPr>
        <w:t xml:space="preserve"> this decision leaves scope for constructive knowledge to suffice in non-commercial transactions. A similar approach to the question of knowledge in the commercial context was taken in </w:t>
      </w:r>
      <w:r w:rsidRPr="00916FB1">
        <w:rPr>
          <w:rFonts w:ascii="Arial" w:hAnsi="Arial" w:cs="Arial"/>
          <w:i/>
          <w:u w:val="single"/>
        </w:rPr>
        <w:t xml:space="preserve">Cowan de Groot Properties v Eagle Trust </w:t>
      </w:r>
      <w:r w:rsidRPr="00916FB1">
        <w:rPr>
          <w:rFonts w:ascii="Arial" w:hAnsi="Arial" w:cs="Arial"/>
          <w:u w:val="single"/>
        </w:rPr>
        <w:t>[1991] BCLC 1045.</w:t>
      </w:r>
    </w:p>
    <w:p w14:paraId="1D06771E" w14:textId="74DBE167" w:rsidR="00D553F6" w:rsidRDefault="00B54981" w:rsidP="00B54981">
      <w:pPr>
        <w:spacing w:line="480" w:lineRule="auto"/>
        <w:jc w:val="both"/>
        <w:rPr>
          <w:rFonts w:ascii="Arial" w:hAnsi="Arial" w:cs="Arial"/>
        </w:rPr>
      </w:pPr>
      <w:r w:rsidRPr="5F61FB7D">
        <w:rPr>
          <w:rFonts w:ascii="Arial" w:hAnsi="Arial" w:cs="Arial"/>
        </w:rPr>
        <w:t xml:space="preserve">In </w:t>
      </w:r>
      <w:r w:rsidRPr="5F61FB7D">
        <w:rPr>
          <w:rFonts w:ascii="Arial" w:hAnsi="Arial" w:cs="Arial"/>
          <w:i/>
          <w:iCs/>
          <w:u w:val="single"/>
        </w:rPr>
        <w:t>Polly Peck International plc v Nadir (No 2)</w:t>
      </w:r>
      <w:r w:rsidRPr="5F61FB7D">
        <w:rPr>
          <w:rFonts w:ascii="Arial" w:hAnsi="Arial" w:cs="Arial"/>
          <w:u w:val="single"/>
        </w:rPr>
        <w:t xml:space="preserve"> [1992] 4 All ER 769</w:t>
      </w:r>
      <w:r w:rsidRPr="5F61FB7D">
        <w:rPr>
          <w:rFonts w:ascii="Arial" w:hAnsi="Arial" w:cs="Arial"/>
        </w:rPr>
        <w:t>, Scott</w:t>
      </w:r>
      <w:r w:rsidR="00881216">
        <w:rPr>
          <w:rFonts w:ascii="Arial" w:hAnsi="Arial" w:cs="Arial"/>
        </w:rPr>
        <w:t xml:space="preserve"> LJ</w:t>
      </w:r>
      <w:r w:rsidRPr="5F61FB7D">
        <w:rPr>
          <w:rFonts w:ascii="Arial" w:hAnsi="Arial" w:cs="Arial"/>
        </w:rPr>
        <w:t xml:space="preserve">, at 777, warned that “the various categories of mental state identified in Baden's case are not rigid categories with clear and precise boundaries. One category may merge imperceptibly into another.” He said that the real question is whether the transaction should have raised a suspicion that it was associated with a breach. This approach was endorsed by Millet J in </w:t>
      </w:r>
      <w:r w:rsidRPr="5F61FB7D">
        <w:rPr>
          <w:rFonts w:ascii="Arial" w:hAnsi="Arial" w:cs="Arial"/>
          <w:i/>
          <w:iCs/>
          <w:u w:val="single"/>
        </w:rPr>
        <w:t>El Ajou</w:t>
      </w:r>
      <w:r w:rsidRPr="5F61FB7D">
        <w:rPr>
          <w:rFonts w:ascii="Arial" w:hAnsi="Arial" w:cs="Arial"/>
        </w:rPr>
        <w:t>, who added that the test of whether the transaction should have raised a suspicion is whether it would have done so for an honest and reasonable person.</w:t>
      </w:r>
    </w:p>
    <w:p w14:paraId="1B010E65" w14:textId="32631ACA" w:rsidR="00B54981" w:rsidRDefault="00B54981" w:rsidP="00B54981">
      <w:pPr>
        <w:spacing w:line="480" w:lineRule="auto"/>
        <w:jc w:val="both"/>
        <w:rPr>
          <w:rFonts w:ascii="Arial" w:hAnsi="Arial" w:cs="Arial"/>
        </w:rPr>
      </w:pPr>
      <w:r w:rsidRPr="5F61FB7D">
        <w:rPr>
          <w:rFonts w:ascii="Arial" w:hAnsi="Arial" w:cs="Arial"/>
        </w:rPr>
        <w:t>Some judges and writers have argued that liability for receipt of property in breach of fiduciary duty should be strict, subject to the change of position defence. This would bring equity in line with the common law but would be incompatible with unconscionability as a basis for liability (see below).</w:t>
      </w:r>
    </w:p>
    <w:p w14:paraId="12920678" w14:textId="77777777" w:rsidR="00B54981" w:rsidRDefault="00B54981" w:rsidP="00B54981">
      <w:pPr>
        <w:spacing w:line="480" w:lineRule="auto"/>
        <w:jc w:val="both"/>
        <w:rPr>
          <w:rFonts w:ascii="Arial" w:hAnsi="Arial" w:cs="Arial"/>
        </w:rPr>
      </w:pPr>
    </w:p>
    <w:p w14:paraId="070EF1E7" w14:textId="77777777" w:rsidR="00B54981" w:rsidRDefault="00B54981" w:rsidP="00B54981">
      <w:pPr>
        <w:spacing w:line="480" w:lineRule="auto"/>
        <w:jc w:val="both"/>
        <w:rPr>
          <w:rFonts w:ascii="Arial" w:hAnsi="Arial" w:cs="Arial"/>
        </w:rPr>
      </w:pPr>
      <w:r>
        <w:rPr>
          <w:rFonts w:ascii="Arial" w:hAnsi="Arial" w:cs="Arial"/>
        </w:rPr>
        <w:lastRenderedPageBreak/>
        <w:t xml:space="preserve">ii) </w:t>
      </w:r>
      <w:r w:rsidRPr="00F85164">
        <w:rPr>
          <w:rFonts w:ascii="Arial" w:hAnsi="Arial" w:cs="Arial"/>
          <w:i/>
          <w:u w:val="single"/>
        </w:rPr>
        <w:t>Akindele</w:t>
      </w:r>
      <w:r>
        <w:rPr>
          <w:rFonts w:ascii="Arial" w:hAnsi="Arial" w:cs="Arial"/>
        </w:rPr>
        <w:t>: T</w:t>
      </w:r>
      <w:r w:rsidRPr="00F85164">
        <w:rPr>
          <w:rFonts w:ascii="Arial" w:hAnsi="Arial" w:cs="Arial"/>
        </w:rPr>
        <w:t xml:space="preserve">he move to </w:t>
      </w:r>
      <w:r>
        <w:rPr>
          <w:rFonts w:ascii="Arial" w:hAnsi="Arial" w:cs="Arial"/>
        </w:rPr>
        <w:t>Unconscionability</w:t>
      </w:r>
    </w:p>
    <w:p w14:paraId="6362E942" w14:textId="77777777" w:rsidR="00B54981" w:rsidRDefault="00B54981" w:rsidP="00B54981">
      <w:pPr>
        <w:spacing w:line="480" w:lineRule="auto"/>
        <w:jc w:val="both"/>
        <w:rPr>
          <w:rFonts w:ascii="Arial" w:hAnsi="Arial" w:cs="Arial"/>
        </w:rPr>
      </w:pPr>
      <w:r w:rsidRPr="00841D12">
        <w:rPr>
          <w:rFonts w:ascii="Arial" w:hAnsi="Arial" w:cs="Arial"/>
        </w:rPr>
        <w:t xml:space="preserve">A new approach to the meaning of knowledge was advanced by Nourse LJ in </w:t>
      </w:r>
      <w:r w:rsidRPr="00916FB1">
        <w:rPr>
          <w:rFonts w:ascii="Arial" w:hAnsi="Arial" w:cs="Arial"/>
          <w:i/>
          <w:u w:val="single"/>
        </w:rPr>
        <w:t>BCCI v Akindele</w:t>
      </w:r>
      <w:r w:rsidRPr="00916FB1">
        <w:rPr>
          <w:rFonts w:ascii="Arial" w:hAnsi="Arial" w:cs="Arial"/>
          <w:u w:val="single"/>
        </w:rPr>
        <w:t xml:space="preserve"> [2001] Ch 437</w:t>
      </w:r>
      <w:r w:rsidRPr="00841D12">
        <w:rPr>
          <w:rFonts w:ascii="Arial" w:hAnsi="Arial" w:cs="Arial"/>
        </w:rPr>
        <w:t>, which has recast the law on knowing receipt by focusing on unconscionability.</w:t>
      </w:r>
    </w:p>
    <w:p w14:paraId="649B679C" w14:textId="77777777" w:rsidR="00B54981" w:rsidRPr="00916FB1" w:rsidRDefault="00B54981" w:rsidP="00B54981">
      <w:pPr>
        <w:spacing w:line="480" w:lineRule="auto"/>
        <w:jc w:val="both"/>
        <w:rPr>
          <w:rFonts w:ascii="Arial" w:hAnsi="Arial" w:cs="Arial"/>
        </w:rPr>
      </w:pPr>
      <w:r w:rsidRPr="00916FB1">
        <w:rPr>
          <w:rFonts w:ascii="Arial" w:hAnsi="Arial" w:cs="Arial"/>
        </w:rPr>
        <w:t>Mr Akindele was a wealthy Nigerian businessman who in 1985 entered into an agreement with ICIC, a wholly owned subsidiary of BCCI. The terms of the agreement were that Mr Akindele was to invest $10m in the purchase of shares in BCCI Holdings, another company in the BCCI group. The agreement provided that if Mr Akindele wished to sell the shares after two years, ICIC would arrange a sale at a price that would give him a 15% return on his investment. Although share transfer forms were executed, Mr Akindele never took legal title to the shares. From his perspective all he was interested in was obtaining an excellent rate of return in the investments. He never intended to become a shareholder in BCCI holdings. At the end of 1988 he terminated the agreement and received a payment of $16.679m. From BCCI group’s perspective</w:t>
      </w:r>
      <w:r>
        <w:rPr>
          <w:rFonts w:ascii="Arial" w:hAnsi="Arial" w:cs="Arial"/>
        </w:rPr>
        <w:t>.</w:t>
      </w:r>
      <w:r w:rsidRPr="00916FB1">
        <w:rPr>
          <w:rFonts w:ascii="Arial" w:hAnsi="Arial" w:cs="Arial"/>
        </w:rPr>
        <w:t xml:space="preserve"> Mr Akindele’s $10m investment was to be used in pursuance of a fraudulent plan devised by BCCI’s management to hide its liquidity problems from regulators, the public and depositors. However, Mr Akindele had no knowledge of this fact. A claim was subsequently brought by the liquidators to recover the $6.679m. It was alleged that this sum was held by Mr Akindele on constructive trust as he had knowingly received property traceable to the breach of the fiduciary duty of the BCCI management. </w:t>
      </w:r>
    </w:p>
    <w:p w14:paraId="38E2B552" w14:textId="77777777" w:rsidR="00B54981" w:rsidRPr="00916FB1" w:rsidRDefault="00B54981" w:rsidP="00B54981">
      <w:pPr>
        <w:spacing w:line="480" w:lineRule="auto"/>
        <w:jc w:val="both"/>
        <w:rPr>
          <w:rFonts w:ascii="Arial" w:hAnsi="Arial" w:cs="Arial"/>
        </w:rPr>
      </w:pPr>
      <w:r w:rsidRPr="00916FB1">
        <w:rPr>
          <w:rFonts w:ascii="Arial" w:hAnsi="Arial" w:cs="Arial"/>
        </w:rPr>
        <w:t xml:space="preserve">At first instance, counsel for the claimants had accepted (for the purposes of the first instance hearing) that to establish liability, the recipient’s state of knowledge must fall within one of the first three </w:t>
      </w:r>
      <w:r w:rsidRPr="00916FB1">
        <w:rPr>
          <w:rFonts w:ascii="Arial" w:hAnsi="Arial" w:cs="Arial"/>
          <w:i/>
          <w:u w:val="single"/>
        </w:rPr>
        <w:t>Baden</w:t>
      </w:r>
      <w:r w:rsidRPr="00916FB1">
        <w:rPr>
          <w:rFonts w:ascii="Arial" w:hAnsi="Arial" w:cs="Arial"/>
        </w:rPr>
        <w:t xml:space="preserve"> categories and Carnwath J proceeded on the basis that knowing assistance required dishonesty. On the facts</w:t>
      </w:r>
      <w:r>
        <w:rPr>
          <w:rFonts w:ascii="Arial" w:hAnsi="Arial" w:cs="Arial"/>
        </w:rPr>
        <w:t>,</w:t>
      </w:r>
      <w:r w:rsidRPr="00916FB1">
        <w:rPr>
          <w:rFonts w:ascii="Arial" w:hAnsi="Arial" w:cs="Arial"/>
        </w:rPr>
        <w:t xml:space="preserve"> he found that there had been no dishonesty on Mr Akindele’s part. In his view, although the agreement was artificial and the rate of interest high, Mr Akindele was entitled to assume that a reputable bank such as BCCI had offered him an agreement on these terms in good faith and for proper reasons. As far as his termination of the agreement in 1988 was concerned, Carnwath J accepted that by that stage, Mr Akindele </w:t>
      </w:r>
      <w:r w:rsidRPr="00916FB1">
        <w:rPr>
          <w:rFonts w:ascii="Arial" w:hAnsi="Arial" w:cs="Arial"/>
        </w:rPr>
        <w:lastRenderedPageBreak/>
        <w:t xml:space="preserve">had suspicions about the conduct of BCCI’s affairs. He concluded, however that Mr Akindele had been entitled to take steps to protect his interests. </w:t>
      </w:r>
    </w:p>
    <w:p w14:paraId="6C52E8F9" w14:textId="7A6CA208" w:rsidR="00B54981" w:rsidRPr="00916FB1" w:rsidRDefault="00B54981" w:rsidP="00B54981">
      <w:pPr>
        <w:spacing w:line="480" w:lineRule="auto"/>
        <w:jc w:val="both"/>
        <w:rPr>
          <w:rFonts w:ascii="Arial" w:hAnsi="Arial" w:cs="Arial"/>
        </w:rPr>
      </w:pPr>
      <w:r w:rsidRPr="00916FB1">
        <w:rPr>
          <w:rFonts w:ascii="Arial" w:hAnsi="Arial" w:cs="Arial"/>
        </w:rPr>
        <w:t>When the case went up to the Court of Appeal, Nourse</w:t>
      </w:r>
      <w:r w:rsidR="00881216">
        <w:rPr>
          <w:rFonts w:ascii="Arial" w:hAnsi="Arial" w:cs="Arial"/>
        </w:rPr>
        <w:t xml:space="preserve"> LJ</w:t>
      </w:r>
      <w:r w:rsidRPr="00916FB1">
        <w:rPr>
          <w:rFonts w:ascii="Arial" w:hAnsi="Arial" w:cs="Arial"/>
        </w:rPr>
        <w:t xml:space="preserve"> explained that there were two closely related but distinct issues which had to be determined, namely what in this context was meant by knowledge and whether it was necessary for the recipient to have acted dishonestly. On the question of dishonesty, </w:t>
      </w:r>
      <w:r>
        <w:rPr>
          <w:rFonts w:ascii="Arial" w:hAnsi="Arial" w:cs="Arial"/>
        </w:rPr>
        <w:t>he</w:t>
      </w:r>
      <w:r w:rsidRPr="00916FB1">
        <w:rPr>
          <w:rFonts w:ascii="Arial" w:hAnsi="Arial" w:cs="Arial"/>
        </w:rPr>
        <w:t xml:space="preserve"> concluded that dishonesty was not a necessary ingredient o</w:t>
      </w:r>
      <w:r>
        <w:rPr>
          <w:rFonts w:ascii="Arial" w:hAnsi="Arial" w:cs="Arial"/>
        </w:rPr>
        <w:t xml:space="preserve">f liability for knowing receipt. </w:t>
      </w:r>
      <w:r w:rsidRPr="00916FB1">
        <w:rPr>
          <w:rFonts w:ascii="Arial" w:hAnsi="Arial" w:cs="Arial"/>
        </w:rPr>
        <w:t>On the issue of k</w:t>
      </w:r>
      <w:r>
        <w:rPr>
          <w:rFonts w:ascii="Arial" w:hAnsi="Arial" w:cs="Arial"/>
        </w:rPr>
        <w:t>nowledge, Nourse</w:t>
      </w:r>
      <w:r w:rsidR="00881216">
        <w:rPr>
          <w:rFonts w:ascii="Arial" w:hAnsi="Arial" w:cs="Arial"/>
        </w:rPr>
        <w:t xml:space="preserve"> LJ</w:t>
      </w:r>
      <w:r>
        <w:rPr>
          <w:rFonts w:ascii="Arial" w:hAnsi="Arial" w:cs="Arial"/>
        </w:rPr>
        <w:t>, at 455,</w:t>
      </w:r>
      <w:r w:rsidRPr="00916FB1">
        <w:rPr>
          <w:rFonts w:ascii="Arial" w:hAnsi="Arial" w:cs="Arial"/>
        </w:rPr>
        <w:t xml:space="preserve"> explained that there was a single test of knowledge for knowing receipt. That was a</w:t>
      </w:r>
      <w:r>
        <w:rPr>
          <w:rFonts w:ascii="Arial" w:hAnsi="Arial" w:cs="Arial"/>
        </w:rPr>
        <w:t xml:space="preserve"> test of unconscionability: “T</w:t>
      </w:r>
      <w:r w:rsidRPr="00916FB1">
        <w:rPr>
          <w:rFonts w:ascii="Arial" w:hAnsi="Arial" w:cs="Arial"/>
        </w:rPr>
        <w:t>here is no need for categorisation. All that is necessary is that the recipient's state of knowledge should be such as to make it unconscionable for him to retain the benefit of the receipt.” Nourse</w:t>
      </w:r>
      <w:r w:rsidR="00881216">
        <w:rPr>
          <w:rFonts w:ascii="Arial" w:hAnsi="Arial" w:cs="Arial"/>
        </w:rPr>
        <w:t xml:space="preserve"> LJ</w:t>
      </w:r>
      <w:r w:rsidRPr="00916FB1">
        <w:rPr>
          <w:rFonts w:ascii="Arial" w:hAnsi="Arial" w:cs="Arial"/>
        </w:rPr>
        <w:t xml:space="preserve"> concluded that although Carnwath J’s findings of fact had been made </w:t>
      </w:r>
      <w:proofErr w:type="gramStart"/>
      <w:r w:rsidRPr="00916FB1">
        <w:rPr>
          <w:rFonts w:ascii="Arial" w:hAnsi="Arial" w:cs="Arial"/>
        </w:rPr>
        <w:t>in the course of</w:t>
      </w:r>
      <w:proofErr w:type="gramEnd"/>
      <w:r w:rsidRPr="00916FB1">
        <w:rPr>
          <w:rFonts w:ascii="Arial" w:hAnsi="Arial" w:cs="Arial"/>
        </w:rPr>
        <w:t xml:space="preserve"> an inquiry as to Mr Akindele’s honesty, they supported the conclusion that his knowledge was not such as to make it unconscionable for him to retain the benefit of the receipt of the $6.679m.</w:t>
      </w:r>
    </w:p>
    <w:p w14:paraId="4F7A1C3A" w14:textId="6688297A" w:rsidR="00D553F6" w:rsidRDefault="00D553F6" w:rsidP="00B54981">
      <w:pPr>
        <w:spacing w:line="480" w:lineRule="auto"/>
        <w:jc w:val="both"/>
        <w:rPr>
          <w:rFonts w:ascii="Arial" w:hAnsi="Arial" w:cs="Arial"/>
        </w:rPr>
      </w:pPr>
    </w:p>
    <w:p w14:paraId="704E04DA" w14:textId="77777777" w:rsidR="00CB7803" w:rsidRDefault="00CB7803" w:rsidP="00CB7803">
      <w:pPr>
        <w:spacing w:line="480" w:lineRule="auto"/>
        <w:jc w:val="both"/>
        <w:rPr>
          <w:rFonts w:ascii="Arial" w:hAnsi="Arial" w:cs="Arial"/>
        </w:rPr>
      </w:pPr>
      <w:r>
        <w:rPr>
          <w:rFonts w:ascii="Arial" w:hAnsi="Arial" w:cs="Arial"/>
        </w:rPr>
        <w:t>iii) The position post-</w:t>
      </w:r>
      <w:r w:rsidRPr="00CB7803">
        <w:rPr>
          <w:rFonts w:ascii="Arial" w:hAnsi="Arial" w:cs="Arial"/>
          <w:i/>
          <w:u w:val="single"/>
        </w:rPr>
        <w:t>Akindele</w:t>
      </w:r>
    </w:p>
    <w:p w14:paraId="547C12E8" w14:textId="77777777" w:rsidR="0060198B" w:rsidRDefault="00CB7803" w:rsidP="00D868A0">
      <w:pPr>
        <w:spacing w:line="480" w:lineRule="auto"/>
        <w:jc w:val="both"/>
        <w:rPr>
          <w:rFonts w:ascii="Arial" w:hAnsi="Arial" w:cs="Arial"/>
        </w:rPr>
      </w:pPr>
      <w:r w:rsidRPr="00CB7803">
        <w:rPr>
          <w:rFonts w:ascii="Arial" w:hAnsi="Arial" w:cs="Arial"/>
          <w:i/>
          <w:u w:val="single"/>
        </w:rPr>
        <w:t>Akindele</w:t>
      </w:r>
      <w:r>
        <w:rPr>
          <w:rFonts w:ascii="Arial" w:hAnsi="Arial" w:cs="Arial"/>
        </w:rPr>
        <w:t xml:space="preserve"> established that t</w:t>
      </w:r>
      <w:r w:rsidR="00B54981" w:rsidRPr="5F61FB7D">
        <w:rPr>
          <w:rFonts w:ascii="Arial" w:hAnsi="Arial" w:cs="Arial"/>
        </w:rPr>
        <w:t xml:space="preserve">he test of knowledge for the purposes of knowing receipt liability is whether the stranger’s state of knowledge is such that it would be unconscionable for him to retain the benefit of the receipt. </w:t>
      </w:r>
      <w:r>
        <w:rPr>
          <w:rFonts w:ascii="Arial" w:hAnsi="Arial" w:cs="Arial"/>
        </w:rPr>
        <w:t>However, s</w:t>
      </w:r>
      <w:r w:rsidR="00B54981" w:rsidRPr="5F61FB7D">
        <w:rPr>
          <w:rFonts w:ascii="Arial" w:hAnsi="Arial" w:cs="Arial"/>
        </w:rPr>
        <w:t xml:space="preserve">ince </w:t>
      </w:r>
      <w:r w:rsidRPr="00CB7803">
        <w:rPr>
          <w:rFonts w:ascii="Arial" w:hAnsi="Arial" w:cs="Arial"/>
          <w:iCs/>
        </w:rPr>
        <w:t>then</w:t>
      </w:r>
      <w:r w:rsidR="00B54981" w:rsidRPr="00CB7803">
        <w:rPr>
          <w:rFonts w:ascii="Arial" w:hAnsi="Arial" w:cs="Arial"/>
        </w:rPr>
        <w:t xml:space="preserve"> </w:t>
      </w:r>
      <w:r w:rsidR="00B54981" w:rsidRPr="5F61FB7D">
        <w:rPr>
          <w:rFonts w:ascii="Arial" w:hAnsi="Arial" w:cs="Arial"/>
        </w:rPr>
        <w:t xml:space="preserve">some cases have sought to combine the </w:t>
      </w:r>
      <w:r w:rsidR="00B54981" w:rsidRPr="5F61FB7D">
        <w:rPr>
          <w:rFonts w:ascii="Arial" w:hAnsi="Arial" w:cs="Arial"/>
          <w:i/>
          <w:iCs/>
          <w:u w:val="single"/>
        </w:rPr>
        <w:t>Baden</w:t>
      </w:r>
      <w:r w:rsidR="00B54981" w:rsidRPr="5F61FB7D">
        <w:rPr>
          <w:rFonts w:ascii="Arial" w:hAnsi="Arial" w:cs="Arial"/>
        </w:rPr>
        <w:t xml:space="preserve"> categories with </w:t>
      </w:r>
      <w:r w:rsidR="00D868A0">
        <w:rPr>
          <w:rFonts w:ascii="Arial" w:hAnsi="Arial" w:cs="Arial"/>
        </w:rPr>
        <w:t>u</w:t>
      </w:r>
      <w:r>
        <w:rPr>
          <w:rFonts w:ascii="Arial" w:hAnsi="Arial" w:cs="Arial"/>
        </w:rPr>
        <w:t>nconscionability</w:t>
      </w:r>
      <w:r w:rsidR="0060198B">
        <w:rPr>
          <w:rFonts w:ascii="Arial" w:hAnsi="Arial" w:cs="Arial"/>
        </w:rPr>
        <w:t xml:space="preserve">. In </w:t>
      </w:r>
      <w:r w:rsidRPr="00D868A0">
        <w:rPr>
          <w:rFonts w:ascii="Arial" w:hAnsi="Arial" w:cs="Arial"/>
          <w:i/>
          <w:u w:val="single"/>
        </w:rPr>
        <w:t>Armstrong DLW GmbH v Winnington Networks Ltd</w:t>
      </w:r>
      <w:r w:rsidRPr="00D868A0">
        <w:rPr>
          <w:rFonts w:ascii="Arial" w:hAnsi="Arial" w:cs="Arial"/>
          <w:u w:val="single"/>
        </w:rPr>
        <w:t xml:space="preserve"> [2012] EWHC 10 (Ch)</w:t>
      </w:r>
      <w:r w:rsidR="00B54981" w:rsidRPr="5F61FB7D">
        <w:rPr>
          <w:rFonts w:ascii="Arial" w:hAnsi="Arial" w:cs="Arial"/>
        </w:rPr>
        <w:t xml:space="preserve">, </w:t>
      </w:r>
      <w:r w:rsidR="0060198B">
        <w:rPr>
          <w:rFonts w:ascii="Arial" w:hAnsi="Arial" w:cs="Arial"/>
        </w:rPr>
        <w:t xml:space="preserve">Stephen Morris QC remarked, at 193-194: </w:t>
      </w:r>
    </w:p>
    <w:p w14:paraId="1600CA0D" w14:textId="09F2C870" w:rsidR="0060198B" w:rsidRDefault="0FA7480E" w:rsidP="0060198B">
      <w:pPr>
        <w:spacing w:line="480" w:lineRule="auto"/>
        <w:ind w:left="720"/>
        <w:jc w:val="both"/>
        <w:rPr>
          <w:rFonts w:ascii="Arial" w:hAnsi="Arial" w:cs="Arial"/>
        </w:rPr>
      </w:pPr>
      <w:r w:rsidRPr="0FA7480E">
        <w:rPr>
          <w:rFonts w:ascii="Arial" w:hAnsi="Arial" w:cs="Arial"/>
        </w:rPr>
        <w:t xml:space="preserve">“In my judgment, the position, in a commercial context, can be summarised as follows: (1) Baden types (1) to (3) knowledge on the part of a defendant render receipt of trust property “unconscionable”. It is not necessary to show that the defendant realised that the transaction was “obviously” or “probably” in breach of trust or fraudulent; the possibility of impropriety or the claimant's interest is sufficient. (2) Further Baden types </w:t>
      </w:r>
      <w:r w:rsidRPr="0FA7480E">
        <w:rPr>
          <w:rFonts w:ascii="Arial" w:hAnsi="Arial" w:cs="Arial"/>
        </w:rPr>
        <w:lastRenderedPageBreak/>
        <w:t xml:space="preserve">(4) and (5) knowledge also render receipt “unconscionable” but only if, on the facts </w:t>
      </w:r>
      <w:proofErr w:type="gramStart"/>
      <w:r w:rsidRPr="0FA7480E">
        <w:rPr>
          <w:rFonts w:ascii="Arial" w:hAnsi="Arial" w:cs="Arial"/>
        </w:rPr>
        <w:t>actually known</w:t>
      </w:r>
      <w:proofErr w:type="gramEnd"/>
      <w:r w:rsidRPr="0FA7480E">
        <w:rPr>
          <w:rFonts w:ascii="Arial" w:hAnsi="Arial" w:cs="Arial"/>
        </w:rPr>
        <w:t xml:space="preserve"> to this defendant, a reasonable person would either have appreciated that the transfer was probably in breach of trust or would have made inquiries or sought advice which would have revealed the probability of the breach of trust.”</w:t>
      </w:r>
    </w:p>
    <w:p w14:paraId="024DCA5E" w14:textId="77777777" w:rsidR="000D44AD" w:rsidRDefault="000D44AD" w:rsidP="0060198B">
      <w:pPr>
        <w:spacing w:line="480" w:lineRule="auto"/>
        <w:ind w:left="720"/>
        <w:jc w:val="both"/>
        <w:rPr>
          <w:rFonts w:ascii="Arial" w:hAnsi="Arial" w:cs="Arial"/>
        </w:rPr>
      </w:pPr>
    </w:p>
    <w:p w14:paraId="62FD38EF" w14:textId="532E54BD" w:rsidR="00B54981" w:rsidRPr="00974F16" w:rsidRDefault="0FA7480E" w:rsidP="0FA7480E">
      <w:pPr>
        <w:spacing w:line="480" w:lineRule="auto"/>
        <w:jc w:val="both"/>
        <w:rPr>
          <w:rFonts w:ascii="Arial" w:hAnsi="Arial" w:cs="Arial"/>
        </w:rPr>
      </w:pPr>
      <w:r w:rsidRPr="0FA7480E">
        <w:rPr>
          <w:rFonts w:ascii="Arial" w:hAnsi="Arial" w:cs="Arial"/>
        </w:rPr>
        <w:t xml:space="preserve">Others have approved </w:t>
      </w:r>
      <w:r w:rsidRPr="0FA7480E">
        <w:rPr>
          <w:rFonts w:ascii="Arial" w:hAnsi="Arial" w:cs="Arial"/>
          <w:i/>
          <w:iCs/>
          <w:u w:val="single"/>
        </w:rPr>
        <w:t>Akindele</w:t>
      </w:r>
      <w:r w:rsidRPr="0FA7480E">
        <w:rPr>
          <w:rFonts w:ascii="Arial" w:hAnsi="Arial" w:cs="Arial"/>
        </w:rPr>
        <w:t xml:space="preserve">. Sir Terence Etherton in </w:t>
      </w:r>
      <w:r w:rsidRPr="0FA7480E">
        <w:rPr>
          <w:rFonts w:ascii="Arial" w:hAnsi="Arial" w:cs="Arial"/>
          <w:i/>
          <w:iCs/>
          <w:u w:val="single"/>
        </w:rPr>
        <w:t>Arthur v Attorney-General or the Turks and Caicos Islands</w:t>
      </w:r>
      <w:r w:rsidRPr="0FA7480E">
        <w:rPr>
          <w:rFonts w:ascii="Arial" w:hAnsi="Arial" w:cs="Arial"/>
          <w:u w:val="single"/>
        </w:rPr>
        <w:t xml:space="preserve"> [2012] UKPC 30</w:t>
      </w:r>
      <w:r w:rsidRPr="0FA7480E">
        <w:rPr>
          <w:rFonts w:ascii="Arial" w:hAnsi="Arial" w:cs="Arial"/>
        </w:rPr>
        <w:t xml:space="preserve"> thus stated, at 36: “Knowledge, in the knowing receipt sense, means not merely notice, but, in accordance with Akindele, such knowledge as to make the recipient's conduct unconscionable and to give rise to equitable fraud.” </w:t>
      </w:r>
    </w:p>
    <w:p w14:paraId="670E888A" w14:textId="6F865D57" w:rsidR="00B54981" w:rsidRPr="00974F16" w:rsidRDefault="0FA7480E" w:rsidP="00974F16">
      <w:pPr>
        <w:spacing w:line="480" w:lineRule="auto"/>
        <w:jc w:val="both"/>
        <w:rPr>
          <w:rFonts w:ascii="Arial" w:hAnsi="Arial" w:cs="Arial"/>
        </w:rPr>
      </w:pPr>
      <w:r w:rsidRPr="0FA7480E">
        <w:rPr>
          <w:rFonts w:ascii="Arial" w:hAnsi="Arial" w:cs="Arial"/>
        </w:rPr>
        <w:t>It is safe to say that the law remains unsettled in this area.</w:t>
      </w:r>
    </w:p>
    <w:p w14:paraId="4ABEDBEF" w14:textId="67C47F78" w:rsidR="00657E40" w:rsidRPr="00916FB1" w:rsidRDefault="00657E40" w:rsidP="00B54981">
      <w:pPr>
        <w:spacing w:after="0" w:line="480" w:lineRule="auto"/>
        <w:jc w:val="both"/>
        <w:rPr>
          <w:rFonts w:ascii="Arial" w:eastAsia="Times New Roman" w:hAnsi="Arial" w:cs="Arial"/>
          <w:lang w:bidi="en-US"/>
        </w:rPr>
      </w:pPr>
    </w:p>
    <w:sectPr w:rsidR="00657E40" w:rsidRPr="00916FB1" w:rsidSect="00B869B7">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48690" w14:textId="77777777" w:rsidR="005C1CBF" w:rsidRDefault="005C1CBF" w:rsidP="00177ED8">
      <w:pPr>
        <w:spacing w:after="0" w:line="240" w:lineRule="auto"/>
      </w:pPr>
      <w:r>
        <w:separator/>
      </w:r>
    </w:p>
  </w:endnote>
  <w:endnote w:type="continuationSeparator" w:id="0">
    <w:p w14:paraId="2F810AC7" w14:textId="77777777" w:rsidR="005C1CBF" w:rsidRDefault="005C1CBF"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243884"/>
      <w:docPartObj>
        <w:docPartGallery w:val="Page Numbers (Bottom of Page)"/>
        <w:docPartUnique/>
      </w:docPartObj>
    </w:sdtPr>
    <w:sdtEndPr/>
    <w:sdtContent>
      <w:sdt>
        <w:sdtPr>
          <w:id w:val="1728636285"/>
          <w:docPartObj>
            <w:docPartGallery w:val="Page Numbers (Top of Page)"/>
            <w:docPartUnique/>
          </w:docPartObj>
        </w:sdtPr>
        <w:sdtEndPr/>
        <w:sdtContent>
          <w:p w14:paraId="5F7A13DA" w14:textId="1FD19667"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0D44AD">
              <w:rPr>
                <w:rFonts w:ascii="Arial" w:hAnsi="Arial" w:cs="Arial"/>
                <w:bCs/>
                <w:noProof/>
                <w:sz w:val="20"/>
                <w:szCs w:val="20"/>
              </w:rPr>
              <w:t>11</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0D44AD">
              <w:rPr>
                <w:rFonts w:ascii="Arial" w:hAnsi="Arial" w:cs="Arial"/>
                <w:bCs/>
                <w:noProof/>
                <w:sz w:val="20"/>
                <w:szCs w:val="20"/>
              </w:rPr>
              <w:t>11</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B0882" w14:textId="77777777" w:rsidR="005C1CBF" w:rsidRDefault="005C1CBF" w:rsidP="00177ED8">
      <w:pPr>
        <w:spacing w:after="0" w:line="240" w:lineRule="auto"/>
      </w:pPr>
      <w:r>
        <w:separator/>
      </w:r>
    </w:p>
  </w:footnote>
  <w:footnote w:type="continuationSeparator" w:id="0">
    <w:p w14:paraId="4AE0ED93" w14:textId="77777777" w:rsidR="005C1CBF" w:rsidRDefault="005C1CBF"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835EA" w14:textId="315E9E3D" w:rsidR="00F82459" w:rsidRPr="00F82459" w:rsidRDefault="000350F0" w:rsidP="00F82459">
    <w:pPr>
      <w:pStyle w:val="Header"/>
      <w:jc w:val="right"/>
      <w:rPr>
        <w:rFonts w:ascii="Arial" w:hAnsi="Arial" w:cs="Arial"/>
      </w:rPr>
    </w:pPr>
    <w:r>
      <w:rPr>
        <w:rFonts w:ascii="Arial" w:hAnsi="Arial" w:cs="Arial"/>
      </w:rPr>
      <w:t xml:space="preserve">Trusts Law Week </w:t>
    </w:r>
    <w:r w:rsidR="00076D06">
      <w:rPr>
        <w:rFonts w:ascii="Arial" w:hAnsi="Arial" w:cs="Arial"/>
      </w:rPr>
      <w:t>1</w:t>
    </w:r>
    <w:r w:rsidR="00B91FFB">
      <w:rPr>
        <w:rFonts w:ascii="Arial" w:hAnsi="Arial" w:cs="Arial"/>
      </w:rPr>
      <w:t>8</w:t>
    </w:r>
  </w:p>
  <w:p w14:paraId="1DC5858A"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56FF"/>
    <w:multiLevelType w:val="hybridMultilevel"/>
    <w:tmpl w:val="59DE3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671E8"/>
    <w:multiLevelType w:val="hybridMultilevel"/>
    <w:tmpl w:val="46744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2515A0"/>
    <w:multiLevelType w:val="hybridMultilevel"/>
    <w:tmpl w:val="F65E393A"/>
    <w:lvl w:ilvl="0" w:tplc="08090011">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Aria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524427D"/>
    <w:multiLevelType w:val="hybridMultilevel"/>
    <w:tmpl w:val="F42CF792"/>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6C51C4"/>
    <w:multiLevelType w:val="hybridMultilevel"/>
    <w:tmpl w:val="4B101040"/>
    <w:lvl w:ilvl="0" w:tplc="E01064CA">
      <w:start w:val="1"/>
      <w:numFmt w:val="bullet"/>
      <w:lvlText w:val=""/>
      <w:lvlJc w:val="left"/>
      <w:pPr>
        <w:ind w:left="720" w:hanging="360"/>
      </w:pPr>
      <w:rPr>
        <w:rFonts w:ascii="Symbol" w:hAnsi="Symbol" w:hint="default"/>
      </w:rPr>
    </w:lvl>
    <w:lvl w:ilvl="1" w:tplc="07746D78">
      <w:start w:val="1"/>
      <w:numFmt w:val="bullet"/>
      <w:lvlText w:val="o"/>
      <w:lvlJc w:val="left"/>
      <w:pPr>
        <w:ind w:left="1440" w:hanging="360"/>
      </w:pPr>
      <w:rPr>
        <w:rFonts w:ascii="Courier New" w:hAnsi="Courier New" w:hint="default"/>
      </w:rPr>
    </w:lvl>
    <w:lvl w:ilvl="2" w:tplc="3710C65C">
      <w:start w:val="1"/>
      <w:numFmt w:val="bullet"/>
      <w:lvlText w:val=""/>
      <w:lvlJc w:val="left"/>
      <w:pPr>
        <w:ind w:left="2160" w:hanging="360"/>
      </w:pPr>
      <w:rPr>
        <w:rFonts w:ascii="Wingdings" w:hAnsi="Wingdings" w:hint="default"/>
      </w:rPr>
    </w:lvl>
    <w:lvl w:ilvl="3" w:tplc="61B4B1E6">
      <w:start w:val="1"/>
      <w:numFmt w:val="bullet"/>
      <w:lvlText w:val=""/>
      <w:lvlJc w:val="left"/>
      <w:pPr>
        <w:ind w:left="2880" w:hanging="360"/>
      </w:pPr>
      <w:rPr>
        <w:rFonts w:ascii="Symbol" w:hAnsi="Symbol" w:hint="default"/>
      </w:rPr>
    </w:lvl>
    <w:lvl w:ilvl="4" w:tplc="361EABD2">
      <w:start w:val="1"/>
      <w:numFmt w:val="bullet"/>
      <w:lvlText w:val="o"/>
      <w:lvlJc w:val="left"/>
      <w:pPr>
        <w:ind w:left="3600" w:hanging="360"/>
      </w:pPr>
      <w:rPr>
        <w:rFonts w:ascii="Courier New" w:hAnsi="Courier New" w:hint="default"/>
      </w:rPr>
    </w:lvl>
    <w:lvl w:ilvl="5" w:tplc="0BDEB2A4">
      <w:start w:val="1"/>
      <w:numFmt w:val="bullet"/>
      <w:lvlText w:val=""/>
      <w:lvlJc w:val="left"/>
      <w:pPr>
        <w:ind w:left="4320" w:hanging="360"/>
      </w:pPr>
      <w:rPr>
        <w:rFonts w:ascii="Wingdings" w:hAnsi="Wingdings" w:hint="default"/>
      </w:rPr>
    </w:lvl>
    <w:lvl w:ilvl="6" w:tplc="C41CFAAC">
      <w:start w:val="1"/>
      <w:numFmt w:val="bullet"/>
      <w:lvlText w:val=""/>
      <w:lvlJc w:val="left"/>
      <w:pPr>
        <w:ind w:left="5040" w:hanging="360"/>
      </w:pPr>
      <w:rPr>
        <w:rFonts w:ascii="Symbol" w:hAnsi="Symbol" w:hint="default"/>
      </w:rPr>
    </w:lvl>
    <w:lvl w:ilvl="7" w:tplc="4AAC0490">
      <w:start w:val="1"/>
      <w:numFmt w:val="bullet"/>
      <w:lvlText w:val="o"/>
      <w:lvlJc w:val="left"/>
      <w:pPr>
        <w:ind w:left="5760" w:hanging="360"/>
      </w:pPr>
      <w:rPr>
        <w:rFonts w:ascii="Courier New" w:hAnsi="Courier New" w:hint="default"/>
      </w:rPr>
    </w:lvl>
    <w:lvl w:ilvl="8" w:tplc="79E23FCE">
      <w:start w:val="1"/>
      <w:numFmt w:val="bullet"/>
      <w:lvlText w:val=""/>
      <w:lvlJc w:val="left"/>
      <w:pPr>
        <w:ind w:left="6480" w:hanging="360"/>
      </w:pPr>
      <w:rPr>
        <w:rFonts w:ascii="Wingdings" w:hAnsi="Wingdings" w:hint="default"/>
      </w:rPr>
    </w:lvl>
  </w:abstractNum>
  <w:abstractNum w:abstractNumId="5" w15:restartNumberingAfterBreak="0">
    <w:nsid w:val="1D5E57B4"/>
    <w:multiLevelType w:val="hybridMultilevel"/>
    <w:tmpl w:val="F39AE014"/>
    <w:lvl w:ilvl="0" w:tplc="F3047A7C">
      <w:start w:val="1"/>
      <w:numFmt w:val="decimal"/>
      <w:lvlText w:val="(%1)"/>
      <w:lvlJc w:val="left"/>
      <w:pPr>
        <w:ind w:left="360" w:hanging="360"/>
      </w:pPr>
      <w:rPr>
        <w:rFonts w:asciiTheme="minorHAnsi" w:eastAsia="Times New Roman" w:hAnsiTheme="minorHAnsi" w:cstheme="minorHAnsi"/>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DD6614A"/>
    <w:multiLevelType w:val="hybridMultilevel"/>
    <w:tmpl w:val="3EF811DC"/>
    <w:lvl w:ilvl="0" w:tplc="FB686F5C">
      <w:start w:val="1"/>
      <w:numFmt w:val="bullet"/>
      <w:lvlText w:val=""/>
      <w:lvlJc w:val="left"/>
      <w:pPr>
        <w:ind w:left="360" w:hanging="360"/>
      </w:pPr>
      <w:rPr>
        <w:rFonts w:ascii="Wingdings" w:hAnsi="Wingdings" w:hint="default"/>
        <w:b/>
        <w:bCs/>
        <w:color w:val="653265"/>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05045B3"/>
    <w:multiLevelType w:val="hybridMultilevel"/>
    <w:tmpl w:val="4FEC7EE2"/>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55020F"/>
    <w:multiLevelType w:val="hybridMultilevel"/>
    <w:tmpl w:val="F1640B2A"/>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BC317E6"/>
    <w:multiLevelType w:val="hybridMultilevel"/>
    <w:tmpl w:val="12406DFC"/>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28D0805"/>
    <w:multiLevelType w:val="hybridMultilevel"/>
    <w:tmpl w:val="9B3A6690"/>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3661E40"/>
    <w:multiLevelType w:val="hybridMultilevel"/>
    <w:tmpl w:val="52BC8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885E17"/>
    <w:multiLevelType w:val="hybridMultilevel"/>
    <w:tmpl w:val="E710E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80230C"/>
    <w:multiLevelType w:val="hybridMultilevel"/>
    <w:tmpl w:val="6A189C92"/>
    <w:lvl w:ilvl="0" w:tplc="0B4EF84E">
      <w:start w:val="1"/>
      <w:numFmt w:val="bullet"/>
      <w:lvlText w:val=""/>
      <w:lvlJc w:val="left"/>
      <w:pPr>
        <w:tabs>
          <w:tab w:val="num" w:pos="720"/>
        </w:tabs>
        <w:ind w:left="720" w:hanging="360"/>
      </w:pPr>
      <w:rPr>
        <w:rFonts w:ascii="Symbol" w:hAnsi="Symbol" w:hint="default"/>
        <w:sz w:val="20"/>
      </w:rPr>
    </w:lvl>
    <w:lvl w:ilvl="1" w:tplc="69E27F8E" w:tentative="1">
      <w:start w:val="1"/>
      <w:numFmt w:val="bullet"/>
      <w:lvlText w:val=""/>
      <w:lvlJc w:val="left"/>
      <w:pPr>
        <w:tabs>
          <w:tab w:val="num" w:pos="1440"/>
        </w:tabs>
        <w:ind w:left="1440" w:hanging="360"/>
      </w:pPr>
      <w:rPr>
        <w:rFonts w:ascii="Symbol" w:hAnsi="Symbol" w:hint="default"/>
        <w:sz w:val="20"/>
      </w:rPr>
    </w:lvl>
    <w:lvl w:ilvl="2" w:tplc="F0A23168" w:tentative="1">
      <w:start w:val="1"/>
      <w:numFmt w:val="bullet"/>
      <w:lvlText w:val=""/>
      <w:lvlJc w:val="left"/>
      <w:pPr>
        <w:tabs>
          <w:tab w:val="num" w:pos="2160"/>
        </w:tabs>
        <w:ind w:left="2160" w:hanging="360"/>
      </w:pPr>
      <w:rPr>
        <w:rFonts w:ascii="Symbol" w:hAnsi="Symbol" w:hint="default"/>
        <w:sz w:val="20"/>
      </w:rPr>
    </w:lvl>
    <w:lvl w:ilvl="3" w:tplc="CA9A09A4" w:tentative="1">
      <w:start w:val="1"/>
      <w:numFmt w:val="bullet"/>
      <w:lvlText w:val=""/>
      <w:lvlJc w:val="left"/>
      <w:pPr>
        <w:tabs>
          <w:tab w:val="num" w:pos="2880"/>
        </w:tabs>
        <w:ind w:left="2880" w:hanging="360"/>
      </w:pPr>
      <w:rPr>
        <w:rFonts w:ascii="Symbol" w:hAnsi="Symbol" w:hint="default"/>
        <w:sz w:val="20"/>
      </w:rPr>
    </w:lvl>
    <w:lvl w:ilvl="4" w:tplc="5D2CD450" w:tentative="1">
      <w:start w:val="1"/>
      <w:numFmt w:val="bullet"/>
      <w:lvlText w:val=""/>
      <w:lvlJc w:val="left"/>
      <w:pPr>
        <w:tabs>
          <w:tab w:val="num" w:pos="3600"/>
        </w:tabs>
        <w:ind w:left="3600" w:hanging="360"/>
      </w:pPr>
      <w:rPr>
        <w:rFonts w:ascii="Symbol" w:hAnsi="Symbol" w:hint="default"/>
        <w:sz w:val="20"/>
      </w:rPr>
    </w:lvl>
    <w:lvl w:ilvl="5" w:tplc="B68CAE9E" w:tentative="1">
      <w:start w:val="1"/>
      <w:numFmt w:val="bullet"/>
      <w:lvlText w:val=""/>
      <w:lvlJc w:val="left"/>
      <w:pPr>
        <w:tabs>
          <w:tab w:val="num" w:pos="4320"/>
        </w:tabs>
        <w:ind w:left="4320" w:hanging="360"/>
      </w:pPr>
      <w:rPr>
        <w:rFonts w:ascii="Symbol" w:hAnsi="Symbol" w:hint="default"/>
        <w:sz w:val="20"/>
      </w:rPr>
    </w:lvl>
    <w:lvl w:ilvl="6" w:tplc="81A05E74" w:tentative="1">
      <w:start w:val="1"/>
      <w:numFmt w:val="bullet"/>
      <w:lvlText w:val=""/>
      <w:lvlJc w:val="left"/>
      <w:pPr>
        <w:tabs>
          <w:tab w:val="num" w:pos="5040"/>
        </w:tabs>
        <w:ind w:left="5040" w:hanging="360"/>
      </w:pPr>
      <w:rPr>
        <w:rFonts w:ascii="Symbol" w:hAnsi="Symbol" w:hint="default"/>
        <w:sz w:val="20"/>
      </w:rPr>
    </w:lvl>
    <w:lvl w:ilvl="7" w:tplc="F578BE7A" w:tentative="1">
      <w:start w:val="1"/>
      <w:numFmt w:val="bullet"/>
      <w:lvlText w:val=""/>
      <w:lvlJc w:val="left"/>
      <w:pPr>
        <w:tabs>
          <w:tab w:val="num" w:pos="5760"/>
        </w:tabs>
        <w:ind w:left="5760" w:hanging="360"/>
      </w:pPr>
      <w:rPr>
        <w:rFonts w:ascii="Symbol" w:hAnsi="Symbol" w:hint="default"/>
        <w:sz w:val="20"/>
      </w:rPr>
    </w:lvl>
    <w:lvl w:ilvl="8" w:tplc="DD36086E"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5820AD"/>
    <w:multiLevelType w:val="hybridMultilevel"/>
    <w:tmpl w:val="703644F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796735"/>
    <w:multiLevelType w:val="hybridMultilevel"/>
    <w:tmpl w:val="3E1AD656"/>
    <w:lvl w:ilvl="0" w:tplc="F2DED12C">
      <w:start w:val="1"/>
      <w:numFmt w:val="bullet"/>
      <w:lvlText w:val=""/>
      <w:lvlJc w:val="left"/>
      <w:pPr>
        <w:tabs>
          <w:tab w:val="num" w:pos="720"/>
        </w:tabs>
        <w:ind w:left="720" w:hanging="360"/>
      </w:pPr>
      <w:rPr>
        <w:rFonts w:ascii="Symbol" w:hAnsi="Symbol" w:hint="default"/>
        <w:sz w:val="20"/>
      </w:rPr>
    </w:lvl>
    <w:lvl w:ilvl="1" w:tplc="36F4A50E" w:tentative="1">
      <w:start w:val="1"/>
      <w:numFmt w:val="bullet"/>
      <w:lvlText w:val=""/>
      <w:lvlJc w:val="left"/>
      <w:pPr>
        <w:tabs>
          <w:tab w:val="num" w:pos="1440"/>
        </w:tabs>
        <w:ind w:left="1440" w:hanging="360"/>
      </w:pPr>
      <w:rPr>
        <w:rFonts w:ascii="Symbol" w:hAnsi="Symbol" w:hint="default"/>
        <w:sz w:val="20"/>
      </w:rPr>
    </w:lvl>
    <w:lvl w:ilvl="2" w:tplc="8DB249DA" w:tentative="1">
      <w:start w:val="1"/>
      <w:numFmt w:val="bullet"/>
      <w:lvlText w:val=""/>
      <w:lvlJc w:val="left"/>
      <w:pPr>
        <w:tabs>
          <w:tab w:val="num" w:pos="2160"/>
        </w:tabs>
        <w:ind w:left="2160" w:hanging="360"/>
      </w:pPr>
      <w:rPr>
        <w:rFonts w:ascii="Symbol" w:hAnsi="Symbol" w:hint="default"/>
        <w:sz w:val="20"/>
      </w:rPr>
    </w:lvl>
    <w:lvl w:ilvl="3" w:tplc="C4629E06" w:tentative="1">
      <w:start w:val="1"/>
      <w:numFmt w:val="bullet"/>
      <w:lvlText w:val=""/>
      <w:lvlJc w:val="left"/>
      <w:pPr>
        <w:tabs>
          <w:tab w:val="num" w:pos="2880"/>
        </w:tabs>
        <w:ind w:left="2880" w:hanging="360"/>
      </w:pPr>
      <w:rPr>
        <w:rFonts w:ascii="Symbol" w:hAnsi="Symbol" w:hint="default"/>
        <w:sz w:val="20"/>
      </w:rPr>
    </w:lvl>
    <w:lvl w:ilvl="4" w:tplc="F3663A08" w:tentative="1">
      <w:start w:val="1"/>
      <w:numFmt w:val="bullet"/>
      <w:lvlText w:val=""/>
      <w:lvlJc w:val="left"/>
      <w:pPr>
        <w:tabs>
          <w:tab w:val="num" w:pos="3600"/>
        </w:tabs>
        <w:ind w:left="3600" w:hanging="360"/>
      </w:pPr>
      <w:rPr>
        <w:rFonts w:ascii="Symbol" w:hAnsi="Symbol" w:hint="default"/>
        <w:sz w:val="20"/>
      </w:rPr>
    </w:lvl>
    <w:lvl w:ilvl="5" w:tplc="CD165588" w:tentative="1">
      <w:start w:val="1"/>
      <w:numFmt w:val="bullet"/>
      <w:lvlText w:val=""/>
      <w:lvlJc w:val="left"/>
      <w:pPr>
        <w:tabs>
          <w:tab w:val="num" w:pos="4320"/>
        </w:tabs>
        <w:ind w:left="4320" w:hanging="360"/>
      </w:pPr>
      <w:rPr>
        <w:rFonts w:ascii="Symbol" w:hAnsi="Symbol" w:hint="default"/>
        <w:sz w:val="20"/>
      </w:rPr>
    </w:lvl>
    <w:lvl w:ilvl="6" w:tplc="B3B24C50" w:tentative="1">
      <w:start w:val="1"/>
      <w:numFmt w:val="bullet"/>
      <w:lvlText w:val=""/>
      <w:lvlJc w:val="left"/>
      <w:pPr>
        <w:tabs>
          <w:tab w:val="num" w:pos="5040"/>
        </w:tabs>
        <w:ind w:left="5040" w:hanging="360"/>
      </w:pPr>
      <w:rPr>
        <w:rFonts w:ascii="Symbol" w:hAnsi="Symbol" w:hint="default"/>
        <w:sz w:val="20"/>
      </w:rPr>
    </w:lvl>
    <w:lvl w:ilvl="7" w:tplc="F5EE7426" w:tentative="1">
      <w:start w:val="1"/>
      <w:numFmt w:val="bullet"/>
      <w:lvlText w:val=""/>
      <w:lvlJc w:val="left"/>
      <w:pPr>
        <w:tabs>
          <w:tab w:val="num" w:pos="5760"/>
        </w:tabs>
        <w:ind w:left="5760" w:hanging="360"/>
      </w:pPr>
      <w:rPr>
        <w:rFonts w:ascii="Symbol" w:hAnsi="Symbol" w:hint="default"/>
        <w:sz w:val="20"/>
      </w:rPr>
    </w:lvl>
    <w:lvl w:ilvl="8" w:tplc="52FC0034"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52566B"/>
    <w:multiLevelType w:val="hybridMultilevel"/>
    <w:tmpl w:val="42729956"/>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AD806E8"/>
    <w:multiLevelType w:val="hybridMultilevel"/>
    <w:tmpl w:val="25965A2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4173090"/>
    <w:multiLevelType w:val="hybridMultilevel"/>
    <w:tmpl w:val="5F44340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86220F"/>
    <w:multiLevelType w:val="hybridMultilevel"/>
    <w:tmpl w:val="97A4F48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B534123"/>
    <w:multiLevelType w:val="hybridMultilevel"/>
    <w:tmpl w:val="55F07458"/>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F406687"/>
    <w:multiLevelType w:val="hybridMultilevel"/>
    <w:tmpl w:val="0AF471C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2" w15:restartNumberingAfterBreak="0">
    <w:nsid w:val="68240085"/>
    <w:multiLevelType w:val="hybridMultilevel"/>
    <w:tmpl w:val="BD72379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Aria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98F5198"/>
    <w:multiLevelType w:val="hybridMultilevel"/>
    <w:tmpl w:val="D1ECC5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9E671B8"/>
    <w:multiLevelType w:val="hybridMultilevel"/>
    <w:tmpl w:val="CF9623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FBE2272"/>
    <w:multiLevelType w:val="hybridMultilevel"/>
    <w:tmpl w:val="F940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1CB4866"/>
    <w:multiLevelType w:val="hybridMultilevel"/>
    <w:tmpl w:val="F65E393A"/>
    <w:lvl w:ilvl="0" w:tplc="08090011">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Aria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3416519"/>
    <w:multiLevelType w:val="hybridMultilevel"/>
    <w:tmpl w:val="2E10A4EE"/>
    <w:lvl w:ilvl="0" w:tplc="92F67760">
      <w:start w:val="1"/>
      <w:numFmt w:val="decimal"/>
      <w:suff w:val="space"/>
      <w:lvlText w:val="(%1)"/>
      <w:lvlJc w:val="left"/>
      <w:pPr>
        <w:ind w:left="0" w:firstLine="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B0658D"/>
    <w:multiLevelType w:val="hybridMultilevel"/>
    <w:tmpl w:val="3AA2D79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9" w15:restartNumberingAfterBreak="0">
    <w:nsid w:val="75A332B0"/>
    <w:multiLevelType w:val="multilevel"/>
    <w:tmpl w:val="0EFE6188"/>
    <w:lvl w:ilvl="0">
      <w:start w:val="2"/>
      <w:numFmt w:val="decimal"/>
      <w:lvlText w:val="%1."/>
      <w:lvlJc w:val="left"/>
      <w:pPr>
        <w:ind w:left="360" w:hanging="360"/>
      </w:pPr>
      <w:rPr>
        <w:rFonts w:hint="default"/>
        <w:b/>
        <w:bCs/>
        <w:sz w:val="28"/>
        <w:szCs w:val="28"/>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8371BCB"/>
    <w:multiLevelType w:val="hybridMultilevel"/>
    <w:tmpl w:val="F46A4C40"/>
    <w:lvl w:ilvl="0" w:tplc="4A864C6A">
      <w:start w:val="1"/>
      <w:numFmt w:val="decimal"/>
      <w:suff w:val="space"/>
      <w:lvlText w:val="%1)"/>
      <w:lvlJc w:val="left"/>
      <w:pPr>
        <w:ind w:left="0" w:firstLine="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F68120B"/>
    <w:multiLevelType w:val="hybridMultilevel"/>
    <w:tmpl w:val="B63C99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63752221">
    <w:abstractNumId w:val="4"/>
  </w:num>
  <w:num w:numId="2" w16cid:durableId="101919598">
    <w:abstractNumId w:val="8"/>
  </w:num>
  <w:num w:numId="3" w16cid:durableId="570232998">
    <w:abstractNumId w:val="23"/>
  </w:num>
  <w:num w:numId="4" w16cid:durableId="219753766">
    <w:abstractNumId w:val="25"/>
  </w:num>
  <w:num w:numId="5" w16cid:durableId="1490053847">
    <w:abstractNumId w:val="29"/>
  </w:num>
  <w:num w:numId="6" w16cid:durableId="1444887571">
    <w:abstractNumId w:val="7"/>
  </w:num>
  <w:num w:numId="7" w16cid:durableId="758251531">
    <w:abstractNumId w:val="30"/>
  </w:num>
  <w:num w:numId="8" w16cid:durableId="1451045732">
    <w:abstractNumId w:val="5"/>
  </w:num>
  <w:num w:numId="9" w16cid:durableId="213851664">
    <w:abstractNumId w:val="9"/>
  </w:num>
  <w:num w:numId="10" w16cid:durableId="683672206">
    <w:abstractNumId w:val="17"/>
  </w:num>
  <w:num w:numId="11" w16cid:durableId="401757080">
    <w:abstractNumId w:val="22"/>
  </w:num>
  <w:num w:numId="12" w16cid:durableId="1135877890">
    <w:abstractNumId w:val="12"/>
  </w:num>
  <w:num w:numId="13" w16cid:durableId="913852262">
    <w:abstractNumId w:val="1"/>
  </w:num>
  <w:num w:numId="14" w16cid:durableId="1098331348">
    <w:abstractNumId w:val="13"/>
  </w:num>
  <w:num w:numId="15" w16cid:durableId="1468427470">
    <w:abstractNumId w:val="15"/>
  </w:num>
  <w:num w:numId="16" w16cid:durableId="1490557501">
    <w:abstractNumId w:val="27"/>
  </w:num>
  <w:num w:numId="17" w16cid:durableId="1331106832">
    <w:abstractNumId w:val="19"/>
  </w:num>
  <w:num w:numId="18" w16cid:durableId="1914268682">
    <w:abstractNumId w:val="18"/>
  </w:num>
  <w:num w:numId="19" w16cid:durableId="876501451">
    <w:abstractNumId w:val="31"/>
  </w:num>
  <w:num w:numId="20" w16cid:durableId="1553492492">
    <w:abstractNumId w:val="11"/>
  </w:num>
  <w:num w:numId="21" w16cid:durableId="1232740115">
    <w:abstractNumId w:val="28"/>
  </w:num>
  <w:num w:numId="22" w16cid:durableId="1723675003">
    <w:abstractNumId w:val="16"/>
  </w:num>
  <w:num w:numId="23" w16cid:durableId="97650572">
    <w:abstractNumId w:val="20"/>
  </w:num>
  <w:num w:numId="24" w16cid:durableId="209848721">
    <w:abstractNumId w:val="6"/>
  </w:num>
  <w:num w:numId="25" w16cid:durableId="208616621">
    <w:abstractNumId w:val="21"/>
  </w:num>
  <w:num w:numId="26" w16cid:durableId="624972884">
    <w:abstractNumId w:val="10"/>
  </w:num>
  <w:num w:numId="27" w16cid:durableId="1621107205">
    <w:abstractNumId w:val="3"/>
  </w:num>
  <w:num w:numId="28" w16cid:durableId="734864135">
    <w:abstractNumId w:val="26"/>
  </w:num>
  <w:num w:numId="29" w16cid:durableId="782960737">
    <w:abstractNumId w:val="14"/>
  </w:num>
  <w:num w:numId="30" w16cid:durableId="852955817">
    <w:abstractNumId w:val="2"/>
  </w:num>
  <w:num w:numId="31" w16cid:durableId="237443192">
    <w:abstractNumId w:val="24"/>
  </w:num>
  <w:num w:numId="32" w16cid:durableId="187356892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157C8"/>
    <w:rsid w:val="00023692"/>
    <w:rsid w:val="00024CE4"/>
    <w:rsid w:val="000350F0"/>
    <w:rsid w:val="000412E7"/>
    <w:rsid w:val="0004604C"/>
    <w:rsid w:val="00060310"/>
    <w:rsid w:val="00061EC8"/>
    <w:rsid w:val="000650C9"/>
    <w:rsid w:val="00076D06"/>
    <w:rsid w:val="00080262"/>
    <w:rsid w:val="000847DC"/>
    <w:rsid w:val="0008678D"/>
    <w:rsid w:val="00094462"/>
    <w:rsid w:val="0009637C"/>
    <w:rsid w:val="000A467B"/>
    <w:rsid w:val="000A7AC6"/>
    <w:rsid w:val="000B0EB6"/>
    <w:rsid w:val="000B1E0D"/>
    <w:rsid w:val="000B5A12"/>
    <w:rsid w:val="000B5F20"/>
    <w:rsid w:val="000B787A"/>
    <w:rsid w:val="000D0FA1"/>
    <w:rsid w:val="000D21D2"/>
    <w:rsid w:val="000D2494"/>
    <w:rsid w:val="000D44AD"/>
    <w:rsid w:val="000E192F"/>
    <w:rsid w:val="000E366B"/>
    <w:rsid w:val="000E51DA"/>
    <w:rsid w:val="000F431F"/>
    <w:rsid w:val="001001D8"/>
    <w:rsid w:val="00102BBE"/>
    <w:rsid w:val="00106594"/>
    <w:rsid w:val="001067E9"/>
    <w:rsid w:val="00122DAA"/>
    <w:rsid w:val="00124CCB"/>
    <w:rsid w:val="00126CFE"/>
    <w:rsid w:val="00136955"/>
    <w:rsid w:val="00144153"/>
    <w:rsid w:val="00146F8D"/>
    <w:rsid w:val="00150BC1"/>
    <w:rsid w:val="0015167A"/>
    <w:rsid w:val="00151ADF"/>
    <w:rsid w:val="00155607"/>
    <w:rsid w:val="00156AC9"/>
    <w:rsid w:val="00163655"/>
    <w:rsid w:val="00164BD7"/>
    <w:rsid w:val="00167D14"/>
    <w:rsid w:val="00170269"/>
    <w:rsid w:val="001772B1"/>
    <w:rsid w:val="00177ED8"/>
    <w:rsid w:val="00183760"/>
    <w:rsid w:val="00186571"/>
    <w:rsid w:val="0018683A"/>
    <w:rsid w:val="001B2FBC"/>
    <w:rsid w:val="001B5B88"/>
    <w:rsid w:val="001D22FD"/>
    <w:rsid w:val="001D239F"/>
    <w:rsid w:val="001D5258"/>
    <w:rsid w:val="001E1A18"/>
    <w:rsid w:val="001F5584"/>
    <w:rsid w:val="002034A0"/>
    <w:rsid w:val="00206FCB"/>
    <w:rsid w:val="00207DC5"/>
    <w:rsid w:val="00217F33"/>
    <w:rsid w:val="002200C6"/>
    <w:rsid w:val="00220CB2"/>
    <w:rsid w:val="00222650"/>
    <w:rsid w:val="002251D3"/>
    <w:rsid w:val="00225CB1"/>
    <w:rsid w:val="00235553"/>
    <w:rsid w:val="00236592"/>
    <w:rsid w:val="00244323"/>
    <w:rsid w:val="002469EC"/>
    <w:rsid w:val="002513AE"/>
    <w:rsid w:val="002528A9"/>
    <w:rsid w:val="00254B89"/>
    <w:rsid w:val="002574E3"/>
    <w:rsid w:val="002614A9"/>
    <w:rsid w:val="00261C62"/>
    <w:rsid w:val="002718E3"/>
    <w:rsid w:val="00271DBF"/>
    <w:rsid w:val="002760A2"/>
    <w:rsid w:val="00292092"/>
    <w:rsid w:val="00292B26"/>
    <w:rsid w:val="002A1986"/>
    <w:rsid w:val="002A2739"/>
    <w:rsid w:val="002B22F9"/>
    <w:rsid w:val="002D5FE8"/>
    <w:rsid w:val="002E5098"/>
    <w:rsid w:val="002E738B"/>
    <w:rsid w:val="002F5035"/>
    <w:rsid w:val="003020D4"/>
    <w:rsid w:val="00304F02"/>
    <w:rsid w:val="00306ECD"/>
    <w:rsid w:val="00313BB4"/>
    <w:rsid w:val="00317E77"/>
    <w:rsid w:val="00320F25"/>
    <w:rsid w:val="003265E5"/>
    <w:rsid w:val="003268FE"/>
    <w:rsid w:val="00332E80"/>
    <w:rsid w:val="00336F2F"/>
    <w:rsid w:val="00340180"/>
    <w:rsid w:val="00347E26"/>
    <w:rsid w:val="00350BF2"/>
    <w:rsid w:val="00354FDC"/>
    <w:rsid w:val="00356A98"/>
    <w:rsid w:val="00367F00"/>
    <w:rsid w:val="00381078"/>
    <w:rsid w:val="00384371"/>
    <w:rsid w:val="00394E75"/>
    <w:rsid w:val="003A29BD"/>
    <w:rsid w:val="003A5768"/>
    <w:rsid w:val="003B44BA"/>
    <w:rsid w:val="003C1EAF"/>
    <w:rsid w:val="00443533"/>
    <w:rsid w:val="004469F0"/>
    <w:rsid w:val="00450CA3"/>
    <w:rsid w:val="004576E0"/>
    <w:rsid w:val="00457A76"/>
    <w:rsid w:val="00472839"/>
    <w:rsid w:val="004832AA"/>
    <w:rsid w:val="004A6598"/>
    <w:rsid w:val="004B6D68"/>
    <w:rsid w:val="004C486E"/>
    <w:rsid w:val="004C7BA9"/>
    <w:rsid w:val="004F034A"/>
    <w:rsid w:val="00500AD5"/>
    <w:rsid w:val="005058ED"/>
    <w:rsid w:val="005210C2"/>
    <w:rsid w:val="00523E38"/>
    <w:rsid w:val="00524CC3"/>
    <w:rsid w:val="00533545"/>
    <w:rsid w:val="005358E6"/>
    <w:rsid w:val="00544EA6"/>
    <w:rsid w:val="005501DE"/>
    <w:rsid w:val="00554186"/>
    <w:rsid w:val="005636E9"/>
    <w:rsid w:val="00566221"/>
    <w:rsid w:val="005714D0"/>
    <w:rsid w:val="00571C38"/>
    <w:rsid w:val="00575FFF"/>
    <w:rsid w:val="00576713"/>
    <w:rsid w:val="00582160"/>
    <w:rsid w:val="005B399E"/>
    <w:rsid w:val="005B4C93"/>
    <w:rsid w:val="005C18FD"/>
    <w:rsid w:val="005C1CBF"/>
    <w:rsid w:val="005C2E6F"/>
    <w:rsid w:val="005C349C"/>
    <w:rsid w:val="005C685F"/>
    <w:rsid w:val="005C72A5"/>
    <w:rsid w:val="005C7BE3"/>
    <w:rsid w:val="005D34E5"/>
    <w:rsid w:val="005D4D36"/>
    <w:rsid w:val="005D6410"/>
    <w:rsid w:val="005D74D0"/>
    <w:rsid w:val="005E5AEF"/>
    <w:rsid w:val="005F12C2"/>
    <w:rsid w:val="005F7DBE"/>
    <w:rsid w:val="0060198B"/>
    <w:rsid w:val="00605147"/>
    <w:rsid w:val="0061100D"/>
    <w:rsid w:val="00611BE8"/>
    <w:rsid w:val="00611CBC"/>
    <w:rsid w:val="006224EC"/>
    <w:rsid w:val="00625ED1"/>
    <w:rsid w:val="00630854"/>
    <w:rsid w:val="006417DC"/>
    <w:rsid w:val="00641DAE"/>
    <w:rsid w:val="006432DA"/>
    <w:rsid w:val="00653CE5"/>
    <w:rsid w:val="00657E40"/>
    <w:rsid w:val="0066799B"/>
    <w:rsid w:val="00670B4F"/>
    <w:rsid w:val="00671FB4"/>
    <w:rsid w:val="0067311A"/>
    <w:rsid w:val="00674982"/>
    <w:rsid w:val="00684C27"/>
    <w:rsid w:val="00695FF9"/>
    <w:rsid w:val="006A18F9"/>
    <w:rsid w:val="006A57D3"/>
    <w:rsid w:val="006B1AF7"/>
    <w:rsid w:val="006B1E12"/>
    <w:rsid w:val="006B2727"/>
    <w:rsid w:val="006B6F26"/>
    <w:rsid w:val="006B715F"/>
    <w:rsid w:val="006C48D2"/>
    <w:rsid w:val="006D1D7B"/>
    <w:rsid w:val="006D30AC"/>
    <w:rsid w:val="006E0B58"/>
    <w:rsid w:val="006E30D4"/>
    <w:rsid w:val="006F45A7"/>
    <w:rsid w:val="006F5703"/>
    <w:rsid w:val="007011AC"/>
    <w:rsid w:val="00724382"/>
    <w:rsid w:val="00732DB2"/>
    <w:rsid w:val="00733F17"/>
    <w:rsid w:val="007356B8"/>
    <w:rsid w:val="00751B15"/>
    <w:rsid w:val="00751CBC"/>
    <w:rsid w:val="0075208E"/>
    <w:rsid w:val="007544F0"/>
    <w:rsid w:val="007636C8"/>
    <w:rsid w:val="00766CC2"/>
    <w:rsid w:val="0077599F"/>
    <w:rsid w:val="00777A69"/>
    <w:rsid w:val="007867DD"/>
    <w:rsid w:val="00795E82"/>
    <w:rsid w:val="007A1453"/>
    <w:rsid w:val="007A7136"/>
    <w:rsid w:val="007B3480"/>
    <w:rsid w:val="007C05F8"/>
    <w:rsid w:val="007C384B"/>
    <w:rsid w:val="007C3DFF"/>
    <w:rsid w:val="007C40A5"/>
    <w:rsid w:val="007D00E4"/>
    <w:rsid w:val="007D5F06"/>
    <w:rsid w:val="00800A74"/>
    <w:rsid w:val="008026AE"/>
    <w:rsid w:val="008048D9"/>
    <w:rsid w:val="0081142C"/>
    <w:rsid w:val="00816ADE"/>
    <w:rsid w:val="0083495F"/>
    <w:rsid w:val="00841D12"/>
    <w:rsid w:val="00841D14"/>
    <w:rsid w:val="00842ED4"/>
    <w:rsid w:val="00844460"/>
    <w:rsid w:val="008532F1"/>
    <w:rsid w:val="00856E00"/>
    <w:rsid w:val="008672A4"/>
    <w:rsid w:val="008773FA"/>
    <w:rsid w:val="00881216"/>
    <w:rsid w:val="0088171A"/>
    <w:rsid w:val="008842B9"/>
    <w:rsid w:val="00885541"/>
    <w:rsid w:val="008A4E69"/>
    <w:rsid w:val="008D1984"/>
    <w:rsid w:val="008D1A11"/>
    <w:rsid w:val="008D1D5C"/>
    <w:rsid w:val="008D247B"/>
    <w:rsid w:val="008D4A8E"/>
    <w:rsid w:val="008D6303"/>
    <w:rsid w:val="008D6D47"/>
    <w:rsid w:val="008E0CFD"/>
    <w:rsid w:val="008E0D88"/>
    <w:rsid w:val="008E4478"/>
    <w:rsid w:val="009005A6"/>
    <w:rsid w:val="009037BD"/>
    <w:rsid w:val="0090747B"/>
    <w:rsid w:val="00907503"/>
    <w:rsid w:val="009137BC"/>
    <w:rsid w:val="00914269"/>
    <w:rsid w:val="00916FB1"/>
    <w:rsid w:val="00950C07"/>
    <w:rsid w:val="0095680A"/>
    <w:rsid w:val="00962489"/>
    <w:rsid w:val="009713C7"/>
    <w:rsid w:val="00974F16"/>
    <w:rsid w:val="00986D7B"/>
    <w:rsid w:val="00992FCE"/>
    <w:rsid w:val="00994ED8"/>
    <w:rsid w:val="009B0C34"/>
    <w:rsid w:val="009C176E"/>
    <w:rsid w:val="009C3636"/>
    <w:rsid w:val="009D0611"/>
    <w:rsid w:val="009E0C97"/>
    <w:rsid w:val="009E5647"/>
    <w:rsid w:val="00A013BA"/>
    <w:rsid w:val="00A0305D"/>
    <w:rsid w:val="00A26234"/>
    <w:rsid w:val="00A32B1C"/>
    <w:rsid w:val="00A47758"/>
    <w:rsid w:val="00A51841"/>
    <w:rsid w:val="00A60C9D"/>
    <w:rsid w:val="00A720F8"/>
    <w:rsid w:val="00A7692A"/>
    <w:rsid w:val="00A77013"/>
    <w:rsid w:val="00A91AF8"/>
    <w:rsid w:val="00AA1B8B"/>
    <w:rsid w:val="00AB107B"/>
    <w:rsid w:val="00AC3CDD"/>
    <w:rsid w:val="00AE2B44"/>
    <w:rsid w:val="00AE3010"/>
    <w:rsid w:val="00AE560A"/>
    <w:rsid w:val="00AE6DBE"/>
    <w:rsid w:val="00AF0F96"/>
    <w:rsid w:val="00B00547"/>
    <w:rsid w:val="00B05456"/>
    <w:rsid w:val="00B056EE"/>
    <w:rsid w:val="00B15B34"/>
    <w:rsid w:val="00B1649A"/>
    <w:rsid w:val="00B21883"/>
    <w:rsid w:val="00B244B7"/>
    <w:rsid w:val="00B31500"/>
    <w:rsid w:val="00B325F4"/>
    <w:rsid w:val="00B36329"/>
    <w:rsid w:val="00B44AE2"/>
    <w:rsid w:val="00B54981"/>
    <w:rsid w:val="00B55616"/>
    <w:rsid w:val="00B76527"/>
    <w:rsid w:val="00B815B0"/>
    <w:rsid w:val="00B869B7"/>
    <w:rsid w:val="00B91FFB"/>
    <w:rsid w:val="00BA507E"/>
    <w:rsid w:val="00BA5740"/>
    <w:rsid w:val="00BA74E0"/>
    <w:rsid w:val="00BA7B6D"/>
    <w:rsid w:val="00BB64DB"/>
    <w:rsid w:val="00BB76DB"/>
    <w:rsid w:val="00BC07EC"/>
    <w:rsid w:val="00BD3E57"/>
    <w:rsid w:val="00BF59B8"/>
    <w:rsid w:val="00C02453"/>
    <w:rsid w:val="00C11703"/>
    <w:rsid w:val="00C14CE2"/>
    <w:rsid w:val="00C15B63"/>
    <w:rsid w:val="00C25ADC"/>
    <w:rsid w:val="00C307A8"/>
    <w:rsid w:val="00C31E62"/>
    <w:rsid w:val="00C3666E"/>
    <w:rsid w:val="00C401CA"/>
    <w:rsid w:val="00C40819"/>
    <w:rsid w:val="00C54BB1"/>
    <w:rsid w:val="00C558CC"/>
    <w:rsid w:val="00C5661E"/>
    <w:rsid w:val="00C63735"/>
    <w:rsid w:val="00C7447F"/>
    <w:rsid w:val="00C80846"/>
    <w:rsid w:val="00C81B19"/>
    <w:rsid w:val="00C81E8E"/>
    <w:rsid w:val="00C8287E"/>
    <w:rsid w:val="00C82F38"/>
    <w:rsid w:val="00C93D64"/>
    <w:rsid w:val="00C93EA1"/>
    <w:rsid w:val="00C973DA"/>
    <w:rsid w:val="00CB4EBC"/>
    <w:rsid w:val="00CB6080"/>
    <w:rsid w:val="00CB7712"/>
    <w:rsid w:val="00CB7803"/>
    <w:rsid w:val="00CC3D7B"/>
    <w:rsid w:val="00CD04E4"/>
    <w:rsid w:val="00CD2DAA"/>
    <w:rsid w:val="00CD7E72"/>
    <w:rsid w:val="00CE5ADF"/>
    <w:rsid w:val="00CE6067"/>
    <w:rsid w:val="00CF5149"/>
    <w:rsid w:val="00D025CC"/>
    <w:rsid w:val="00D136BD"/>
    <w:rsid w:val="00D13AFF"/>
    <w:rsid w:val="00D17A04"/>
    <w:rsid w:val="00D17AC3"/>
    <w:rsid w:val="00D34B46"/>
    <w:rsid w:val="00D455B0"/>
    <w:rsid w:val="00D47F9D"/>
    <w:rsid w:val="00D553F6"/>
    <w:rsid w:val="00D56668"/>
    <w:rsid w:val="00D63C77"/>
    <w:rsid w:val="00D67617"/>
    <w:rsid w:val="00D70BEB"/>
    <w:rsid w:val="00D71CD4"/>
    <w:rsid w:val="00D75B37"/>
    <w:rsid w:val="00D84B69"/>
    <w:rsid w:val="00D868A0"/>
    <w:rsid w:val="00DA03F5"/>
    <w:rsid w:val="00DA55A2"/>
    <w:rsid w:val="00DC5D7A"/>
    <w:rsid w:val="00DD41E5"/>
    <w:rsid w:val="00DF259A"/>
    <w:rsid w:val="00E04EA1"/>
    <w:rsid w:val="00E129CC"/>
    <w:rsid w:val="00E27C9E"/>
    <w:rsid w:val="00E27E74"/>
    <w:rsid w:val="00E360D2"/>
    <w:rsid w:val="00E40AF7"/>
    <w:rsid w:val="00E423B0"/>
    <w:rsid w:val="00E45042"/>
    <w:rsid w:val="00E4659D"/>
    <w:rsid w:val="00E523F1"/>
    <w:rsid w:val="00E714F5"/>
    <w:rsid w:val="00E75324"/>
    <w:rsid w:val="00E85E65"/>
    <w:rsid w:val="00E933A5"/>
    <w:rsid w:val="00E93B1E"/>
    <w:rsid w:val="00E960AC"/>
    <w:rsid w:val="00EB2455"/>
    <w:rsid w:val="00EC1011"/>
    <w:rsid w:val="00ED14B8"/>
    <w:rsid w:val="00EE2D31"/>
    <w:rsid w:val="00EE766C"/>
    <w:rsid w:val="00EF3C83"/>
    <w:rsid w:val="00F07947"/>
    <w:rsid w:val="00F17467"/>
    <w:rsid w:val="00F174C6"/>
    <w:rsid w:val="00F23F84"/>
    <w:rsid w:val="00F27434"/>
    <w:rsid w:val="00F3525E"/>
    <w:rsid w:val="00F37BBE"/>
    <w:rsid w:val="00F538DA"/>
    <w:rsid w:val="00F5524E"/>
    <w:rsid w:val="00F60CBE"/>
    <w:rsid w:val="00F67C3D"/>
    <w:rsid w:val="00F70D46"/>
    <w:rsid w:val="00F70E24"/>
    <w:rsid w:val="00F72CB8"/>
    <w:rsid w:val="00F76033"/>
    <w:rsid w:val="00F77345"/>
    <w:rsid w:val="00F82196"/>
    <w:rsid w:val="00F82459"/>
    <w:rsid w:val="00F8507A"/>
    <w:rsid w:val="00F85164"/>
    <w:rsid w:val="00F9320D"/>
    <w:rsid w:val="00F94ECD"/>
    <w:rsid w:val="00F97CBE"/>
    <w:rsid w:val="00FA26DA"/>
    <w:rsid w:val="00FB4D5A"/>
    <w:rsid w:val="00FB76C1"/>
    <w:rsid w:val="00FC014E"/>
    <w:rsid w:val="00FC2CF2"/>
    <w:rsid w:val="00FC63E4"/>
    <w:rsid w:val="00FD00E3"/>
    <w:rsid w:val="00FE5683"/>
    <w:rsid w:val="00FE58B0"/>
    <w:rsid w:val="00FF19AB"/>
    <w:rsid w:val="00FF2DBF"/>
    <w:rsid w:val="00FF32B9"/>
    <w:rsid w:val="07F33EA2"/>
    <w:rsid w:val="0CB9C828"/>
    <w:rsid w:val="0FA7480E"/>
    <w:rsid w:val="0FB27AB4"/>
    <w:rsid w:val="12EFAF3C"/>
    <w:rsid w:val="1C16F179"/>
    <w:rsid w:val="2872CA33"/>
    <w:rsid w:val="29C30C4D"/>
    <w:rsid w:val="2BDFC823"/>
    <w:rsid w:val="2F096C44"/>
    <w:rsid w:val="426A650D"/>
    <w:rsid w:val="515ABDB6"/>
    <w:rsid w:val="53042AC8"/>
    <w:rsid w:val="5E7FEC77"/>
    <w:rsid w:val="5F61FB7D"/>
    <w:rsid w:val="63F67330"/>
    <w:rsid w:val="69F57826"/>
    <w:rsid w:val="6C9B0034"/>
    <w:rsid w:val="6DE15883"/>
    <w:rsid w:val="6EDB20C5"/>
    <w:rsid w:val="745E782D"/>
    <w:rsid w:val="7728179B"/>
    <w:rsid w:val="7EAE42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paragraph" w:customStyle="1" w:styleId="list-item2">
    <w:name w:val="list-item2"/>
    <w:basedOn w:val="Normal"/>
    <w:rsid w:val="00FF19A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521550644">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901525025">
      <w:bodyDiv w:val="1"/>
      <w:marLeft w:val="0"/>
      <w:marRight w:val="0"/>
      <w:marTop w:val="0"/>
      <w:marBottom w:val="0"/>
      <w:divBdr>
        <w:top w:val="none" w:sz="0" w:space="0" w:color="auto"/>
        <w:left w:val="none" w:sz="0" w:space="0" w:color="auto"/>
        <w:bottom w:val="none" w:sz="0" w:space="0" w:color="auto"/>
        <w:right w:val="none" w:sz="0" w:space="0" w:color="auto"/>
      </w:divBdr>
      <w:divsChild>
        <w:div w:id="304433937">
          <w:marLeft w:val="0"/>
          <w:marRight w:val="0"/>
          <w:marTop w:val="0"/>
          <w:marBottom w:val="0"/>
          <w:divBdr>
            <w:top w:val="none" w:sz="0" w:space="0" w:color="auto"/>
            <w:left w:val="none" w:sz="0" w:space="0" w:color="auto"/>
            <w:bottom w:val="none" w:sz="0" w:space="0" w:color="auto"/>
            <w:right w:val="none" w:sz="0" w:space="0" w:color="auto"/>
          </w:divBdr>
        </w:div>
        <w:div w:id="1622834607">
          <w:marLeft w:val="0"/>
          <w:marRight w:val="0"/>
          <w:marTop w:val="0"/>
          <w:marBottom w:val="0"/>
          <w:divBdr>
            <w:top w:val="none" w:sz="0" w:space="0" w:color="auto"/>
            <w:left w:val="none" w:sz="0" w:space="0" w:color="auto"/>
            <w:bottom w:val="none" w:sz="0" w:space="0" w:color="auto"/>
            <w:right w:val="none" w:sz="0" w:space="0" w:color="auto"/>
          </w:divBdr>
        </w:div>
        <w:div w:id="1588420959">
          <w:marLeft w:val="0"/>
          <w:marRight w:val="0"/>
          <w:marTop w:val="0"/>
          <w:marBottom w:val="0"/>
          <w:divBdr>
            <w:top w:val="none" w:sz="0" w:space="0" w:color="auto"/>
            <w:left w:val="none" w:sz="0" w:space="0" w:color="auto"/>
            <w:bottom w:val="none" w:sz="0" w:space="0" w:color="auto"/>
            <w:right w:val="none" w:sz="0" w:space="0" w:color="auto"/>
          </w:divBdr>
        </w:div>
        <w:div w:id="361516803">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355418072">
      <w:bodyDiv w:val="1"/>
      <w:marLeft w:val="0"/>
      <w:marRight w:val="0"/>
      <w:marTop w:val="0"/>
      <w:marBottom w:val="0"/>
      <w:divBdr>
        <w:top w:val="none" w:sz="0" w:space="0" w:color="auto"/>
        <w:left w:val="none" w:sz="0" w:space="0" w:color="auto"/>
        <w:bottom w:val="none" w:sz="0" w:space="0" w:color="auto"/>
        <w:right w:val="none" w:sz="0" w:space="0" w:color="auto"/>
      </w:divBdr>
    </w:div>
    <w:div w:id="1411729116">
      <w:bodyDiv w:val="1"/>
      <w:marLeft w:val="0"/>
      <w:marRight w:val="0"/>
      <w:marTop w:val="0"/>
      <w:marBottom w:val="0"/>
      <w:divBdr>
        <w:top w:val="none" w:sz="0" w:space="0" w:color="auto"/>
        <w:left w:val="none" w:sz="0" w:space="0" w:color="auto"/>
        <w:bottom w:val="none" w:sz="0" w:space="0" w:color="auto"/>
        <w:right w:val="none" w:sz="0" w:space="0" w:color="auto"/>
      </w:divBdr>
    </w:div>
    <w:div w:id="1425564448">
      <w:bodyDiv w:val="1"/>
      <w:marLeft w:val="0"/>
      <w:marRight w:val="0"/>
      <w:marTop w:val="0"/>
      <w:marBottom w:val="0"/>
      <w:divBdr>
        <w:top w:val="none" w:sz="0" w:space="0" w:color="auto"/>
        <w:left w:val="none" w:sz="0" w:space="0" w:color="auto"/>
        <w:bottom w:val="none" w:sz="0" w:space="0" w:color="auto"/>
        <w:right w:val="none" w:sz="0" w:space="0" w:color="auto"/>
      </w:divBdr>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1770737254">
      <w:bodyDiv w:val="1"/>
      <w:marLeft w:val="0"/>
      <w:marRight w:val="0"/>
      <w:marTop w:val="0"/>
      <w:marBottom w:val="0"/>
      <w:divBdr>
        <w:top w:val="none" w:sz="0" w:space="0" w:color="auto"/>
        <w:left w:val="none" w:sz="0" w:space="0" w:color="auto"/>
        <w:bottom w:val="none" w:sz="0" w:space="0" w:color="auto"/>
        <w:right w:val="none" w:sz="0" w:space="0" w:color="auto"/>
      </w:divBdr>
      <w:divsChild>
        <w:div w:id="464978315">
          <w:marLeft w:val="0"/>
          <w:marRight w:val="0"/>
          <w:marTop w:val="0"/>
          <w:marBottom w:val="0"/>
          <w:divBdr>
            <w:top w:val="none" w:sz="0" w:space="0" w:color="auto"/>
            <w:left w:val="none" w:sz="0" w:space="0" w:color="auto"/>
            <w:bottom w:val="none" w:sz="0" w:space="0" w:color="auto"/>
            <w:right w:val="none" w:sz="0" w:space="0" w:color="auto"/>
          </w:divBdr>
        </w:div>
        <w:div w:id="494226460">
          <w:marLeft w:val="0"/>
          <w:marRight w:val="0"/>
          <w:marTop w:val="0"/>
          <w:marBottom w:val="0"/>
          <w:divBdr>
            <w:top w:val="none" w:sz="0" w:space="0" w:color="auto"/>
            <w:left w:val="none" w:sz="0" w:space="0" w:color="auto"/>
            <w:bottom w:val="none" w:sz="0" w:space="0" w:color="auto"/>
            <w:right w:val="none" w:sz="0" w:space="0" w:color="auto"/>
          </w:divBdr>
        </w:div>
      </w:divsChild>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25079-FB69-4AD6-9983-177E0FD4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2526</Words>
  <Characters>14400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2023-02-16T12:18:00Z</dcterms:created>
  <dcterms:modified xsi:type="dcterms:W3CDTF">2025-02-19T16:46:00Z</dcterms:modified>
</cp:coreProperties>
</file>