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17FB8AAB" w:rsidR="00D56668" w:rsidRDefault="009B4264" w:rsidP="00177ED8">
      <w:pPr>
        <w:spacing w:line="480" w:lineRule="auto"/>
        <w:rPr>
          <w:sz w:val="48"/>
          <w:szCs w:val="48"/>
        </w:rPr>
      </w:pPr>
      <w:r>
        <w:rPr>
          <w:noProof/>
          <w:sz w:val="48"/>
          <w:szCs w:val="48"/>
        </w:rPr>
        <w:drawing>
          <wp:inline distT="0" distB="0" distL="0" distR="0" wp14:anchorId="6C448065" wp14:editId="36AE27FC">
            <wp:extent cx="2529840" cy="1322705"/>
            <wp:effectExtent l="0" t="0" r="3810" b="0"/>
            <wp:docPr id="209506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9840" cy="1322705"/>
                    </a:xfrm>
                    <a:prstGeom prst="rect">
                      <a:avLst/>
                    </a:prstGeom>
                    <a:noFill/>
                  </pic:spPr>
                </pic:pic>
              </a:graphicData>
            </a:graphic>
          </wp:inline>
        </w:drawing>
      </w:r>
    </w:p>
    <w:p w14:paraId="0A37501D" w14:textId="77777777" w:rsidR="00D56668" w:rsidRDefault="00D56668" w:rsidP="00177ED8">
      <w:pPr>
        <w:spacing w:line="480" w:lineRule="auto"/>
        <w:jc w:val="center"/>
        <w:rPr>
          <w:sz w:val="48"/>
          <w:szCs w:val="48"/>
        </w:rPr>
      </w:pPr>
    </w:p>
    <w:p w14:paraId="7FADD041" w14:textId="6685864F" w:rsidR="000E366B" w:rsidRPr="00524CC3" w:rsidRDefault="5FB0F992" w:rsidP="5FB0F992">
      <w:pPr>
        <w:spacing w:line="480" w:lineRule="auto"/>
        <w:jc w:val="center"/>
        <w:rPr>
          <w:rFonts w:ascii="Arial" w:hAnsi="Arial" w:cs="Arial"/>
          <w:sz w:val="52"/>
          <w:szCs w:val="52"/>
        </w:rPr>
      </w:pPr>
      <w:r w:rsidRPr="5FB0F992">
        <w:rPr>
          <w:rFonts w:ascii="Arial" w:hAnsi="Arial" w:cs="Arial"/>
          <w:sz w:val="52"/>
          <w:szCs w:val="52"/>
        </w:rPr>
        <w:t>Trusts Law</w:t>
      </w:r>
    </w:p>
    <w:p w14:paraId="68904581" w14:textId="77777777" w:rsidR="00B056EE" w:rsidRPr="000C30E4" w:rsidRDefault="00C558CC" w:rsidP="00177ED8">
      <w:pPr>
        <w:spacing w:line="480" w:lineRule="auto"/>
        <w:jc w:val="center"/>
        <w:rPr>
          <w:rFonts w:ascii="Arial" w:hAnsi="Arial" w:cs="Arial"/>
          <w:sz w:val="52"/>
          <w:szCs w:val="52"/>
        </w:rPr>
      </w:pPr>
      <w:r w:rsidRPr="000C30E4">
        <w:rPr>
          <w:rFonts w:ascii="Arial" w:hAnsi="Arial" w:cs="Arial"/>
          <w:sz w:val="52"/>
          <w:szCs w:val="52"/>
        </w:rPr>
        <w:t xml:space="preserve">Lecture Handout </w:t>
      </w:r>
    </w:p>
    <w:p w14:paraId="5E5E1A77" w14:textId="24B7A7AB" w:rsidR="00FA26DA" w:rsidRPr="000C30E4" w:rsidRDefault="00B056EE" w:rsidP="00177ED8">
      <w:pPr>
        <w:spacing w:line="480" w:lineRule="auto"/>
        <w:jc w:val="center"/>
        <w:rPr>
          <w:rFonts w:ascii="Arial" w:hAnsi="Arial" w:cs="Arial"/>
          <w:sz w:val="52"/>
          <w:szCs w:val="52"/>
        </w:rPr>
      </w:pPr>
      <w:r w:rsidRPr="000C30E4">
        <w:rPr>
          <w:rFonts w:ascii="Arial" w:hAnsi="Arial" w:cs="Arial"/>
          <w:sz w:val="52"/>
          <w:szCs w:val="52"/>
        </w:rPr>
        <w:t xml:space="preserve">Michaelmas Term </w:t>
      </w:r>
      <w:r w:rsidR="000C30E4" w:rsidRPr="000C30E4">
        <w:rPr>
          <w:rFonts w:ascii="Arial" w:hAnsi="Arial" w:cs="Arial"/>
          <w:sz w:val="52"/>
          <w:szCs w:val="52"/>
        </w:rPr>
        <w:t xml:space="preserve">Week </w:t>
      </w:r>
      <w:r w:rsidR="00FA2977">
        <w:rPr>
          <w:rFonts w:ascii="Arial" w:hAnsi="Arial" w:cs="Arial"/>
          <w:sz w:val="52"/>
          <w:szCs w:val="52"/>
        </w:rPr>
        <w:t>2</w:t>
      </w:r>
    </w:p>
    <w:p w14:paraId="42767802" w14:textId="36685E12" w:rsidR="000C30E4" w:rsidRPr="000C30E4" w:rsidRDefault="00FA2977" w:rsidP="00177ED8">
      <w:pPr>
        <w:spacing w:line="480" w:lineRule="auto"/>
        <w:jc w:val="center"/>
        <w:rPr>
          <w:rFonts w:ascii="Arial" w:hAnsi="Arial" w:cs="Arial"/>
          <w:b/>
          <w:sz w:val="52"/>
          <w:szCs w:val="52"/>
          <w:u w:val="single"/>
        </w:rPr>
      </w:pPr>
      <w:r w:rsidRPr="00FA2977">
        <w:rPr>
          <w:rFonts w:ascii="Arial" w:hAnsi="Arial" w:cs="Arial"/>
          <w:b/>
          <w:sz w:val="52"/>
          <w:szCs w:val="52"/>
          <w:u w:val="single"/>
        </w:rPr>
        <w:t>History of the trust</w:t>
      </w:r>
    </w:p>
    <w:p w14:paraId="24157371" w14:textId="514B8D36" w:rsidR="00D56668" w:rsidRDefault="5C910DBD" w:rsidP="00177ED8">
      <w:pPr>
        <w:spacing w:line="480" w:lineRule="auto"/>
        <w:jc w:val="center"/>
        <w:rPr>
          <w:rFonts w:ascii="Arial" w:hAnsi="Arial" w:cs="Arial"/>
          <w:sz w:val="52"/>
          <w:szCs w:val="52"/>
        </w:rPr>
      </w:pPr>
      <w:r w:rsidRPr="5C910DBD">
        <w:rPr>
          <w:rFonts w:ascii="Arial" w:hAnsi="Arial" w:cs="Arial"/>
          <w:sz w:val="52"/>
          <w:szCs w:val="52"/>
        </w:rPr>
        <w:t>202</w:t>
      </w:r>
      <w:r w:rsidR="009B4264">
        <w:rPr>
          <w:rFonts w:ascii="Arial" w:hAnsi="Arial" w:cs="Arial"/>
          <w:sz w:val="52"/>
          <w:szCs w:val="52"/>
        </w:rPr>
        <w:t>4</w:t>
      </w:r>
      <w:r w:rsidRPr="5C910DBD">
        <w:rPr>
          <w:rFonts w:ascii="Arial" w:hAnsi="Arial" w:cs="Arial"/>
          <w:sz w:val="52"/>
          <w:szCs w:val="52"/>
        </w:rPr>
        <w:t>/2</w:t>
      </w:r>
      <w:r w:rsidR="009B4264">
        <w:rPr>
          <w:rFonts w:ascii="Arial" w:hAnsi="Arial" w:cs="Arial"/>
          <w:sz w:val="52"/>
          <w:szCs w:val="52"/>
        </w:rPr>
        <w:t>5</w:t>
      </w:r>
    </w:p>
    <w:p w14:paraId="03612AE5" w14:textId="6FDBEA69" w:rsidR="00DB12B4" w:rsidRPr="00524CC3" w:rsidRDefault="00DB12B4" w:rsidP="00177ED8">
      <w:pPr>
        <w:spacing w:line="480" w:lineRule="auto"/>
        <w:jc w:val="center"/>
        <w:rPr>
          <w:rFonts w:ascii="Arial" w:hAnsi="Arial" w:cs="Arial"/>
          <w:sz w:val="52"/>
          <w:szCs w:val="52"/>
        </w:rPr>
      </w:pPr>
      <w:r>
        <w:rPr>
          <w:rFonts w:ascii="Arial" w:hAnsi="Arial" w:cs="Arial"/>
          <w:sz w:val="52"/>
          <w:szCs w:val="52"/>
        </w:rPr>
        <w:t xml:space="preserve">Dr </w:t>
      </w:r>
      <w:r w:rsidR="00FA2977">
        <w:rPr>
          <w:rFonts w:ascii="Arial" w:hAnsi="Arial" w:cs="Arial"/>
          <w:sz w:val="52"/>
          <w:szCs w:val="52"/>
        </w:rPr>
        <w:t>Matteo Patrone</w:t>
      </w:r>
    </w:p>
    <w:p w14:paraId="41C8F396" w14:textId="50C16C6F" w:rsidR="006C48D2" w:rsidRPr="00F429DA" w:rsidRDefault="00177ED8" w:rsidP="00CE1806">
      <w:pPr>
        <w:spacing w:after="200" w:line="276" w:lineRule="auto"/>
        <w:rPr>
          <w:rFonts w:ascii="Arial" w:hAnsi="Arial" w:cs="Arial"/>
          <w:sz w:val="48"/>
          <w:szCs w:val="48"/>
          <w:highlight w:val="yellow"/>
        </w:rPr>
      </w:pPr>
      <w:r w:rsidRPr="0F17C316">
        <w:rPr>
          <w:rFonts w:ascii="Arial" w:hAnsi="Arial" w:cs="Arial"/>
          <w:sz w:val="48"/>
          <w:szCs w:val="48"/>
        </w:rPr>
        <w:br w:type="page"/>
      </w:r>
    </w:p>
    <w:p w14:paraId="481B96DB" w14:textId="4AE40C0B" w:rsidR="00CE1806" w:rsidRDefault="00CE1806" w:rsidP="2CE1E61E">
      <w:pPr>
        <w:pStyle w:val="Paragrafoelenco"/>
        <w:numPr>
          <w:ilvl w:val="0"/>
          <w:numId w:val="3"/>
        </w:numPr>
        <w:spacing w:line="480" w:lineRule="auto"/>
        <w:rPr>
          <w:rFonts w:ascii="Arial" w:hAnsi="Arial" w:cs="Arial"/>
          <w:b/>
          <w:bCs/>
          <w:sz w:val="24"/>
          <w:szCs w:val="24"/>
        </w:rPr>
      </w:pPr>
      <w:r>
        <w:rPr>
          <w:rFonts w:ascii="Arial" w:hAnsi="Arial" w:cs="Arial"/>
          <w:b/>
          <w:bCs/>
          <w:sz w:val="24"/>
          <w:szCs w:val="24"/>
        </w:rPr>
        <w:lastRenderedPageBreak/>
        <w:t>Reading</w:t>
      </w:r>
    </w:p>
    <w:p w14:paraId="09EEC990" w14:textId="6D866759" w:rsidR="00CE1806" w:rsidRPr="00B944B7" w:rsidRDefault="00CE1806" w:rsidP="00F9563A">
      <w:pPr>
        <w:spacing w:line="480" w:lineRule="auto"/>
        <w:rPr>
          <w:rFonts w:ascii="Arial" w:eastAsia="Times New Roman" w:hAnsi="Arial" w:cs="Arial"/>
          <w:bCs/>
          <w:iCs/>
          <w:lang w:bidi="en-US"/>
        </w:rPr>
      </w:pPr>
      <w:r w:rsidRPr="00B944B7">
        <w:rPr>
          <w:rFonts w:ascii="Arial" w:eastAsia="Times New Roman" w:hAnsi="Arial" w:cs="Arial"/>
          <w:bCs/>
          <w:iCs/>
          <w:lang w:bidi="en-US"/>
        </w:rPr>
        <w:t>For essential and further reading, please see the Reading List feature on Learn Ultra. </w:t>
      </w:r>
    </w:p>
    <w:p w14:paraId="596B6128" w14:textId="6BE0F10E" w:rsidR="00F9563A" w:rsidRPr="00307F25" w:rsidRDefault="00F9563A" w:rsidP="00F9563A">
      <w:pPr>
        <w:pStyle w:val="Paragrafoelenco"/>
        <w:numPr>
          <w:ilvl w:val="0"/>
          <w:numId w:val="3"/>
        </w:numPr>
        <w:spacing w:after="0" w:line="240" w:lineRule="auto"/>
        <w:rPr>
          <w:rFonts w:cstheme="minorHAnsi"/>
          <w:b/>
          <w:bCs/>
          <w:sz w:val="24"/>
          <w:szCs w:val="24"/>
        </w:rPr>
      </w:pPr>
      <w:r w:rsidRPr="00307F25">
        <w:rPr>
          <w:rFonts w:cstheme="minorHAnsi"/>
          <w:b/>
          <w:bCs/>
          <w:sz w:val="24"/>
          <w:szCs w:val="24"/>
        </w:rPr>
        <w:t xml:space="preserve">A </w:t>
      </w:r>
      <w:r w:rsidRPr="00307F25">
        <w:rPr>
          <w:rFonts w:cstheme="minorHAnsi"/>
          <w:b/>
          <w:bCs/>
          <w:sz w:val="24"/>
          <w:szCs w:val="24"/>
        </w:rPr>
        <w:t>brief introduction to equity and its historical development</w:t>
      </w:r>
    </w:p>
    <w:p w14:paraId="077B1A78" w14:textId="77777777" w:rsidR="00F9563A" w:rsidRPr="00307F25" w:rsidRDefault="00F9563A" w:rsidP="00F9563A">
      <w:pPr>
        <w:spacing w:after="0" w:line="240" w:lineRule="auto"/>
        <w:rPr>
          <w:rFonts w:cstheme="minorHAnsi"/>
          <w:b/>
          <w:bCs/>
          <w:sz w:val="24"/>
          <w:szCs w:val="24"/>
        </w:rPr>
      </w:pPr>
    </w:p>
    <w:p w14:paraId="18B32664" w14:textId="77777777" w:rsidR="00F9563A" w:rsidRPr="00307F25" w:rsidRDefault="00F9563A" w:rsidP="00F9563A">
      <w:pPr>
        <w:pStyle w:val="Paragrafoelenco"/>
        <w:numPr>
          <w:ilvl w:val="0"/>
          <w:numId w:val="21"/>
        </w:numPr>
        <w:spacing w:after="0" w:line="240" w:lineRule="auto"/>
        <w:rPr>
          <w:rFonts w:cstheme="minorHAnsi"/>
          <w:b/>
          <w:bCs/>
          <w:sz w:val="24"/>
          <w:szCs w:val="24"/>
        </w:rPr>
      </w:pPr>
      <w:r w:rsidRPr="00307F25">
        <w:rPr>
          <w:rFonts w:cstheme="minorHAnsi"/>
          <w:b/>
          <w:bCs/>
          <w:sz w:val="24"/>
          <w:szCs w:val="24"/>
        </w:rPr>
        <w:t>What is Equity?</w:t>
      </w:r>
    </w:p>
    <w:p w14:paraId="2BD49808" w14:textId="77777777" w:rsidR="00F9563A" w:rsidRPr="00307F25" w:rsidRDefault="00F9563A" w:rsidP="00F9563A">
      <w:pPr>
        <w:pStyle w:val="Paragrafoelenco"/>
        <w:spacing w:after="0" w:line="240" w:lineRule="auto"/>
        <w:rPr>
          <w:rFonts w:cstheme="minorHAnsi"/>
          <w:b/>
          <w:bCs/>
          <w:sz w:val="24"/>
          <w:szCs w:val="24"/>
        </w:rPr>
      </w:pPr>
    </w:p>
    <w:p w14:paraId="21AA4F16" w14:textId="77777777" w:rsidR="00897129" w:rsidRDefault="00F9563A" w:rsidP="00F9563A">
      <w:pPr>
        <w:jc w:val="both"/>
        <w:rPr>
          <w:rFonts w:asciiTheme="minorBidi" w:hAnsiTheme="minorBidi"/>
        </w:rPr>
      </w:pPr>
      <w:r w:rsidRPr="00F9563A">
        <w:rPr>
          <w:rFonts w:asciiTheme="minorBidi" w:hAnsiTheme="minorBidi"/>
        </w:rPr>
        <w:t>Equity in English law is a body of law with its own rules, rights and remedies that developed in the Court of Chancery until the creation of the modern court system during the 1870s.</w:t>
      </w:r>
    </w:p>
    <w:p w14:paraId="15D92C3F" w14:textId="3C47984B" w:rsidR="00F9563A" w:rsidRPr="00F9563A" w:rsidRDefault="00F9563A" w:rsidP="00F9563A">
      <w:pPr>
        <w:jc w:val="both"/>
        <w:rPr>
          <w:rFonts w:asciiTheme="minorBidi" w:hAnsiTheme="minorBidi"/>
        </w:rPr>
      </w:pPr>
      <w:r w:rsidRPr="00F9563A">
        <w:rPr>
          <w:rFonts w:asciiTheme="minorBidi" w:hAnsiTheme="minorBidi"/>
        </w:rPr>
        <w:t>As a body of law, equity developed separately from the common law. Although equity and the common law no longer have separate courts, there are still distinct “equitable” rules, principles and remedies that are quite different from the doctrines and remedies of common law. In order to appreciate why there are two bodies of law governing civil matters in English Law, it is necessary to consider the historical development of equity.</w:t>
      </w:r>
    </w:p>
    <w:p w14:paraId="47832F59" w14:textId="77777777" w:rsidR="00F9563A" w:rsidRPr="00307F25" w:rsidRDefault="00F9563A" w:rsidP="00F9563A">
      <w:pPr>
        <w:pStyle w:val="Paragrafoelenco"/>
        <w:numPr>
          <w:ilvl w:val="0"/>
          <w:numId w:val="21"/>
        </w:numPr>
        <w:rPr>
          <w:rFonts w:cstheme="minorHAnsi"/>
          <w:b/>
          <w:bCs/>
          <w:sz w:val="24"/>
          <w:szCs w:val="24"/>
        </w:rPr>
      </w:pPr>
      <w:r w:rsidRPr="00307F25">
        <w:rPr>
          <w:rFonts w:cstheme="minorHAnsi"/>
          <w:b/>
          <w:bCs/>
          <w:sz w:val="24"/>
          <w:szCs w:val="24"/>
        </w:rPr>
        <w:t>The Medieval Common Law and its Inflexibility</w:t>
      </w:r>
    </w:p>
    <w:p w14:paraId="6B712BE1" w14:textId="77777777" w:rsidR="00897129" w:rsidRDefault="00F9563A" w:rsidP="00F9563A">
      <w:pPr>
        <w:jc w:val="both"/>
        <w:rPr>
          <w:rFonts w:asciiTheme="minorBidi" w:hAnsiTheme="minorBidi"/>
          <w:sz w:val="24"/>
          <w:szCs w:val="24"/>
        </w:rPr>
      </w:pPr>
      <w:r w:rsidRPr="00F9563A">
        <w:rPr>
          <w:rFonts w:asciiTheme="minorBidi" w:hAnsiTheme="minorBidi"/>
          <w:sz w:val="24"/>
          <w:szCs w:val="24"/>
        </w:rPr>
        <w:t xml:space="preserve">From 1066 onwards, </w:t>
      </w:r>
      <w:r w:rsidR="00897129">
        <w:rPr>
          <w:rFonts w:asciiTheme="minorBidi" w:hAnsiTheme="minorBidi"/>
          <w:sz w:val="24"/>
          <w:szCs w:val="24"/>
        </w:rPr>
        <w:t>t</w:t>
      </w:r>
      <w:r w:rsidR="00897129" w:rsidRPr="00897129">
        <w:rPr>
          <w:rFonts w:asciiTheme="minorBidi" w:hAnsiTheme="minorBidi"/>
          <w:sz w:val="24"/>
          <w:szCs w:val="24"/>
        </w:rPr>
        <w:t>he majority of cases were heard locally by shire courts, hundred courts, and local lords</w:t>
      </w:r>
      <w:r w:rsidR="00897129">
        <w:rPr>
          <w:rStyle w:val="Rimandonotaapidipagina"/>
          <w:rFonts w:asciiTheme="minorBidi" w:hAnsiTheme="minorBidi"/>
          <w:sz w:val="24"/>
          <w:szCs w:val="24"/>
        </w:rPr>
        <w:footnoteReference w:id="1"/>
      </w:r>
      <w:r w:rsidRPr="00F9563A">
        <w:rPr>
          <w:rFonts w:asciiTheme="minorBidi" w:hAnsiTheme="minorBidi"/>
          <w:sz w:val="24"/>
          <w:szCs w:val="24"/>
        </w:rPr>
        <w:t xml:space="preserve">. </w:t>
      </w:r>
      <w:r w:rsidR="00897129">
        <w:rPr>
          <w:rFonts w:asciiTheme="minorBidi" w:hAnsiTheme="minorBidi"/>
          <w:sz w:val="24"/>
          <w:szCs w:val="24"/>
        </w:rPr>
        <w:t>However, e</w:t>
      </w:r>
      <w:r w:rsidR="00897129" w:rsidRPr="00897129">
        <w:rPr>
          <w:rFonts w:asciiTheme="minorBidi" w:hAnsiTheme="minorBidi"/>
          <w:sz w:val="24"/>
          <w:szCs w:val="24"/>
        </w:rPr>
        <w:t xml:space="preserve">ffective government required the King and his courtiers to </w:t>
      </w:r>
      <w:r w:rsidR="00897129">
        <w:rPr>
          <w:rFonts w:asciiTheme="minorBidi" w:hAnsiTheme="minorBidi"/>
          <w:sz w:val="24"/>
          <w:szCs w:val="24"/>
        </w:rPr>
        <w:t>keep some competences:</w:t>
      </w:r>
    </w:p>
    <w:p w14:paraId="37045BF8" w14:textId="6AFC1378" w:rsidR="00897129" w:rsidRPr="00897129" w:rsidRDefault="00897129" w:rsidP="00897129">
      <w:pPr>
        <w:pStyle w:val="Paragrafoelenco"/>
        <w:numPr>
          <w:ilvl w:val="0"/>
          <w:numId w:val="23"/>
        </w:numPr>
        <w:jc w:val="both"/>
        <w:rPr>
          <w:rFonts w:asciiTheme="minorBidi" w:hAnsiTheme="minorBidi"/>
          <w:sz w:val="24"/>
          <w:szCs w:val="24"/>
        </w:rPr>
      </w:pPr>
      <w:r w:rsidRPr="00897129">
        <w:rPr>
          <w:rFonts w:asciiTheme="minorBidi" w:hAnsiTheme="minorBidi"/>
          <w:sz w:val="24"/>
          <w:szCs w:val="24"/>
        </w:rPr>
        <w:t xml:space="preserve">taxes – Exchequer </w:t>
      </w:r>
    </w:p>
    <w:p w14:paraId="47C53912" w14:textId="566796E3" w:rsidR="00897129" w:rsidRPr="00897129" w:rsidRDefault="00897129" w:rsidP="00897129">
      <w:pPr>
        <w:pStyle w:val="Paragrafoelenco"/>
        <w:numPr>
          <w:ilvl w:val="0"/>
          <w:numId w:val="23"/>
        </w:numPr>
        <w:jc w:val="both"/>
        <w:rPr>
          <w:rFonts w:asciiTheme="minorBidi" w:hAnsiTheme="minorBidi"/>
          <w:sz w:val="24"/>
          <w:szCs w:val="24"/>
        </w:rPr>
      </w:pPr>
      <w:r w:rsidRPr="00897129">
        <w:rPr>
          <w:rFonts w:asciiTheme="minorBidi" w:hAnsiTheme="minorBidi"/>
          <w:sz w:val="24"/>
          <w:szCs w:val="24"/>
        </w:rPr>
        <w:t>cases that concerned the sovereign or cases affecting great persons privileged to be tried only before him – King’s Bench</w:t>
      </w:r>
    </w:p>
    <w:p w14:paraId="3A95BD14" w14:textId="30219333" w:rsidR="00897129" w:rsidRPr="00897129" w:rsidRDefault="00897129" w:rsidP="00897129">
      <w:pPr>
        <w:pStyle w:val="Paragrafoelenco"/>
        <w:numPr>
          <w:ilvl w:val="0"/>
          <w:numId w:val="23"/>
        </w:numPr>
        <w:jc w:val="both"/>
        <w:rPr>
          <w:rFonts w:asciiTheme="minorBidi" w:hAnsiTheme="minorBidi"/>
          <w:sz w:val="24"/>
          <w:szCs w:val="24"/>
        </w:rPr>
      </w:pPr>
      <w:r w:rsidRPr="00897129">
        <w:rPr>
          <w:rFonts w:asciiTheme="minorBidi" w:hAnsiTheme="minorBidi"/>
          <w:sz w:val="24"/>
          <w:szCs w:val="24"/>
        </w:rPr>
        <w:t>normal cases better to be decided by the king (e.g. land related) – Common Pleas</w:t>
      </w:r>
    </w:p>
    <w:p w14:paraId="1E64D0F5" w14:textId="156DCB4F" w:rsidR="00746798" w:rsidRDefault="00F9563A" w:rsidP="00F9563A">
      <w:pPr>
        <w:jc w:val="both"/>
        <w:rPr>
          <w:rFonts w:asciiTheme="minorBidi" w:hAnsiTheme="minorBidi"/>
          <w:sz w:val="24"/>
          <w:szCs w:val="24"/>
        </w:rPr>
      </w:pPr>
      <w:r w:rsidRPr="00F9563A">
        <w:rPr>
          <w:rFonts w:asciiTheme="minorBidi" w:hAnsiTheme="minorBidi"/>
          <w:sz w:val="24"/>
          <w:szCs w:val="24"/>
        </w:rPr>
        <w:t>These courts began to develop judge-made law</w:t>
      </w:r>
      <w:r w:rsidR="00746798">
        <w:rPr>
          <w:rFonts w:asciiTheme="minorBidi" w:hAnsiTheme="minorBidi"/>
          <w:sz w:val="24"/>
          <w:szCs w:val="24"/>
        </w:rPr>
        <w:t xml:space="preserve"> and little by little they took over the local courts.</w:t>
      </w:r>
      <w:r w:rsidRPr="00F9563A">
        <w:rPr>
          <w:rFonts w:asciiTheme="minorBidi" w:hAnsiTheme="minorBidi"/>
          <w:sz w:val="24"/>
          <w:szCs w:val="24"/>
        </w:rPr>
        <w:t xml:space="preserve"> This legal system was common to the whole of England, so it came to be called the ‘common law’.</w:t>
      </w:r>
    </w:p>
    <w:p w14:paraId="67282624" w14:textId="75867255" w:rsidR="00746798" w:rsidRDefault="00242012" w:rsidP="00746798">
      <w:pPr>
        <w:jc w:val="both"/>
        <w:rPr>
          <w:rFonts w:asciiTheme="minorBidi" w:hAnsiTheme="minorBidi"/>
          <w:sz w:val="24"/>
          <w:szCs w:val="24"/>
        </w:rPr>
      </w:pPr>
      <w:r w:rsidRPr="00F9563A">
        <w:rPr>
          <w:rFonts w:asciiTheme="minorBidi" w:hAnsiTheme="minorBidi"/>
          <w:sz w:val="24"/>
          <w:szCs w:val="24"/>
        </w:rPr>
        <w:t>In particular, the common law, early in its development, established certain ‘</w:t>
      </w:r>
      <w:r>
        <w:rPr>
          <w:rFonts w:asciiTheme="minorBidi" w:hAnsiTheme="minorBidi"/>
          <w:sz w:val="24"/>
          <w:szCs w:val="24"/>
        </w:rPr>
        <w:t>writs</w:t>
      </w:r>
      <w:r w:rsidRPr="00F9563A">
        <w:rPr>
          <w:rFonts w:asciiTheme="minorBidi" w:hAnsiTheme="minorBidi"/>
          <w:sz w:val="24"/>
          <w:szCs w:val="24"/>
        </w:rPr>
        <w:t xml:space="preserve">’ which determined the kinds of claims that could be brought. </w:t>
      </w:r>
      <w:r w:rsidR="00746798" w:rsidRPr="00746798">
        <w:rPr>
          <w:rFonts w:asciiTheme="minorBidi" w:hAnsiTheme="minorBidi"/>
          <w:sz w:val="24"/>
          <w:szCs w:val="24"/>
        </w:rPr>
        <w:t>Writs bearing the royal seal were issued out of Chancery to deal with any matters of law and justice falling within the King’s special concern or ‘prerogative’. Most significant for us is that the King’s prerogative included the power to deal with ‘unjust judgment’ and ‘default of justice’.</w:t>
      </w:r>
    </w:p>
    <w:p w14:paraId="41DD1E8A" w14:textId="1588F7B9" w:rsidR="00242012" w:rsidRPr="00746798" w:rsidRDefault="00242012" w:rsidP="00242012">
      <w:pPr>
        <w:jc w:val="both"/>
        <w:rPr>
          <w:rFonts w:asciiTheme="minorBidi" w:hAnsiTheme="minorBidi"/>
          <w:sz w:val="24"/>
          <w:szCs w:val="24"/>
        </w:rPr>
      </w:pPr>
      <w:r w:rsidRPr="00746798">
        <w:rPr>
          <w:rFonts w:asciiTheme="minorBidi" w:hAnsiTheme="minorBidi"/>
          <w:sz w:val="24"/>
          <w:szCs w:val="24"/>
        </w:rPr>
        <w:t xml:space="preserve">The King’s Chancellor was </w:t>
      </w:r>
      <w:r>
        <w:rPr>
          <w:rFonts w:asciiTheme="minorBidi" w:hAnsiTheme="minorBidi"/>
          <w:sz w:val="24"/>
          <w:szCs w:val="24"/>
        </w:rPr>
        <w:t>the head of the Chancery.</w:t>
      </w:r>
      <w:r w:rsidRPr="00746798">
        <w:rPr>
          <w:rFonts w:asciiTheme="minorBidi" w:hAnsiTheme="minorBidi"/>
          <w:sz w:val="24"/>
          <w:szCs w:val="24"/>
        </w:rPr>
        <w:t xml:space="preserve"> He was a learned cleric, usually a bishop, whose role was to advise the King as a member of his private (‘privy’) council.</w:t>
      </w:r>
      <w:r>
        <w:rPr>
          <w:rFonts w:asciiTheme="minorBidi" w:hAnsiTheme="minorBidi"/>
          <w:sz w:val="24"/>
          <w:szCs w:val="24"/>
        </w:rPr>
        <w:t xml:space="preserve"> </w:t>
      </w:r>
    </w:p>
    <w:p w14:paraId="786C0108" w14:textId="77777777" w:rsidR="00746798" w:rsidRDefault="00746798" w:rsidP="00746798">
      <w:pPr>
        <w:jc w:val="both"/>
      </w:pPr>
      <w:r w:rsidRPr="00746798">
        <w:rPr>
          <w:rFonts w:asciiTheme="minorBidi" w:hAnsiTheme="minorBidi"/>
          <w:sz w:val="24"/>
          <w:szCs w:val="24"/>
        </w:rPr>
        <w:t>By the thirteenth century, certain royal writs could be purchased cheaply and directly from the Chancery</w:t>
      </w:r>
      <w:r>
        <w:rPr>
          <w:rFonts w:asciiTheme="minorBidi" w:hAnsiTheme="minorBidi"/>
          <w:sz w:val="24"/>
          <w:szCs w:val="24"/>
        </w:rPr>
        <w:t xml:space="preserve"> and the King’s justice had as a matter of facts replaced the local one.</w:t>
      </w:r>
    </w:p>
    <w:p w14:paraId="38CCDD36" w14:textId="67C47FE9" w:rsidR="00746798" w:rsidRDefault="00746798" w:rsidP="00746798">
      <w:pPr>
        <w:jc w:val="both"/>
        <w:rPr>
          <w:rFonts w:asciiTheme="minorBidi" w:hAnsiTheme="minorBidi"/>
          <w:sz w:val="24"/>
          <w:szCs w:val="24"/>
        </w:rPr>
      </w:pPr>
      <w:r w:rsidRPr="00746798">
        <w:rPr>
          <w:rFonts w:asciiTheme="minorBidi" w:hAnsiTheme="minorBidi"/>
          <w:sz w:val="24"/>
          <w:szCs w:val="24"/>
        </w:rPr>
        <w:lastRenderedPageBreak/>
        <w:t>In the 13th century, lords sought to limit the king's major role in administering justice. This desire is reflected in the following three documents:</w:t>
      </w:r>
    </w:p>
    <w:p w14:paraId="53BC87EF" w14:textId="19A4FE45" w:rsidR="00746798" w:rsidRPr="00746798" w:rsidRDefault="00746798" w:rsidP="00746798">
      <w:pPr>
        <w:pStyle w:val="Paragrafoelenco"/>
        <w:numPr>
          <w:ilvl w:val="0"/>
          <w:numId w:val="24"/>
        </w:numPr>
        <w:jc w:val="both"/>
        <w:rPr>
          <w:rFonts w:asciiTheme="minorBidi" w:hAnsiTheme="minorBidi"/>
          <w:sz w:val="24"/>
          <w:szCs w:val="24"/>
          <w:lang w:val="en-US"/>
        </w:rPr>
      </w:pPr>
      <w:r w:rsidRPr="00746798">
        <w:rPr>
          <w:rFonts w:asciiTheme="minorBidi" w:hAnsiTheme="minorBidi"/>
          <w:sz w:val="24"/>
          <w:szCs w:val="24"/>
          <w:lang w:val="en-US"/>
        </w:rPr>
        <w:t xml:space="preserve">the </w:t>
      </w:r>
      <w:r w:rsidRPr="006B3AAC">
        <w:rPr>
          <w:rFonts w:asciiTheme="minorBidi" w:hAnsiTheme="minorBidi"/>
          <w:i/>
          <w:iCs/>
          <w:sz w:val="24"/>
          <w:szCs w:val="24"/>
          <w:lang w:val="en-US"/>
        </w:rPr>
        <w:t xml:space="preserve">Magna Carta </w:t>
      </w:r>
      <w:proofErr w:type="spellStart"/>
      <w:r w:rsidRPr="006B3AAC">
        <w:rPr>
          <w:rFonts w:asciiTheme="minorBidi" w:hAnsiTheme="minorBidi"/>
          <w:i/>
          <w:iCs/>
          <w:sz w:val="24"/>
          <w:szCs w:val="24"/>
          <w:lang w:val="en-US"/>
        </w:rPr>
        <w:t>libertatum</w:t>
      </w:r>
      <w:proofErr w:type="spellEnd"/>
      <w:r w:rsidRPr="00746798">
        <w:rPr>
          <w:rFonts w:asciiTheme="minorBidi" w:hAnsiTheme="minorBidi"/>
          <w:sz w:val="24"/>
          <w:szCs w:val="24"/>
          <w:lang w:val="en-US"/>
        </w:rPr>
        <w:t xml:space="preserve"> 1215</w:t>
      </w:r>
    </w:p>
    <w:p w14:paraId="6C80B49A" w14:textId="3257902A" w:rsidR="00746798" w:rsidRPr="00746798" w:rsidRDefault="00746798" w:rsidP="00746798">
      <w:pPr>
        <w:pStyle w:val="Paragrafoelenco"/>
        <w:numPr>
          <w:ilvl w:val="0"/>
          <w:numId w:val="24"/>
        </w:numPr>
        <w:jc w:val="both"/>
        <w:rPr>
          <w:rFonts w:asciiTheme="minorBidi" w:hAnsiTheme="minorBidi"/>
          <w:sz w:val="24"/>
          <w:szCs w:val="24"/>
        </w:rPr>
      </w:pPr>
      <w:r w:rsidRPr="00746798">
        <w:rPr>
          <w:rFonts w:asciiTheme="minorBidi" w:hAnsiTheme="minorBidi"/>
          <w:sz w:val="24"/>
          <w:szCs w:val="24"/>
          <w:lang w:val="en-US"/>
        </w:rPr>
        <w:t xml:space="preserve">the </w:t>
      </w:r>
      <w:r w:rsidRPr="006B3AAC">
        <w:rPr>
          <w:rFonts w:asciiTheme="minorBidi" w:hAnsiTheme="minorBidi"/>
          <w:i/>
          <w:iCs/>
          <w:sz w:val="24"/>
          <w:szCs w:val="24"/>
        </w:rPr>
        <w:t>Provisions of Oxford</w:t>
      </w:r>
      <w:r w:rsidRPr="00746798">
        <w:rPr>
          <w:rFonts w:asciiTheme="minorBidi" w:hAnsiTheme="minorBidi"/>
          <w:sz w:val="24"/>
          <w:szCs w:val="24"/>
        </w:rPr>
        <w:t xml:space="preserve"> 1258</w:t>
      </w:r>
      <w:r w:rsidRPr="00746798">
        <w:rPr>
          <w:rFonts w:asciiTheme="minorBidi" w:hAnsiTheme="minorBidi"/>
          <w:sz w:val="24"/>
          <w:szCs w:val="24"/>
        </w:rPr>
        <w:t>;</w:t>
      </w:r>
    </w:p>
    <w:p w14:paraId="224F997C" w14:textId="53159E4B" w:rsidR="00746798" w:rsidRPr="00746798" w:rsidRDefault="00746798" w:rsidP="00746798">
      <w:pPr>
        <w:pStyle w:val="Paragrafoelenco"/>
        <w:numPr>
          <w:ilvl w:val="0"/>
          <w:numId w:val="24"/>
        </w:numPr>
        <w:jc w:val="both"/>
        <w:rPr>
          <w:rFonts w:asciiTheme="minorBidi" w:hAnsiTheme="minorBidi"/>
          <w:sz w:val="24"/>
          <w:szCs w:val="24"/>
        </w:rPr>
      </w:pPr>
      <w:r w:rsidRPr="00746798">
        <w:rPr>
          <w:rFonts w:asciiTheme="minorBidi" w:hAnsiTheme="minorBidi"/>
          <w:sz w:val="24"/>
          <w:szCs w:val="24"/>
        </w:rPr>
        <w:t xml:space="preserve">the </w:t>
      </w:r>
      <w:r w:rsidRPr="006B3AAC">
        <w:rPr>
          <w:rFonts w:asciiTheme="minorBidi" w:hAnsiTheme="minorBidi"/>
          <w:i/>
          <w:iCs/>
          <w:sz w:val="24"/>
          <w:szCs w:val="24"/>
        </w:rPr>
        <w:t>Statute of Westminster II</w:t>
      </w:r>
      <w:r w:rsidRPr="00746798">
        <w:rPr>
          <w:rFonts w:asciiTheme="minorBidi" w:hAnsiTheme="minorBidi"/>
          <w:sz w:val="24"/>
          <w:szCs w:val="24"/>
        </w:rPr>
        <w:t xml:space="preserve"> 1285</w:t>
      </w:r>
    </w:p>
    <w:p w14:paraId="25AB096E" w14:textId="7F90ADEC" w:rsidR="00746798" w:rsidRDefault="00242012" w:rsidP="00746798">
      <w:pPr>
        <w:jc w:val="both"/>
        <w:rPr>
          <w:rFonts w:asciiTheme="minorBidi" w:hAnsiTheme="minorBidi"/>
          <w:sz w:val="24"/>
          <w:szCs w:val="24"/>
        </w:rPr>
      </w:pPr>
      <w:r>
        <w:rPr>
          <w:rFonts w:asciiTheme="minorBidi" w:hAnsiTheme="minorBidi"/>
          <w:sz w:val="24"/>
          <w:szCs w:val="24"/>
        </w:rPr>
        <w:t>The last two</w:t>
      </w:r>
      <w:r w:rsidR="00746798" w:rsidRPr="00746798">
        <w:rPr>
          <w:rFonts w:asciiTheme="minorBidi" w:hAnsiTheme="minorBidi"/>
          <w:sz w:val="24"/>
          <w:szCs w:val="24"/>
        </w:rPr>
        <w:t xml:space="preserve"> established that Chancery had no authority to issue novel writs without the prior approval of the King’s council</w:t>
      </w:r>
      <w:r>
        <w:rPr>
          <w:rFonts w:asciiTheme="minorBidi" w:hAnsiTheme="minorBidi"/>
          <w:sz w:val="24"/>
          <w:szCs w:val="24"/>
        </w:rPr>
        <w:t xml:space="preserve"> (with the local lords in it)</w:t>
      </w:r>
      <w:r w:rsidR="00746798" w:rsidRPr="00746798">
        <w:rPr>
          <w:rFonts w:asciiTheme="minorBidi" w:hAnsiTheme="minorBidi"/>
          <w:sz w:val="24"/>
          <w:szCs w:val="24"/>
        </w:rPr>
        <w:t>, so thereafter claimants had to show that the facts of their case fell within some existing form of writ in order to gain a remedy.</w:t>
      </w:r>
    </w:p>
    <w:p w14:paraId="4B2A6623" w14:textId="77777777" w:rsidR="004C2497" w:rsidRDefault="00242012" w:rsidP="00F9563A">
      <w:pPr>
        <w:jc w:val="both"/>
        <w:rPr>
          <w:rFonts w:asciiTheme="minorBidi" w:hAnsiTheme="minorBidi"/>
          <w:sz w:val="24"/>
          <w:szCs w:val="24"/>
        </w:rPr>
      </w:pPr>
      <w:r>
        <w:rPr>
          <w:rFonts w:asciiTheme="minorBidi" w:hAnsiTheme="minorBidi"/>
          <w:sz w:val="24"/>
          <w:szCs w:val="24"/>
        </w:rPr>
        <w:t>So</w:t>
      </w:r>
      <w:r w:rsidR="00F9563A" w:rsidRPr="00F9563A">
        <w:rPr>
          <w:rFonts w:asciiTheme="minorBidi" w:hAnsiTheme="minorBidi"/>
          <w:sz w:val="24"/>
          <w:szCs w:val="24"/>
        </w:rPr>
        <w:t xml:space="preserve">, the medieval common law became very inflexible in respect of civil claims. Any complaint that did not fall within one of the established </w:t>
      </w:r>
      <w:r>
        <w:rPr>
          <w:rFonts w:asciiTheme="minorBidi" w:hAnsiTheme="minorBidi"/>
          <w:sz w:val="24"/>
          <w:szCs w:val="24"/>
        </w:rPr>
        <w:t>‘writs’</w:t>
      </w:r>
      <w:r w:rsidR="00F9563A" w:rsidRPr="00F9563A">
        <w:rPr>
          <w:rFonts w:asciiTheme="minorBidi" w:hAnsiTheme="minorBidi"/>
          <w:sz w:val="24"/>
          <w:szCs w:val="24"/>
        </w:rPr>
        <w:t xml:space="preserve"> could not form the basis of a claim at common law.</w:t>
      </w:r>
    </w:p>
    <w:p w14:paraId="42AB9374" w14:textId="77777777" w:rsidR="004C2497" w:rsidRDefault="00F9563A" w:rsidP="00F9563A">
      <w:pPr>
        <w:jc w:val="both"/>
        <w:rPr>
          <w:rFonts w:asciiTheme="minorBidi" w:hAnsiTheme="minorBidi"/>
          <w:sz w:val="24"/>
          <w:szCs w:val="24"/>
        </w:rPr>
      </w:pPr>
      <w:r w:rsidRPr="00F9563A">
        <w:rPr>
          <w:rFonts w:asciiTheme="minorBidi" w:hAnsiTheme="minorBidi"/>
          <w:sz w:val="24"/>
          <w:szCs w:val="24"/>
        </w:rPr>
        <w:t>The common law was also very inflexible in terms of what it regarded as acceptable evidence to establish a claim. For example, the only evidence that was usually acceptable at common law to prove title to land were title deeds (special kinds of document proving that legal title to the land had indeed been transferred to the person who was claiming the land).</w:t>
      </w:r>
    </w:p>
    <w:p w14:paraId="0EBC4798" w14:textId="0A50391C" w:rsidR="00F9563A" w:rsidRPr="00F9563A" w:rsidRDefault="00F9563A" w:rsidP="00F9563A">
      <w:pPr>
        <w:jc w:val="both"/>
        <w:rPr>
          <w:rFonts w:asciiTheme="minorBidi" w:hAnsiTheme="minorBidi"/>
          <w:sz w:val="24"/>
          <w:szCs w:val="24"/>
        </w:rPr>
      </w:pPr>
      <w:r w:rsidRPr="00F9563A">
        <w:rPr>
          <w:rFonts w:asciiTheme="minorBidi" w:hAnsiTheme="minorBidi"/>
          <w:sz w:val="24"/>
          <w:szCs w:val="24"/>
        </w:rPr>
        <w:t>Moreover, strict common law procedural rules meant that it was not always possible to examine the defendant, so it could be difficult for a plaintiff to prove their case. Even if a litigant could prove their case at common law, the only remedy that was generally available for many kinds of claim was damages. In instances in which damages would not provide an adequate remedy, the common law could not usually provide justice.</w:t>
      </w:r>
    </w:p>
    <w:p w14:paraId="68135906" w14:textId="77777777" w:rsidR="00F9563A" w:rsidRPr="00307F25" w:rsidRDefault="00F9563A" w:rsidP="00F9563A">
      <w:pPr>
        <w:pStyle w:val="Paragrafoelenco"/>
        <w:numPr>
          <w:ilvl w:val="0"/>
          <w:numId w:val="21"/>
        </w:numPr>
        <w:rPr>
          <w:rFonts w:cstheme="minorHAnsi"/>
          <w:b/>
          <w:bCs/>
          <w:sz w:val="24"/>
          <w:szCs w:val="24"/>
        </w:rPr>
      </w:pPr>
      <w:r w:rsidRPr="00307F25">
        <w:rPr>
          <w:rFonts w:cstheme="minorHAnsi"/>
          <w:b/>
          <w:bCs/>
          <w:sz w:val="24"/>
          <w:szCs w:val="24"/>
        </w:rPr>
        <w:t>Petitions to the Lord Chancellor</w:t>
      </w:r>
    </w:p>
    <w:p w14:paraId="1B5EC2DF" w14:textId="0F27A38C" w:rsidR="00716B6C" w:rsidRDefault="00F9563A" w:rsidP="0023299A">
      <w:pPr>
        <w:spacing w:line="240" w:lineRule="auto"/>
        <w:jc w:val="both"/>
        <w:rPr>
          <w:rFonts w:asciiTheme="minorBidi" w:hAnsiTheme="minorBidi"/>
        </w:rPr>
      </w:pPr>
      <w:r w:rsidRPr="00F9563A">
        <w:rPr>
          <w:rFonts w:asciiTheme="minorBidi" w:hAnsiTheme="minorBidi"/>
        </w:rPr>
        <w:t>Recall, however, that justice was the prerogative of the Crown. This meant that a disgruntled litigant whose complaint could not form the basis of a claim at common law, or who could not obtain a just verdict from the common law (e.g. due to the excessively strict rules on evidence or the remedial inflexibility), could petition the King for justice. These petitions were called ‘</w:t>
      </w:r>
      <w:proofErr w:type="gramStart"/>
      <w:r w:rsidRPr="00F9563A">
        <w:rPr>
          <w:rFonts w:asciiTheme="minorBidi" w:hAnsiTheme="minorBidi"/>
        </w:rPr>
        <w:t>bills’</w:t>
      </w:r>
      <w:proofErr w:type="gramEnd"/>
      <w:r w:rsidRPr="00F9563A">
        <w:rPr>
          <w:rFonts w:asciiTheme="minorBidi" w:hAnsiTheme="minorBidi"/>
        </w:rPr>
        <w:t xml:space="preserve">. </w:t>
      </w:r>
      <w:r w:rsidR="00716B6C">
        <w:rPr>
          <w:rFonts w:asciiTheme="minorBidi" w:hAnsiTheme="minorBidi"/>
        </w:rPr>
        <w:t>Again: m</w:t>
      </w:r>
      <w:r w:rsidRPr="00F9563A">
        <w:rPr>
          <w:rFonts w:asciiTheme="minorBidi" w:hAnsiTheme="minorBidi"/>
        </w:rPr>
        <w:t>edieval kings were generally too busy to concern themselves with these bills, so they came, by the late 12</w:t>
      </w:r>
      <w:r w:rsidRPr="00F9563A">
        <w:rPr>
          <w:rFonts w:asciiTheme="minorBidi" w:hAnsiTheme="minorBidi"/>
          <w:vertAlign w:val="superscript"/>
        </w:rPr>
        <w:t>th</w:t>
      </w:r>
      <w:r w:rsidRPr="00F9563A">
        <w:rPr>
          <w:rFonts w:asciiTheme="minorBidi" w:hAnsiTheme="minorBidi"/>
        </w:rPr>
        <w:t xml:space="preserve"> century, to be delegated to the King’s most senior minister</w:t>
      </w:r>
      <w:r w:rsidR="00716B6C">
        <w:rPr>
          <w:rFonts w:asciiTheme="minorBidi" w:hAnsiTheme="minorBidi"/>
        </w:rPr>
        <w:t>:</w:t>
      </w:r>
      <w:r w:rsidRPr="00F9563A">
        <w:rPr>
          <w:rFonts w:asciiTheme="minorBidi" w:hAnsiTheme="minorBidi"/>
        </w:rPr>
        <w:t xml:space="preserve"> </w:t>
      </w:r>
      <w:proofErr w:type="gramStart"/>
      <w:r w:rsidRPr="00F9563A">
        <w:rPr>
          <w:rFonts w:asciiTheme="minorBidi" w:hAnsiTheme="minorBidi"/>
        </w:rPr>
        <w:t>the</w:t>
      </w:r>
      <w:proofErr w:type="gramEnd"/>
      <w:r w:rsidRPr="00F9563A">
        <w:rPr>
          <w:rFonts w:asciiTheme="minorBidi" w:hAnsiTheme="minorBidi"/>
        </w:rPr>
        <w:t xml:space="preserve"> Lord Chancellor.</w:t>
      </w:r>
    </w:p>
    <w:p w14:paraId="486DF666" w14:textId="77777777" w:rsidR="00716B6C" w:rsidRDefault="00F9563A" w:rsidP="0023299A">
      <w:pPr>
        <w:spacing w:line="240" w:lineRule="auto"/>
        <w:jc w:val="both"/>
        <w:rPr>
          <w:rFonts w:asciiTheme="minorBidi" w:eastAsia="MS Mincho" w:hAnsiTheme="minorBidi"/>
          <w:lang w:bidi="en-US"/>
        </w:rPr>
      </w:pPr>
      <w:r w:rsidRPr="00F9563A">
        <w:rPr>
          <w:rFonts w:asciiTheme="minorBidi" w:hAnsiTheme="minorBidi"/>
        </w:rPr>
        <w:t>The latter, if sympathetic to the plaintiff’s bill, could deliver a verdict that would be personally binding on the defendant.</w:t>
      </w:r>
      <w:r w:rsidRPr="00F9563A">
        <w:rPr>
          <w:rFonts w:asciiTheme="minorBidi" w:eastAsia="MS Mincho" w:hAnsiTheme="minorBidi"/>
          <w:lang w:bidi="en-US"/>
        </w:rPr>
        <w:t xml:space="preserve"> If the defendant failed to obey the Lord Chancellor’s decree, they could be imprisoned for contempt.</w:t>
      </w:r>
    </w:p>
    <w:p w14:paraId="00323B85" w14:textId="77777777" w:rsidR="00716B6C" w:rsidRDefault="00716B6C" w:rsidP="0023299A">
      <w:pPr>
        <w:spacing w:line="240" w:lineRule="auto"/>
        <w:jc w:val="both"/>
        <w:rPr>
          <w:rFonts w:asciiTheme="minorBidi" w:eastAsia="MS Mincho" w:hAnsiTheme="minorBidi"/>
          <w:lang w:bidi="en-US"/>
        </w:rPr>
      </w:pPr>
      <w:r>
        <w:rPr>
          <w:rFonts w:asciiTheme="minorBidi" w:eastAsia="MS Mincho" w:hAnsiTheme="minorBidi"/>
          <w:lang w:bidi="en-US"/>
        </w:rPr>
        <w:t xml:space="preserve">So, </w:t>
      </w:r>
      <w:proofErr w:type="gramStart"/>
      <w:r w:rsidRPr="00716B6C">
        <w:rPr>
          <w:rFonts w:asciiTheme="minorBidi" w:eastAsia="MS Mincho" w:hAnsiTheme="minorBidi"/>
          <w:lang w:bidi="en-US"/>
        </w:rPr>
        <w:t>If</w:t>
      </w:r>
      <w:proofErr w:type="gramEnd"/>
      <w:r w:rsidRPr="00716B6C">
        <w:rPr>
          <w:rFonts w:asciiTheme="minorBidi" w:eastAsia="MS Mincho" w:hAnsiTheme="minorBidi"/>
          <w:lang w:bidi="en-US"/>
        </w:rPr>
        <w:t xml:space="preserve"> someone had a case that did not fit within the existing writs (or later forms of action), they would need to petition the king through </w:t>
      </w:r>
      <w:r>
        <w:rPr>
          <w:rFonts w:asciiTheme="minorBidi" w:eastAsia="MS Mincho" w:hAnsiTheme="minorBidi"/>
          <w:lang w:bidi="en-US"/>
        </w:rPr>
        <w:t>the</w:t>
      </w:r>
      <w:r w:rsidRPr="00716B6C">
        <w:rPr>
          <w:rFonts w:asciiTheme="minorBidi" w:eastAsia="MS Mincho" w:hAnsiTheme="minorBidi"/>
          <w:lang w:bidi="en-US"/>
        </w:rPr>
        <w:t xml:space="preserve"> Chancellor.</w:t>
      </w:r>
    </w:p>
    <w:p w14:paraId="26017E9A" w14:textId="77777777" w:rsidR="00716B6C" w:rsidRDefault="00716B6C" w:rsidP="0023299A">
      <w:pPr>
        <w:spacing w:line="240" w:lineRule="auto"/>
        <w:jc w:val="both"/>
        <w:rPr>
          <w:rFonts w:asciiTheme="minorBidi" w:eastAsia="MS Mincho" w:hAnsiTheme="minorBidi"/>
          <w:lang w:bidi="en-US"/>
        </w:rPr>
      </w:pPr>
      <w:r>
        <w:rPr>
          <w:rFonts w:asciiTheme="minorBidi" w:eastAsia="MS Mincho" w:hAnsiTheme="minorBidi"/>
          <w:lang w:bidi="en-US"/>
        </w:rPr>
        <w:t>Those p</w:t>
      </w:r>
      <w:r w:rsidRPr="00716B6C">
        <w:rPr>
          <w:rFonts w:asciiTheme="minorBidi" w:eastAsia="MS Mincho" w:hAnsiTheme="minorBidi"/>
          <w:lang w:bidi="en-US"/>
        </w:rPr>
        <w:t>etitions became routine in the late thirteenth and early fourteenth centuries, as a way of escaping the rigidity of the common forms of writ, and the judgments of the common law courts.</w:t>
      </w:r>
    </w:p>
    <w:p w14:paraId="2EBBAB7C" w14:textId="77777777" w:rsidR="00716B6C" w:rsidRDefault="00716B6C" w:rsidP="0023299A">
      <w:pPr>
        <w:spacing w:line="240" w:lineRule="auto"/>
        <w:jc w:val="both"/>
        <w:rPr>
          <w:rFonts w:asciiTheme="minorBidi" w:eastAsia="MS Mincho" w:hAnsiTheme="minorBidi"/>
          <w:lang w:bidi="en-US"/>
        </w:rPr>
      </w:pPr>
      <w:r w:rsidRPr="00716B6C">
        <w:rPr>
          <w:rFonts w:asciiTheme="minorBidi" w:eastAsia="MS Mincho" w:hAnsiTheme="minorBidi"/>
          <w:lang w:bidi="en-US"/>
        </w:rPr>
        <w:t xml:space="preserve">The establishment of the Chancellor’s court depended upon a simple hierarchy typical of medieval thought: </w:t>
      </w:r>
      <w:proofErr w:type="gramStart"/>
      <w:r w:rsidRPr="00716B6C">
        <w:rPr>
          <w:rFonts w:asciiTheme="minorBidi" w:eastAsia="MS Mincho" w:hAnsiTheme="minorBidi"/>
          <w:lang w:bidi="en-US"/>
        </w:rPr>
        <w:t>the</w:t>
      </w:r>
      <w:proofErr w:type="gramEnd"/>
      <w:r w:rsidRPr="00716B6C">
        <w:rPr>
          <w:rFonts w:asciiTheme="minorBidi" w:eastAsia="MS Mincho" w:hAnsiTheme="minorBidi"/>
          <w:lang w:bidi="en-US"/>
        </w:rPr>
        <w:t xml:space="preserve"> King was accountable to God for the righteousness of his laws and the Chancellor, as ‘keeper of the king’s conscience’, would act in particular cases to admit ‘merciful exceptions’ to the King’s general laws, to ensure that the King’s conscience was right before God</w:t>
      </w:r>
      <w:r>
        <w:rPr>
          <w:rFonts w:asciiTheme="minorBidi" w:eastAsia="MS Mincho" w:hAnsiTheme="minorBidi"/>
          <w:lang w:bidi="en-US"/>
        </w:rPr>
        <w:t xml:space="preserve"> (don’t forget he was a cleric)</w:t>
      </w:r>
      <w:r w:rsidRPr="00716B6C">
        <w:rPr>
          <w:rFonts w:asciiTheme="minorBidi" w:eastAsia="MS Mincho" w:hAnsiTheme="minorBidi"/>
          <w:lang w:bidi="en-US"/>
        </w:rPr>
        <w:t>.</w:t>
      </w:r>
    </w:p>
    <w:p w14:paraId="0AD08A0C" w14:textId="510F65E5" w:rsidR="00716B6C" w:rsidRDefault="00716B6C" w:rsidP="0023299A">
      <w:pPr>
        <w:spacing w:line="240" w:lineRule="auto"/>
        <w:jc w:val="both"/>
        <w:rPr>
          <w:rFonts w:asciiTheme="minorBidi" w:eastAsia="MS Mincho" w:hAnsiTheme="minorBidi"/>
          <w:lang w:bidi="en-US"/>
        </w:rPr>
      </w:pPr>
      <w:r w:rsidRPr="00716B6C">
        <w:rPr>
          <w:rFonts w:asciiTheme="minorBidi" w:eastAsia="MS Mincho" w:hAnsiTheme="minorBidi"/>
          <w:u w:val="single"/>
          <w:lang w:bidi="en-US"/>
        </w:rPr>
        <w:lastRenderedPageBreak/>
        <w:t>By extension of this hierarchy, the basis for granting relief became concern for the personal ‘conscience’ of the defendant in Chancery</w:t>
      </w:r>
      <w:r w:rsidRPr="00716B6C">
        <w:rPr>
          <w:rFonts w:asciiTheme="minorBidi" w:eastAsia="MS Mincho" w:hAnsiTheme="minorBidi"/>
          <w:lang w:bidi="en-US"/>
        </w:rPr>
        <w:t>. The defendant in Chancery would not be permitted to act in a way that would be ‘unconscionable’</w:t>
      </w:r>
      <w:r>
        <w:rPr>
          <w:rStyle w:val="Rimandonotaapidipagina"/>
          <w:rFonts w:asciiTheme="minorBidi" w:eastAsia="MS Mincho" w:hAnsiTheme="minorBidi"/>
          <w:lang w:bidi="en-US"/>
        </w:rPr>
        <w:footnoteReference w:id="2"/>
      </w:r>
      <w:r w:rsidRPr="00716B6C">
        <w:rPr>
          <w:rFonts w:asciiTheme="minorBidi" w:eastAsia="MS Mincho" w:hAnsiTheme="minorBidi"/>
          <w:lang w:bidi="en-US"/>
        </w:rPr>
        <w:t xml:space="preserve">. If the King’s common law were abused by, say, enforcing a common law right or relying upon a lack of common law formality against a vulnerable defendant this would reflect badly on the King himself. Accordingly, the Chancellor intervened to prevent unconscionable conduct in order to protect the conscience of the king. </w:t>
      </w:r>
      <w:r w:rsidRPr="00716B6C">
        <w:rPr>
          <w:rFonts w:asciiTheme="minorBidi" w:eastAsia="MS Mincho" w:hAnsiTheme="minorBidi"/>
          <w:lang w:bidi="en-US"/>
        </w:rPr>
        <w:t xml:space="preserve">It became an important function of the Chancellor, through his Chancery scribes, to exercise the King’s prerogative of ‘grace’ or ‘mercy’ to grant special relief in particular cases. </w:t>
      </w:r>
    </w:p>
    <w:p w14:paraId="494B2DF8" w14:textId="326FEC7F" w:rsidR="00F9563A" w:rsidRPr="00716B6C" w:rsidRDefault="00F9563A" w:rsidP="0023299A">
      <w:pPr>
        <w:spacing w:line="240" w:lineRule="auto"/>
        <w:jc w:val="both"/>
        <w:rPr>
          <w:rFonts w:asciiTheme="minorBidi" w:hAnsiTheme="minorBidi"/>
        </w:rPr>
      </w:pPr>
      <w:r w:rsidRPr="00F9563A">
        <w:rPr>
          <w:rFonts w:asciiTheme="minorBidi" w:eastAsia="MS Mincho" w:hAnsiTheme="minorBidi"/>
          <w:lang w:bidi="en-US"/>
        </w:rPr>
        <w:t>Another common form of relief was an injunction (a court order) granted by the Lord Chancellor against the enforcement of a common law judgement, with the threat of imprisonment for breaching the injunction.</w:t>
      </w:r>
    </w:p>
    <w:p w14:paraId="642F676C" w14:textId="77777777" w:rsidR="00F9563A" w:rsidRPr="00307F25" w:rsidRDefault="00F9563A" w:rsidP="00F9563A">
      <w:pPr>
        <w:spacing w:after="0" w:line="240" w:lineRule="auto"/>
        <w:jc w:val="both"/>
        <w:rPr>
          <w:rFonts w:eastAsia="MS Mincho" w:cstheme="minorHAnsi"/>
          <w:sz w:val="24"/>
          <w:szCs w:val="24"/>
          <w:lang w:bidi="en-US"/>
        </w:rPr>
      </w:pPr>
    </w:p>
    <w:p w14:paraId="099F7C65" w14:textId="77777777" w:rsidR="00F9563A" w:rsidRPr="00307F25" w:rsidRDefault="00F9563A" w:rsidP="00F9563A">
      <w:pPr>
        <w:pStyle w:val="Paragrafoelenco"/>
        <w:numPr>
          <w:ilvl w:val="0"/>
          <w:numId w:val="21"/>
        </w:numPr>
        <w:spacing w:after="0" w:line="240" w:lineRule="auto"/>
        <w:jc w:val="both"/>
        <w:rPr>
          <w:rFonts w:cstheme="minorHAnsi"/>
          <w:b/>
          <w:bCs/>
          <w:sz w:val="24"/>
          <w:szCs w:val="24"/>
        </w:rPr>
      </w:pPr>
      <w:r w:rsidRPr="00307F25">
        <w:rPr>
          <w:rFonts w:cstheme="minorHAnsi"/>
          <w:b/>
          <w:bCs/>
          <w:sz w:val="24"/>
          <w:szCs w:val="24"/>
        </w:rPr>
        <w:t>Equity Evolves in the Court of Chancery</w:t>
      </w:r>
    </w:p>
    <w:p w14:paraId="4673E038" w14:textId="77777777" w:rsidR="00F9563A" w:rsidRPr="00307F25" w:rsidRDefault="00F9563A" w:rsidP="00F9563A">
      <w:pPr>
        <w:pStyle w:val="Paragrafoelenco"/>
        <w:spacing w:after="0" w:line="240" w:lineRule="auto"/>
        <w:jc w:val="both"/>
        <w:rPr>
          <w:rFonts w:eastAsia="MS Mincho" w:cstheme="minorHAnsi"/>
          <w:sz w:val="24"/>
          <w:szCs w:val="24"/>
          <w:lang w:bidi="en-US"/>
        </w:rPr>
      </w:pPr>
    </w:p>
    <w:p w14:paraId="368CDD61" w14:textId="77777777" w:rsidR="004C2497" w:rsidRDefault="00F9563A" w:rsidP="0023299A">
      <w:pPr>
        <w:spacing w:line="240" w:lineRule="auto"/>
        <w:jc w:val="both"/>
        <w:rPr>
          <w:rFonts w:asciiTheme="minorBidi" w:hAnsiTheme="minorBidi"/>
        </w:rPr>
      </w:pPr>
      <w:r w:rsidRPr="00F9563A">
        <w:rPr>
          <w:rFonts w:asciiTheme="minorBidi" w:hAnsiTheme="minorBidi"/>
        </w:rPr>
        <w:t>It was not long before so much of the Lord Chancellor’s time came to be taken up hearing bills that the Lord Chancellor’s primary role became judicial, and his department, called Chancery, came to be known as the Court of Chancery. The justice that was delivered in the Court of Chancery came to be called ‘equity’. This name derived from the idea that the Lord Chancellor’s jurisdiction arose for the purpose of mitigating the harshness of the common law, so the Lord Chancellor’s judgments relied on the exercise of a wide discretion in order to achieve fair and just outcomes in individual cases.</w:t>
      </w:r>
    </w:p>
    <w:p w14:paraId="5C7EF971" w14:textId="252FD1B5" w:rsidR="004E6B7B" w:rsidRDefault="00F9563A" w:rsidP="0023299A">
      <w:pPr>
        <w:spacing w:line="240" w:lineRule="auto"/>
        <w:jc w:val="both"/>
        <w:rPr>
          <w:rFonts w:asciiTheme="minorBidi" w:eastAsia="MS Mincho" w:hAnsiTheme="minorBidi"/>
          <w:lang w:bidi="en-US"/>
        </w:rPr>
      </w:pPr>
      <w:bookmarkStart w:id="0" w:name="_GoBack"/>
      <w:bookmarkEnd w:id="0"/>
      <w:r w:rsidRPr="00F9563A">
        <w:rPr>
          <w:rFonts w:asciiTheme="minorBidi" w:hAnsiTheme="minorBidi"/>
        </w:rPr>
        <w:t xml:space="preserve">Despite the Lord Chancellor’s extensive judicial function, however, medieval equity was not really a body of law because </w:t>
      </w:r>
      <w:r w:rsidR="004E6B7B">
        <w:rPr>
          <w:rFonts w:asciiTheme="minorBidi" w:hAnsiTheme="minorBidi"/>
        </w:rPr>
        <w:t xml:space="preserve">of the way this embryonic jurisdiction was </w:t>
      </w:r>
      <w:r w:rsidR="0023299A">
        <w:rPr>
          <w:rFonts w:asciiTheme="minorBidi" w:hAnsiTheme="minorBidi"/>
        </w:rPr>
        <w:t>working</w:t>
      </w:r>
      <w:r w:rsidRPr="00F9563A">
        <w:rPr>
          <w:rFonts w:asciiTheme="minorBidi" w:hAnsiTheme="minorBidi"/>
        </w:rPr>
        <w:t xml:space="preserve">. They did not rely on precedents when deciding cases. Rather, they would make their judgment based on whether they felt that the defendant’s conscience was affected- i.e. whether the defendant had acted ‘unconscionably’. Equity had few set rules, and was considered to be arbitrary. This led to Selden’s notorious seventeenth century comment that justice in the Court of Chancery varied like ‘the Chancellor’s foot’. For this reason, common law judges often looked upon equity with contempt, and they frequently resented equity’s interference, especially the Lord Chancellor’s injunctions which prohibited the enforcement of common law judgments. </w:t>
      </w:r>
    </w:p>
    <w:p w14:paraId="08702063" w14:textId="40F8EFFB" w:rsidR="004E6B7B" w:rsidRDefault="004E6B7B" w:rsidP="0023299A">
      <w:pPr>
        <w:spacing w:line="240" w:lineRule="auto"/>
        <w:jc w:val="both"/>
        <w:rPr>
          <w:rFonts w:asciiTheme="minorBidi" w:eastAsia="MS Mincho" w:hAnsiTheme="minorBidi"/>
          <w:lang w:val="en-US" w:bidi="en-US"/>
        </w:rPr>
      </w:pPr>
      <w:r w:rsidRPr="004E6B7B">
        <w:rPr>
          <w:rFonts w:asciiTheme="minorBidi" w:eastAsia="MS Mincho" w:hAnsiTheme="minorBidi"/>
          <w:lang w:val="en-US" w:bidi="en-US"/>
        </w:rPr>
        <w:t>In the middle of the fourteenth century, litigation caused by the ‘Black Death’ overwhelmed the common law courts, and the Chancellor picked up a great deal of extra work. So much so, that by the end of the century the Chancellor was dispensing justice on his own authority from his base at Westminster Hall. As petitions to the Chancellor grew in number throughout the fifteenth and sixteenth centuries, the Court of Chancery expanded, and records of the Chancellor’s decisions gradually acquired the status of a separate body of legal authority distinct from the common law.</w:t>
      </w:r>
    </w:p>
    <w:p w14:paraId="09EE468C" w14:textId="2761CD13" w:rsidR="004E6B7B" w:rsidRDefault="004E6B7B" w:rsidP="0023299A">
      <w:pPr>
        <w:spacing w:line="240" w:lineRule="auto"/>
        <w:jc w:val="both"/>
        <w:rPr>
          <w:rFonts w:asciiTheme="minorBidi" w:hAnsiTheme="minorBidi"/>
          <w:lang w:val="en-US"/>
        </w:rPr>
      </w:pPr>
      <w:r w:rsidRPr="004E6B7B">
        <w:rPr>
          <w:rFonts w:asciiTheme="minorBidi" w:hAnsiTheme="minorBidi"/>
          <w:lang w:val="en-US"/>
        </w:rPr>
        <w:t xml:space="preserve">Because the Chancellor could, in practice, overrule decisions made by common law judges, and as equity began to evolve into a distinct jurisdiction, a rivalry developed between the Court of Chancery and the common law courts, as well as between the Chancellor </w:t>
      </w:r>
      <w:r>
        <w:rPr>
          <w:rFonts w:asciiTheme="minorBidi" w:hAnsiTheme="minorBidi"/>
          <w:lang w:val="en-US"/>
        </w:rPr>
        <w:t xml:space="preserve">(Lord </w:t>
      </w:r>
      <w:proofErr w:type="spellStart"/>
      <w:r>
        <w:rPr>
          <w:rFonts w:asciiTheme="minorBidi" w:hAnsiTheme="minorBidi"/>
          <w:lang w:val="en-US"/>
        </w:rPr>
        <w:t>Ellsmere</w:t>
      </w:r>
      <w:proofErr w:type="spellEnd"/>
      <w:r>
        <w:rPr>
          <w:rFonts w:asciiTheme="minorBidi" w:hAnsiTheme="minorBidi"/>
          <w:lang w:val="en-US"/>
        </w:rPr>
        <w:t xml:space="preserve">) </w:t>
      </w:r>
      <w:r w:rsidRPr="004E6B7B">
        <w:rPr>
          <w:rFonts w:asciiTheme="minorBidi" w:hAnsiTheme="minorBidi"/>
          <w:lang w:val="en-US"/>
        </w:rPr>
        <w:t>and the Lord Chief Justice</w:t>
      </w:r>
      <w:r>
        <w:rPr>
          <w:rFonts w:asciiTheme="minorBidi" w:hAnsiTheme="minorBidi"/>
          <w:lang w:val="en-US"/>
        </w:rPr>
        <w:t xml:space="preserve"> (Sir Lord Cooke)</w:t>
      </w:r>
      <w:r w:rsidRPr="004E6B7B">
        <w:rPr>
          <w:rFonts w:asciiTheme="minorBidi" w:hAnsiTheme="minorBidi"/>
          <w:lang w:val="en-US"/>
        </w:rPr>
        <w:t>, the senior judge in common law</w:t>
      </w:r>
      <w:r>
        <w:rPr>
          <w:rFonts w:asciiTheme="minorBidi" w:hAnsiTheme="minorBidi"/>
          <w:lang w:val="en-US"/>
        </w:rPr>
        <w:t>.</w:t>
      </w:r>
    </w:p>
    <w:p w14:paraId="156E9489" w14:textId="61CDFEBC" w:rsidR="004E6B7B" w:rsidRPr="004E6B7B" w:rsidRDefault="004E6B7B" w:rsidP="0023299A">
      <w:pPr>
        <w:spacing w:line="240" w:lineRule="auto"/>
        <w:jc w:val="both"/>
        <w:rPr>
          <w:rFonts w:asciiTheme="minorBidi" w:hAnsiTheme="minorBidi"/>
          <w:lang w:val="en-US"/>
        </w:rPr>
      </w:pPr>
      <w:r w:rsidRPr="004E6B7B">
        <w:rPr>
          <w:rFonts w:asciiTheme="minorBidi" w:hAnsiTheme="minorBidi"/>
          <w:lang w:val="en-US"/>
        </w:rPr>
        <w:t xml:space="preserve">This rivalry reached its peak with the famous </w:t>
      </w:r>
      <w:r w:rsidRPr="004E6B7B">
        <w:rPr>
          <w:rFonts w:asciiTheme="minorBidi" w:hAnsiTheme="minorBidi"/>
          <w:i/>
          <w:iCs/>
          <w:lang w:val="en-US"/>
        </w:rPr>
        <w:t>The Earl of Oxford’s Case</w:t>
      </w:r>
      <w:r>
        <w:rPr>
          <w:rStyle w:val="Rimandonotaapidipagina"/>
          <w:rFonts w:asciiTheme="minorBidi" w:hAnsiTheme="minorBidi"/>
          <w:lang w:val="en-US"/>
        </w:rPr>
        <w:footnoteReference w:id="3"/>
      </w:r>
      <w:r w:rsidR="00DA0604">
        <w:rPr>
          <w:rFonts w:asciiTheme="minorBidi" w:hAnsiTheme="minorBidi"/>
          <w:lang w:val="en-US"/>
        </w:rPr>
        <w:t>: a j</w:t>
      </w:r>
      <w:r w:rsidRPr="004E6B7B">
        <w:rPr>
          <w:rFonts w:asciiTheme="minorBidi" w:hAnsiTheme="minorBidi"/>
          <w:lang w:val="en-US"/>
        </w:rPr>
        <w:t xml:space="preserve">udgment had been awarded against a defendant to a common law action who then took the not unusual step of applying to the Lord Chancellor for an injunction to prevent the enforcement of the common law judgment. The defendant claimed that the common law judgment entered against him had been obtained by fraud. Sir Edward Coke, Lord Chief Justice of the King’s Bench, promptly indicted the defendant, but Lord Ellesmere granted the injunction in </w:t>
      </w:r>
      <w:proofErr w:type="spellStart"/>
      <w:r w:rsidRPr="004E6B7B">
        <w:rPr>
          <w:rFonts w:asciiTheme="minorBidi" w:hAnsiTheme="minorBidi"/>
          <w:lang w:val="en-US"/>
        </w:rPr>
        <w:t>favour</w:t>
      </w:r>
      <w:proofErr w:type="spellEnd"/>
      <w:r w:rsidRPr="004E6B7B">
        <w:rPr>
          <w:rFonts w:asciiTheme="minorBidi" w:hAnsiTheme="minorBidi"/>
          <w:lang w:val="en-US"/>
        </w:rPr>
        <w:t xml:space="preserve"> of the defendant, </w:t>
      </w:r>
      <w:r w:rsidRPr="004E6B7B">
        <w:rPr>
          <w:rFonts w:asciiTheme="minorBidi" w:hAnsiTheme="minorBidi"/>
          <w:lang w:val="en-US"/>
        </w:rPr>
        <w:lastRenderedPageBreak/>
        <w:t xml:space="preserve">with the result that the common law and Chancery were at loggerheads. Coke argued that the Lord Chancellor was guilty of illegally hearing appeals from common law judgments, but Ellesmere reasoned that his injunction did not offend the common law courts. He argued that it merely operated </w:t>
      </w:r>
      <w:r w:rsidRPr="006B3AAC">
        <w:rPr>
          <w:rFonts w:asciiTheme="minorBidi" w:hAnsiTheme="minorBidi"/>
          <w:i/>
          <w:iCs/>
          <w:lang w:val="en-US"/>
        </w:rPr>
        <w:t xml:space="preserve">in </w:t>
      </w:r>
      <w:proofErr w:type="spellStart"/>
      <w:r w:rsidRPr="006B3AAC">
        <w:rPr>
          <w:rFonts w:asciiTheme="minorBidi" w:hAnsiTheme="minorBidi"/>
          <w:i/>
          <w:iCs/>
          <w:lang w:val="en-US"/>
        </w:rPr>
        <w:t>personam</w:t>
      </w:r>
      <w:proofErr w:type="spellEnd"/>
      <w:r w:rsidRPr="004E6B7B">
        <w:rPr>
          <w:rFonts w:asciiTheme="minorBidi" w:hAnsiTheme="minorBidi"/>
          <w:lang w:val="en-US"/>
        </w:rPr>
        <w:t xml:space="preserve"> against the conscience of the person who had been successful at common law</w:t>
      </w:r>
      <w:r w:rsidR="00DA0604">
        <w:rPr>
          <w:rFonts w:asciiTheme="minorBidi" w:hAnsiTheme="minorBidi"/>
          <w:lang w:val="en-US"/>
        </w:rPr>
        <w:t>.</w:t>
      </w:r>
    </w:p>
    <w:p w14:paraId="666DA0A7" w14:textId="5CEEC7BD" w:rsidR="00F9563A" w:rsidRPr="00F9563A" w:rsidRDefault="00DA0604" w:rsidP="00F9563A">
      <w:pPr>
        <w:spacing w:after="0" w:line="240" w:lineRule="auto"/>
        <w:jc w:val="both"/>
        <w:rPr>
          <w:rFonts w:asciiTheme="minorBidi" w:eastAsia="MS Mincho" w:hAnsiTheme="minorBidi"/>
          <w:lang w:bidi="en-US"/>
        </w:rPr>
      </w:pPr>
      <w:r w:rsidRPr="00DA0604">
        <w:rPr>
          <w:rFonts w:asciiTheme="minorBidi" w:eastAsia="MS Mincho" w:hAnsiTheme="minorBidi"/>
          <w:lang w:bidi="en-US"/>
        </w:rPr>
        <w:t>The controversy was</w:t>
      </w:r>
      <w:r w:rsidR="00F9563A" w:rsidRPr="00F9563A">
        <w:rPr>
          <w:rFonts w:asciiTheme="minorBidi" w:eastAsia="MS Mincho" w:hAnsiTheme="minorBidi"/>
          <w:lang w:bidi="en-US"/>
        </w:rPr>
        <w:t xml:space="preserve"> ultimately settled in 1616 by King James I</w:t>
      </w:r>
      <w:r>
        <w:rPr>
          <w:rFonts w:asciiTheme="minorBidi" w:eastAsia="MS Mincho" w:hAnsiTheme="minorBidi"/>
          <w:lang w:bidi="en-US"/>
        </w:rPr>
        <w:t xml:space="preserve"> – o</w:t>
      </w:r>
      <w:r w:rsidRPr="00DA0604">
        <w:rPr>
          <w:rFonts w:asciiTheme="minorBidi" w:eastAsia="MS Mincho" w:hAnsiTheme="minorBidi"/>
          <w:lang w:bidi="en-US"/>
        </w:rPr>
        <w:t>n the advice of his Attorney General, Sir Francis Bacon</w:t>
      </w:r>
      <w:r>
        <w:rPr>
          <w:rFonts w:asciiTheme="minorBidi" w:eastAsia="MS Mincho" w:hAnsiTheme="minorBidi"/>
          <w:lang w:bidi="en-US"/>
        </w:rPr>
        <w:t xml:space="preserve"> –</w:t>
      </w:r>
      <w:r w:rsidR="00F9563A" w:rsidRPr="00F9563A">
        <w:rPr>
          <w:rFonts w:asciiTheme="minorBidi" w:eastAsia="MS Mincho" w:hAnsiTheme="minorBidi"/>
          <w:lang w:bidi="en-US"/>
        </w:rPr>
        <w:t xml:space="preserve"> who was said to declare that ‘where equity and law conflict, equity prevails’.</w:t>
      </w:r>
    </w:p>
    <w:p w14:paraId="16B91E7B" w14:textId="77777777" w:rsidR="00F9563A" w:rsidRPr="00307F25" w:rsidRDefault="00F9563A" w:rsidP="00F9563A">
      <w:pPr>
        <w:spacing w:after="0" w:line="240" w:lineRule="auto"/>
        <w:jc w:val="both"/>
        <w:rPr>
          <w:rFonts w:eastAsia="MS Mincho" w:cstheme="minorHAnsi"/>
          <w:sz w:val="24"/>
          <w:szCs w:val="24"/>
          <w:lang w:bidi="en-US"/>
        </w:rPr>
      </w:pPr>
    </w:p>
    <w:p w14:paraId="56D3192B" w14:textId="77777777" w:rsidR="00F9563A" w:rsidRPr="00307F25" w:rsidRDefault="00F9563A" w:rsidP="00F9563A">
      <w:pPr>
        <w:pStyle w:val="Paragrafoelenco"/>
        <w:numPr>
          <w:ilvl w:val="0"/>
          <w:numId w:val="21"/>
        </w:numPr>
        <w:spacing w:after="0" w:line="240" w:lineRule="auto"/>
        <w:jc w:val="both"/>
        <w:rPr>
          <w:rFonts w:eastAsia="MS Mincho" w:cstheme="minorHAnsi"/>
          <w:b/>
          <w:bCs/>
          <w:sz w:val="24"/>
          <w:szCs w:val="24"/>
          <w:lang w:bidi="en-US"/>
        </w:rPr>
      </w:pPr>
      <w:r w:rsidRPr="00307F25">
        <w:rPr>
          <w:rFonts w:eastAsia="MS Mincho" w:cstheme="minorHAnsi"/>
          <w:b/>
          <w:bCs/>
          <w:sz w:val="24"/>
          <w:szCs w:val="24"/>
          <w:lang w:bidi="en-US"/>
        </w:rPr>
        <w:t>Equity Becomes a Body of Law</w:t>
      </w:r>
    </w:p>
    <w:p w14:paraId="7B796135" w14:textId="77777777" w:rsidR="00F9563A" w:rsidRPr="00307F25" w:rsidRDefault="00F9563A" w:rsidP="00F9563A">
      <w:pPr>
        <w:spacing w:after="0" w:line="240" w:lineRule="auto"/>
        <w:jc w:val="both"/>
        <w:rPr>
          <w:rFonts w:eastAsia="MS Mincho" w:cstheme="minorHAnsi"/>
          <w:sz w:val="24"/>
          <w:szCs w:val="24"/>
          <w:lang w:bidi="en-US"/>
        </w:rPr>
      </w:pPr>
    </w:p>
    <w:p w14:paraId="7BFC7D3C" w14:textId="77777777" w:rsidR="00DA0604" w:rsidRDefault="00F9563A" w:rsidP="00DA0604">
      <w:pPr>
        <w:jc w:val="both"/>
        <w:rPr>
          <w:rFonts w:asciiTheme="minorBidi" w:hAnsiTheme="minorBidi"/>
        </w:rPr>
      </w:pPr>
      <w:r w:rsidRPr="0051327E">
        <w:rPr>
          <w:rFonts w:asciiTheme="minorBidi" w:hAnsiTheme="minorBidi"/>
        </w:rPr>
        <w:t>From 1675, when Lord Nottingham was appointed Lord Chancellor</w:t>
      </w:r>
      <w:r w:rsidR="00DA0604">
        <w:rPr>
          <w:rFonts w:asciiTheme="minorBidi" w:hAnsiTheme="minorBidi"/>
        </w:rPr>
        <w:t xml:space="preserve"> (</w:t>
      </w:r>
      <w:r w:rsidR="00DA0604" w:rsidRPr="00DA0604">
        <w:rPr>
          <w:rFonts w:asciiTheme="minorBidi" w:hAnsiTheme="minorBidi"/>
        </w:rPr>
        <w:t>who has rightly been called the father of modern equity</w:t>
      </w:r>
      <w:r w:rsidR="00DA0604">
        <w:rPr>
          <w:rFonts w:asciiTheme="minorBidi" w:hAnsiTheme="minorBidi"/>
        </w:rPr>
        <w:t>)</w:t>
      </w:r>
      <w:r w:rsidRPr="0051327E">
        <w:rPr>
          <w:rFonts w:asciiTheme="minorBidi" w:hAnsiTheme="minorBidi"/>
        </w:rPr>
        <w:t>, until the Lord Chancellor’s judicial functions were removed by the Constitutional Reform Act 2005, all Lord Chancellors were lawyers.</w:t>
      </w:r>
    </w:p>
    <w:p w14:paraId="11E8E780" w14:textId="77777777" w:rsidR="006B3AAC" w:rsidRDefault="00F9563A" w:rsidP="006B3AAC">
      <w:pPr>
        <w:jc w:val="both"/>
        <w:rPr>
          <w:rFonts w:asciiTheme="minorBidi" w:hAnsiTheme="minorBidi"/>
        </w:rPr>
      </w:pPr>
      <w:r w:rsidRPr="0051327E">
        <w:rPr>
          <w:rFonts w:asciiTheme="minorBidi" w:hAnsiTheme="minorBidi"/>
        </w:rPr>
        <w:t xml:space="preserve">Thus, from the seventeenth century onwards, rather than relying on vague and subjective notions of ‘conscience’, they began to rely on precedents and insist on the production of case reports. Over time, equity therefore developed into a body of law with rules and principles. Equity still acted on the defendant’s conscience, but these rules and principles helped to determine when the defendant had and had not behaved </w:t>
      </w:r>
      <w:r w:rsidRPr="00DA0604">
        <w:rPr>
          <w:rFonts w:asciiTheme="minorBidi" w:hAnsiTheme="minorBidi"/>
          <w:u w:val="single"/>
        </w:rPr>
        <w:t>unconscionably</w:t>
      </w:r>
      <w:r w:rsidRPr="0051327E">
        <w:rPr>
          <w:rFonts w:asciiTheme="minorBidi" w:hAnsiTheme="minorBidi"/>
        </w:rPr>
        <w:t>.</w:t>
      </w:r>
      <w:r w:rsidR="00DA0604">
        <w:rPr>
          <w:rFonts w:asciiTheme="minorBidi" w:hAnsiTheme="minorBidi"/>
        </w:rPr>
        <w:t xml:space="preserve"> </w:t>
      </w:r>
      <w:r w:rsidRPr="00DA0604">
        <w:rPr>
          <w:rFonts w:asciiTheme="minorBidi" w:hAnsiTheme="minorBidi"/>
          <w:u w:val="single"/>
        </w:rPr>
        <w:t>Notwithstanding these developments, equity retained a degree of flexibility that was lacking in the common law</w:t>
      </w:r>
      <w:r w:rsidRPr="0051327E">
        <w:rPr>
          <w:rFonts w:asciiTheme="minorBidi" w:hAnsiTheme="minorBidi"/>
        </w:rPr>
        <w:t>.</w:t>
      </w:r>
    </w:p>
    <w:p w14:paraId="7DC87BF8" w14:textId="147970CB" w:rsidR="00DA0604" w:rsidRPr="0023299A" w:rsidRDefault="00F9563A" w:rsidP="006B3AAC">
      <w:pPr>
        <w:jc w:val="both"/>
        <w:rPr>
          <w:rFonts w:asciiTheme="minorBidi" w:hAnsiTheme="minorBidi"/>
          <w:lang w:val="en-US"/>
        </w:rPr>
      </w:pPr>
      <w:r w:rsidRPr="0051327E">
        <w:rPr>
          <w:rFonts w:asciiTheme="minorBidi" w:hAnsiTheme="minorBidi"/>
        </w:rPr>
        <w:t xml:space="preserve">Equitable remedies were, to some extent, discretionary, and the Lord Chancellors took care to avoid becoming hidebound. Equity was no longer </w:t>
      </w:r>
      <w:r w:rsidR="006B3AAC" w:rsidRPr="0051327E">
        <w:rPr>
          <w:rFonts w:asciiTheme="minorBidi" w:hAnsiTheme="minorBidi"/>
        </w:rPr>
        <w:t>arbitrary;</w:t>
      </w:r>
      <w:r w:rsidRPr="0051327E">
        <w:rPr>
          <w:rFonts w:asciiTheme="minorBidi" w:hAnsiTheme="minorBidi"/>
        </w:rPr>
        <w:t xml:space="preserve"> </w:t>
      </w:r>
      <w:r w:rsidR="00DA0604">
        <w:rPr>
          <w:rFonts w:asciiTheme="minorBidi" w:hAnsiTheme="minorBidi"/>
          <w:lang w:val="en-US"/>
        </w:rPr>
        <w:t>h</w:t>
      </w:r>
      <w:r w:rsidR="00DA0604" w:rsidRPr="00DA0604">
        <w:rPr>
          <w:rFonts w:asciiTheme="minorBidi" w:hAnsiTheme="minorBidi"/>
          <w:lang w:val="en-US"/>
        </w:rPr>
        <w:t>owever, it was a frequent criticism of Chancery in the sixteenth and seventeenth centuries that the Chancellor’s discretion to dispense justice ad hoc on the ground of ‘conscience’ produced justice that varied markedly in quality from case to case and from one Lord Chancellor to the next. In the mid-seventeenth century, such criticism had become a standing joke, hence John Selden’s famous observation that the official measure of justice might as well be the foot, because it varies according to the length of the Chancellor’s foot.</w:t>
      </w:r>
    </w:p>
    <w:p w14:paraId="7A931F3E" w14:textId="3C688223" w:rsidR="00F9563A" w:rsidRPr="0051327E" w:rsidRDefault="003A2725" w:rsidP="003A2725">
      <w:pPr>
        <w:jc w:val="both"/>
        <w:rPr>
          <w:rFonts w:asciiTheme="minorBidi" w:hAnsiTheme="minorBidi"/>
        </w:rPr>
      </w:pPr>
      <w:r>
        <w:rPr>
          <w:rFonts w:asciiTheme="minorBidi" w:hAnsiTheme="minorBidi"/>
        </w:rPr>
        <w:t>That’s why</w:t>
      </w:r>
      <w:r w:rsidR="00F9563A" w:rsidRPr="0051327E">
        <w:rPr>
          <w:rFonts w:asciiTheme="minorBidi" w:hAnsiTheme="minorBidi"/>
        </w:rPr>
        <w:t xml:space="preserve"> </w:t>
      </w:r>
      <w:r w:rsidRPr="0051327E">
        <w:rPr>
          <w:rFonts w:asciiTheme="minorBidi" w:hAnsiTheme="minorBidi"/>
        </w:rPr>
        <w:t>Lord Eldon</w:t>
      </w:r>
      <w:r w:rsidRPr="0051327E">
        <w:rPr>
          <w:rFonts w:asciiTheme="minorBidi" w:hAnsiTheme="minorBidi"/>
        </w:rPr>
        <w:t xml:space="preserve"> </w:t>
      </w:r>
      <w:r w:rsidR="00F9563A" w:rsidRPr="0051327E">
        <w:rPr>
          <w:rFonts w:asciiTheme="minorBidi" w:hAnsiTheme="minorBidi"/>
        </w:rPr>
        <w:t xml:space="preserve">summarised </w:t>
      </w:r>
      <w:r>
        <w:rPr>
          <w:rFonts w:asciiTheme="minorBidi" w:hAnsiTheme="minorBidi"/>
        </w:rPr>
        <w:t>the nature of Equity</w:t>
      </w:r>
      <w:r w:rsidR="00F9563A" w:rsidRPr="0051327E">
        <w:rPr>
          <w:rFonts w:asciiTheme="minorBidi" w:hAnsiTheme="minorBidi"/>
        </w:rPr>
        <w:t xml:space="preserve">, in </w:t>
      </w:r>
      <w:r>
        <w:rPr>
          <w:rFonts w:asciiTheme="minorBidi" w:hAnsiTheme="minorBidi"/>
        </w:rPr>
        <w:t xml:space="preserve">the following way: </w:t>
      </w:r>
    </w:p>
    <w:p w14:paraId="79228A6D" w14:textId="37D66C3A" w:rsidR="00F9563A" w:rsidRPr="0051327E" w:rsidRDefault="00F9563A" w:rsidP="00DA0604">
      <w:pPr>
        <w:ind w:left="720"/>
        <w:jc w:val="both"/>
        <w:rPr>
          <w:rFonts w:asciiTheme="minorBidi" w:hAnsiTheme="minorBidi"/>
        </w:rPr>
      </w:pPr>
      <w:r w:rsidRPr="0051327E">
        <w:rPr>
          <w:rFonts w:asciiTheme="minorBidi" w:hAnsiTheme="minorBidi"/>
        </w:rPr>
        <w:t>‘The doctrines [of equity] ought to be well settled, and made as uniform, almost, as those of the common law, laying down fixed principles, but taking care that they are to be applied according to the circumstances of each case. I cannot agree that the doctrines of this court are to be changed by every succeeding judge. Nothing would inflict on me greater pain in quitting this place than the recollection that I had done anything to justify the reproach that the equity of this court varies like the Chancellor’s foot’</w:t>
      </w:r>
      <w:r w:rsidR="003A2725">
        <w:rPr>
          <w:rStyle w:val="Rimandonotaapidipagina"/>
          <w:rFonts w:asciiTheme="minorBidi" w:hAnsiTheme="minorBidi"/>
        </w:rPr>
        <w:footnoteReference w:id="4"/>
      </w:r>
      <w:r w:rsidR="003A2725">
        <w:rPr>
          <w:rFonts w:asciiTheme="minorBidi" w:hAnsiTheme="minorBidi"/>
        </w:rPr>
        <w:t>.</w:t>
      </w:r>
    </w:p>
    <w:p w14:paraId="3D257002" w14:textId="77777777" w:rsidR="00F9563A" w:rsidRPr="00307F25" w:rsidRDefault="00F9563A" w:rsidP="00F9563A">
      <w:pPr>
        <w:pStyle w:val="Paragrafoelenco"/>
        <w:numPr>
          <w:ilvl w:val="0"/>
          <w:numId w:val="21"/>
        </w:numPr>
        <w:rPr>
          <w:rFonts w:cstheme="minorHAnsi"/>
          <w:b/>
          <w:bCs/>
          <w:sz w:val="24"/>
          <w:szCs w:val="24"/>
        </w:rPr>
      </w:pPr>
      <w:r w:rsidRPr="00307F25">
        <w:rPr>
          <w:rFonts w:cstheme="minorHAnsi"/>
          <w:b/>
          <w:bCs/>
          <w:sz w:val="24"/>
          <w:szCs w:val="24"/>
        </w:rPr>
        <w:t>A Dual System of Justice for Civil Claims</w:t>
      </w:r>
    </w:p>
    <w:p w14:paraId="6046D2AB" w14:textId="77777777" w:rsidR="00F9563A" w:rsidRPr="0051327E" w:rsidRDefault="00F9563A" w:rsidP="003A2725">
      <w:pPr>
        <w:jc w:val="both"/>
        <w:rPr>
          <w:rFonts w:asciiTheme="minorBidi" w:hAnsiTheme="minorBidi"/>
        </w:rPr>
      </w:pPr>
      <w:r w:rsidRPr="0051327E">
        <w:rPr>
          <w:rFonts w:asciiTheme="minorBidi" w:hAnsiTheme="minorBidi"/>
        </w:rPr>
        <w:t>To summarise, a dual system had developed in English law for the adjudication of civil claims. The basic framework was provided by the common law, and, in many instances, a plaintiff could pursue a claim, and obtain justice, through the common law alone. But there were certain circumstances in which civil claim could fall within equity’s jurisdiction. The three main circumstances were:</w:t>
      </w:r>
    </w:p>
    <w:p w14:paraId="180CD113" w14:textId="77777777" w:rsidR="00F9563A" w:rsidRPr="0051327E" w:rsidRDefault="00F9563A" w:rsidP="003A2725">
      <w:pPr>
        <w:pStyle w:val="Paragrafoelenco"/>
        <w:numPr>
          <w:ilvl w:val="0"/>
          <w:numId w:val="20"/>
        </w:numPr>
        <w:jc w:val="both"/>
        <w:rPr>
          <w:rFonts w:asciiTheme="minorBidi" w:hAnsiTheme="minorBidi"/>
        </w:rPr>
      </w:pPr>
      <w:r w:rsidRPr="0051327E">
        <w:rPr>
          <w:rFonts w:asciiTheme="minorBidi" w:hAnsiTheme="minorBidi"/>
        </w:rPr>
        <w:t>the claim was recognised at common law but no remedy (or no adequate remedy) was available; or</w:t>
      </w:r>
    </w:p>
    <w:p w14:paraId="3EBD8F68" w14:textId="77777777" w:rsidR="00F9563A" w:rsidRPr="0051327E" w:rsidRDefault="00F9563A" w:rsidP="003A2725">
      <w:pPr>
        <w:pStyle w:val="Paragrafoelenco"/>
        <w:numPr>
          <w:ilvl w:val="0"/>
          <w:numId w:val="20"/>
        </w:numPr>
        <w:jc w:val="both"/>
        <w:rPr>
          <w:rFonts w:asciiTheme="minorBidi" w:hAnsiTheme="minorBidi"/>
        </w:rPr>
      </w:pPr>
      <w:r w:rsidRPr="0051327E">
        <w:rPr>
          <w:rFonts w:asciiTheme="minorBidi" w:hAnsiTheme="minorBidi"/>
        </w:rPr>
        <w:lastRenderedPageBreak/>
        <w:t>the claim was recognised at common law but procedural rules meant that the plaintiff could not adduce the appropriate evidence to prove their claim (or the defendant to defend the claim); or</w:t>
      </w:r>
    </w:p>
    <w:p w14:paraId="093369E4" w14:textId="77777777" w:rsidR="00F9563A" w:rsidRPr="0051327E" w:rsidRDefault="00F9563A" w:rsidP="003A2725">
      <w:pPr>
        <w:pStyle w:val="Paragrafoelenco"/>
        <w:numPr>
          <w:ilvl w:val="0"/>
          <w:numId w:val="20"/>
        </w:numPr>
        <w:jc w:val="both"/>
        <w:rPr>
          <w:rFonts w:asciiTheme="minorBidi" w:hAnsiTheme="minorBidi"/>
        </w:rPr>
      </w:pPr>
      <w:r w:rsidRPr="0051327E">
        <w:rPr>
          <w:rFonts w:asciiTheme="minorBidi" w:hAnsiTheme="minorBidi"/>
        </w:rPr>
        <w:t>the claim was not one that was recognised at common law, but was recognised in equity.</w:t>
      </w:r>
    </w:p>
    <w:p w14:paraId="147212E4" w14:textId="77777777" w:rsidR="00F9563A" w:rsidRPr="00307F25" w:rsidRDefault="00F9563A" w:rsidP="00F9563A">
      <w:pPr>
        <w:pStyle w:val="Paragrafoelenco"/>
        <w:rPr>
          <w:rFonts w:cstheme="minorHAnsi"/>
          <w:sz w:val="24"/>
          <w:szCs w:val="24"/>
        </w:rPr>
      </w:pPr>
    </w:p>
    <w:p w14:paraId="774B7E1B" w14:textId="77777777" w:rsidR="00F9563A" w:rsidRPr="00307F25" w:rsidRDefault="00F9563A" w:rsidP="00F9563A">
      <w:pPr>
        <w:pStyle w:val="Paragrafoelenco"/>
        <w:numPr>
          <w:ilvl w:val="0"/>
          <w:numId w:val="21"/>
        </w:numPr>
        <w:rPr>
          <w:rFonts w:cstheme="minorHAnsi"/>
          <w:b/>
          <w:bCs/>
          <w:sz w:val="24"/>
          <w:szCs w:val="24"/>
        </w:rPr>
      </w:pPr>
      <w:r w:rsidRPr="00307F25">
        <w:rPr>
          <w:rFonts w:cstheme="minorHAnsi"/>
          <w:b/>
          <w:bCs/>
          <w:sz w:val="24"/>
          <w:szCs w:val="24"/>
        </w:rPr>
        <w:t>The Inefficiency of the Dual System</w:t>
      </w:r>
    </w:p>
    <w:p w14:paraId="7E738D8E" w14:textId="0925EE31" w:rsidR="003A2725" w:rsidRDefault="003A2725" w:rsidP="00F828F3">
      <w:pPr>
        <w:jc w:val="both"/>
        <w:rPr>
          <w:rFonts w:asciiTheme="minorBidi" w:hAnsiTheme="minorBidi"/>
        </w:rPr>
      </w:pPr>
      <w:r w:rsidRPr="003A2725">
        <w:rPr>
          <w:rFonts w:asciiTheme="minorBidi" w:hAnsiTheme="minorBidi"/>
        </w:rPr>
        <w:t xml:space="preserve">A victim of its own success, by the early nineteenth century, the Court of Chancery had become hopelessly busy. </w:t>
      </w:r>
      <w:r w:rsidRPr="0051327E">
        <w:rPr>
          <w:rFonts w:asciiTheme="minorBidi" w:hAnsiTheme="minorBidi"/>
        </w:rPr>
        <w:t xml:space="preserve">The inefficiency of this system was compounded by the increased volume of litigation from the late eighteenth century onwards as the Industrial Revolution proceeded.  As equity was inherently more flexible than the common law, it was better placed than its counterpart to adapt to the rapidly changing economic and social circumstances brought about by the Industrial Revolution, and the Court of Chancery saw a massive increase in business. </w:t>
      </w:r>
    </w:p>
    <w:p w14:paraId="0324326E" w14:textId="453E0F6F" w:rsidR="003A2725" w:rsidRDefault="003A2725" w:rsidP="003A2725">
      <w:pPr>
        <w:jc w:val="both"/>
        <w:rPr>
          <w:rFonts w:asciiTheme="minorBidi" w:hAnsiTheme="minorBidi"/>
        </w:rPr>
      </w:pPr>
      <w:r w:rsidRPr="003A2725">
        <w:rPr>
          <w:rFonts w:asciiTheme="minorBidi" w:hAnsiTheme="minorBidi"/>
        </w:rPr>
        <w:t>The appointment, in 1729, of the Master of the Rolls (the chief Chancery Master) to sit as a second judge in certain cases had done little to reduce the burden on the Chancellor, because any decision of the Master of the Rolls could still be appealed to the Chancellor. It was not until 1833 that the Master of the Rolls had a true concurrent jurisdiction. In 1813, a Vice-Chancellor was appointed to assist the Chancellor and the Master of the Rolls</w:t>
      </w:r>
      <w:r w:rsidRPr="003A2725">
        <w:rPr>
          <w:rFonts w:asciiTheme="minorBidi" w:hAnsiTheme="minorBidi"/>
        </w:rPr>
        <w:t xml:space="preserve"> </w:t>
      </w:r>
      <w:r w:rsidRPr="0051327E">
        <w:rPr>
          <w:rFonts w:asciiTheme="minorBidi" w:hAnsiTheme="minorBidi"/>
        </w:rPr>
        <w:t>in an attempt to make Chancery more efficient</w:t>
      </w:r>
      <w:r>
        <w:rPr>
          <w:rFonts w:asciiTheme="minorBidi" w:hAnsiTheme="minorBidi"/>
        </w:rPr>
        <w:t>.</w:t>
      </w:r>
    </w:p>
    <w:p w14:paraId="2E157B3F" w14:textId="2B6E3EC1" w:rsidR="00F828F3" w:rsidRDefault="003A2725" w:rsidP="00F828F3">
      <w:pPr>
        <w:jc w:val="both"/>
        <w:rPr>
          <w:rFonts w:asciiTheme="minorBidi" w:hAnsiTheme="minorBidi"/>
        </w:rPr>
      </w:pPr>
      <w:r w:rsidRPr="003A2725">
        <w:rPr>
          <w:rFonts w:asciiTheme="minorBidi" w:hAnsiTheme="minorBidi"/>
        </w:rPr>
        <w:t>Nevertheless</w:t>
      </w:r>
      <w:r w:rsidR="00F828F3">
        <w:rPr>
          <w:rFonts w:asciiTheme="minorBidi" w:hAnsiTheme="minorBidi"/>
        </w:rPr>
        <w:t>, t</w:t>
      </w:r>
      <w:r w:rsidRPr="003A2725">
        <w:rPr>
          <w:rFonts w:asciiTheme="minorBidi" w:hAnsiTheme="minorBidi"/>
        </w:rPr>
        <w:t xml:space="preserve">he Chancery judges were, indeed, overworked and increasingly unable to cope with the demands made upon them. Even as late as 1852, it appears that claimants were attempting to avoid the queue to the Chancellor’s door by asserting concurrent common law rights arising out of facts that ought to have been the exclusive concern of the Court of Chancery. </w:t>
      </w:r>
    </w:p>
    <w:p w14:paraId="3F6A2D02" w14:textId="5695F39F" w:rsidR="00F828F3" w:rsidRDefault="00F828F3" w:rsidP="00F828F3">
      <w:pPr>
        <w:jc w:val="both"/>
        <w:rPr>
          <w:rFonts w:asciiTheme="minorBidi" w:hAnsiTheme="minorBidi"/>
        </w:rPr>
      </w:pPr>
      <w:r w:rsidRPr="0051327E">
        <w:rPr>
          <w:rFonts w:asciiTheme="minorBidi" w:hAnsiTheme="minorBidi"/>
        </w:rPr>
        <w:t>Two more Vice-Chancellors were added in 1841, and two Lord Justices of Appeal in Chancery in 1851. By the 1870s, though, there were still only seven equity judges- far too few- and a huge backlog of cases ensued (to put this into perspective, there are currently 108 High Court Judges, including 18 in the Chancery Division alone, and 36 Lords Justice of Appeal.)</w:t>
      </w:r>
    </w:p>
    <w:p w14:paraId="691C01A1" w14:textId="71F22DD0" w:rsidR="00F828F3" w:rsidRDefault="00F828F3" w:rsidP="00F828F3">
      <w:pPr>
        <w:jc w:val="both"/>
        <w:rPr>
          <w:rFonts w:asciiTheme="minorBidi" w:hAnsiTheme="minorBidi"/>
        </w:rPr>
      </w:pPr>
      <w:r>
        <w:rPr>
          <w:rFonts w:asciiTheme="minorBidi" w:hAnsiTheme="minorBidi"/>
        </w:rPr>
        <w:t>Also, t</w:t>
      </w:r>
      <w:r w:rsidR="00F9563A" w:rsidRPr="0051327E">
        <w:rPr>
          <w:rFonts w:asciiTheme="minorBidi" w:hAnsiTheme="minorBidi"/>
        </w:rPr>
        <w:t xml:space="preserve">he dual civil justice system that resulted from the separate development of equity proved to be rather unwieldy in the long term. Although law and equity were administered in different courts, many legal disputes involved elements of both law and equity. Therefore, what was apparently one single legal problem could often only be resolved through multiple actions in the courts of law and equity. A single claim would often ‘bounce’ back and forth between the courts of law and the courts of equity over the course of many years or even decades, at great expense to all litigants involved. Moreover, when commencing litigation, the plaintiff would need to decide whether initially to claim at common law or in equity. If the plaintiff initiated their claim in the wrong court (and it was often far from obvious which was the correct court), they would, at great cost, have to recommence their claim in the right court. </w:t>
      </w:r>
      <w:r w:rsidRPr="00F828F3">
        <w:rPr>
          <w:rFonts w:asciiTheme="minorBidi" w:hAnsiTheme="minorBidi"/>
        </w:rPr>
        <w:t>And we must keep in mind that equity did not have enough judges</w:t>
      </w:r>
      <w:r>
        <w:rPr>
          <w:rFonts w:asciiTheme="minorBidi" w:hAnsiTheme="minorBidi"/>
        </w:rPr>
        <w:t>.</w:t>
      </w:r>
    </w:p>
    <w:p w14:paraId="2631C460" w14:textId="26B782A7" w:rsidR="00F9563A" w:rsidRPr="0051327E" w:rsidRDefault="00F9563A" w:rsidP="00F828F3">
      <w:pPr>
        <w:jc w:val="both"/>
        <w:rPr>
          <w:rFonts w:asciiTheme="minorBidi" w:hAnsiTheme="minorBidi"/>
        </w:rPr>
      </w:pPr>
      <w:r w:rsidRPr="0051327E">
        <w:rPr>
          <w:rFonts w:asciiTheme="minorBidi" w:hAnsiTheme="minorBidi"/>
        </w:rPr>
        <w:t xml:space="preserve">This state of affairs was memorably satirised by Dickens in </w:t>
      </w:r>
      <w:r w:rsidRPr="0051327E">
        <w:rPr>
          <w:rFonts w:asciiTheme="minorBidi" w:hAnsiTheme="minorBidi"/>
          <w:i/>
          <w:iCs/>
        </w:rPr>
        <w:t>Bleak House</w:t>
      </w:r>
      <w:r w:rsidRPr="0051327E">
        <w:rPr>
          <w:rFonts w:asciiTheme="minorBidi" w:hAnsiTheme="minorBidi"/>
        </w:rPr>
        <w:t xml:space="preserve">, which revolved around the fictional case of </w:t>
      </w:r>
      <w:r w:rsidRPr="0051327E">
        <w:rPr>
          <w:rFonts w:asciiTheme="minorBidi" w:hAnsiTheme="minorBidi"/>
          <w:i/>
          <w:iCs/>
        </w:rPr>
        <w:t>Jarndyce v Jarndyce</w:t>
      </w:r>
      <w:r w:rsidRPr="0051327E">
        <w:rPr>
          <w:rFonts w:asciiTheme="minorBidi" w:hAnsiTheme="minorBidi"/>
        </w:rPr>
        <w:t>, a decades-long dispute in Chancery over an estate. By the time that the judgment was finally delivered, virtually the whole of the estate had been consumed by legal costs.</w:t>
      </w:r>
    </w:p>
    <w:p w14:paraId="742F3FFF" w14:textId="77777777" w:rsidR="00F9563A" w:rsidRPr="00307F25" w:rsidRDefault="00F9563A" w:rsidP="00F9563A">
      <w:pPr>
        <w:pStyle w:val="Paragrafoelenco"/>
        <w:numPr>
          <w:ilvl w:val="0"/>
          <w:numId w:val="21"/>
        </w:numPr>
        <w:rPr>
          <w:rFonts w:cstheme="minorHAnsi"/>
          <w:b/>
          <w:bCs/>
          <w:sz w:val="24"/>
          <w:szCs w:val="24"/>
        </w:rPr>
      </w:pPr>
      <w:r w:rsidRPr="00307F25">
        <w:rPr>
          <w:rFonts w:cstheme="minorHAnsi"/>
          <w:b/>
          <w:bCs/>
          <w:sz w:val="24"/>
          <w:szCs w:val="24"/>
        </w:rPr>
        <w:t xml:space="preserve">Judicature Acts: </w:t>
      </w:r>
      <w:proofErr w:type="gramStart"/>
      <w:r w:rsidRPr="00307F25">
        <w:rPr>
          <w:rFonts w:cstheme="minorHAnsi"/>
          <w:b/>
          <w:bCs/>
          <w:sz w:val="24"/>
          <w:szCs w:val="24"/>
        </w:rPr>
        <w:t>the</w:t>
      </w:r>
      <w:proofErr w:type="gramEnd"/>
      <w:r w:rsidRPr="00307F25">
        <w:rPr>
          <w:rFonts w:cstheme="minorHAnsi"/>
          <w:b/>
          <w:bCs/>
          <w:sz w:val="24"/>
          <w:szCs w:val="24"/>
        </w:rPr>
        <w:t xml:space="preserve"> Administrative Fusion of Law and Equity</w:t>
      </w:r>
    </w:p>
    <w:p w14:paraId="2A25D659" w14:textId="42384B65" w:rsidR="00B609EA" w:rsidRPr="00B609EA" w:rsidRDefault="00B609EA" w:rsidP="00B609EA">
      <w:pPr>
        <w:spacing w:after="0" w:line="240" w:lineRule="auto"/>
        <w:jc w:val="both"/>
        <w:rPr>
          <w:rFonts w:asciiTheme="minorBidi" w:hAnsiTheme="minorBidi"/>
        </w:rPr>
      </w:pPr>
      <w:r>
        <w:rPr>
          <w:rFonts w:asciiTheme="minorBidi" w:hAnsiTheme="minorBidi"/>
        </w:rPr>
        <w:lastRenderedPageBreak/>
        <w:t>Ironically, in</w:t>
      </w:r>
      <w:r w:rsidRPr="00B609EA">
        <w:rPr>
          <w:rFonts w:asciiTheme="minorBidi" w:hAnsiTheme="minorBidi"/>
        </w:rPr>
        <w:t xml:space="preserve"> the same year as the first instalment of Bleak House</w:t>
      </w:r>
      <w:r w:rsidRPr="00B609EA">
        <w:rPr>
          <w:rFonts w:asciiTheme="minorBidi" w:hAnsiTheme="minorBidi"/>
        </w:rPr>
        <w:t xml:space="preserve"> </w:t>
      </w:r>
      <w:proofErr w:type="gramStart"/>
      <w:r w:rsidRPr="00B609EA">
        <w:rPr>
          <w:rFonts w:asciiTheme="minorBidi" w:hAnsiTheme="minorBidi"/>
        </w:rPr>
        <w:t>The</w:t>
      </w:r>
      <w:proofErr w:type="gramEnd"/>
      <w:r w:rsidRPr="00B609EA">
        <w:rPr>
          <w:rFonts w:asciiTheme="minorBidi" w:hAnsiTheme="minorBidi"/>
        </w:rPr>
        <w:t xml:space="preserve"> Court of Chancery Procedure Act 1852, which attempted to wrestle with the procedural problems in the Court of Chancery, </w:t>
      </w:r>
      <w:r>
        <w:rPr>
          <w:rFonts w:asciiTheme="minorBidi" w:hAnsiTheme="minorBidi"/>
        </w:rPr>
        <w:t xml:space="preserve">was </w:t>
      </w:r>
      <w:r w:rsidRPr="00B609EA">
        <w:rPr>
          <w:rFonts w:asciiTheme="minorBidi" w:hAnsiTheme="minorBidi"/>
        </w:rPr>
        <w:t>app</w:t>
      </w:r>
      <w:r>
        <w:rPr>
          <w:rFonts w:asciiTheme="minorBidi" w:hAnsiTheme="minorBidi"/>
        </w:rPr>
        <w:t xml:space="preserve">roved. </w:t>
      </w:r>
    </w:p>
    <w:p w14:paraId="1A2A069F" w14:textId="77777777" w:rsidR="00B609EA" w:rsidRDefault="00B609EA" w:rsidP="006B3AAC">
      <w:pPr>
        <w:spacing w:line="240" w:lineRule="auto"/>
        <w:jc w:val="both"/>
        <w:rPr>
          <w:rFonts w:asciiTheme="minorBidi" w:hAnsiTheme="minorBidi"/>
        </w:rPr>
      </w:pPr>
      <w:r>
        <w:rPr>
          <w:rFonts w:asciiTheme="minorBidi" w:hAnsiTheme="minorBidi"/>
        </w:rPr>
        <w:t>But t</w:t>
      </w:r>
      <w:r w:rsidR="00F9563A" w:rsidRPr="0051327E">
        <w:rPr>
          <w:rFonts w:asciiTheme="minorBidi" w:hAnsiTheme="minorBidi"/>
        </w:rPr>
        <w:t>he</w:t>
      </w:r>
      <w:r>
        <w:rPr>
          <w:rFonts w:asciiTheme="minorBidi" w:hAnsiTheme="minorBidi"/>
        </w:rPr>
        <w:t xml:space="preserve"> real</w:t>
      </w:r>
      <w:r w:rsidR="00F9563A" w:rsidRPr="0051327E">
        <w:rPr>
          <w:rFonts w:asciiTheme="minorBidi" w:hAnsiTheme="minorBidi"/>
        </w:rPr>
        <w:t xml:space="preserve"> response of the legislature to the crippling inefficiency of the system was the passage of the Supreme Court of Judicature Acts 1873-1875 (normally known as the Judicature Acts 1873-75), which abolished the Court of Chancery and the common law courts and created a High Court of Justice (with three divisions, including the Chancery division), and a Court of Appeal. </w:t>
      </w:r>
    </w:p>
    <w:p w14:paraId="53B712A5" w14:textId="4B8A77FD" w:rsidR="00F9563A" w:rsidRPr="0051327E" w:rsidRDefault="00F9563A" w:rsidP="006B3AAC">
      <w:pPr>
        <w:spacing w:line="240" w:lineRule="auto"/>
        <w:jc w:val="both"/>
        <w:rPr>
          <w:rFonts w:asciiTheme="minorBidi" w:eastAsia="MS Mincho" w:hAnsiTheme="minorBidi"/>
          <w:lang w:bidi="en-US"/>
        </w:rPr>
      </w:pPr>
      <w:r w:rsidRPr="00B609EA">
        <w:rPr>
          <w:rFonts w:asciiTheme="minorBidi" w:hAnsiTheme="minorBidi"/>
          <w:u w:val="single"/>
        </w:rPr>
        <w:t>All judges in these courts were given jurisdiction in matters of law and equity</w:t>
      </w:r>
      <w:r w:rsidRPr="0051327E">
        <w:rPr>
          <w:rFonts w:asciiTheme="minorBidi" w:hAnsiTheme="minorBidi"/>
        </w:rPr>
        <w:t xml:space="preserve">. It was not necessary to interfere with the judicial jurisdiction of the House of Lords in this regard, as the Law Lords were able to adjudicate in both law and equity. Thus, law and equity were administratively fused, and cases involving principles of both law and equity could henceforth be determined in a single court. </w:t>
      </w:r>
      <w:r w:rsidRPr="0051327E">
        <w:rPr>
          <w:rFonts w:asciiTheme="minorBidi" w:eastAsia="MS Mincho" w:hAnsiTheme="minorBidi"/>
          <w:lang w:bidi="en-US"/>
        </w:rPr>
        <w:t xml:space="preserve">Importantly, s25(11) Supreme Court of Judicature Act 1873 preserved the rule from the </w:t>
      </w:r>
      <w:r w:rsidRPr="0051327E">
        <w:rPr>
          <w:rFonts w:asciiTheme="minorBidi" w:eastAsia="MS Mincho" w:hAnsiTheme="minorBidi"/>
          <w:i/>
          <w:iCs/>
          <w:lang w:bidi="en-US"/>
        </w:rPr>
        <w:t>Earl of Oxford’s Case</w:t>
      </w:r>
      <w:r w:rsidRPr="0051327E">
        <w:rPr>
          <w:rFonts w:asciiTheme="minorBidi" w:eastAsia="MS Mincho" w:hAnsiTheme="minorBidi"/>
          <w:lang w:bidi="en-US"/>
        </w:rPr>
        <w:t xml:space="preserve">: “In all matters not hereinbefore particularly mentioned, in which there is any conflict, or variance, between the Rules of Equity and the Rules of Common Law with reference to the same matter, the Rules of Equity will apply.” </w:t>
      </w:r>
    </w:p>
    <w:p w14:paraId="31532B45" w14:textId="77777777" w:rsidR="00F9563A" w:rsidRPr="00307F25" w:rsidRDefault="00F9563A" w:rsidP="00F9563A">
      <w:pPr>
        <w:spacing w:after="0" w:line="240" w:lineRule="auto"/>
        <w:jc w:val="both"/>
        <w:rPr>
          <w:rFonts w:eastAsia="MS Mincho" w:cstheme="minorHAnsi"/>
          <w:sz w:val="24"/>
          <w:szCs w:val="24"/>
          <w:lang w:bidi="en-US"/>
        </w:rPr>
      </w:pPr>
    </w:p>
    <w:p w14:paraId="5EAFBC0C" w14:textId="77777777" w:rsidR="00F9563A" w:rsidRPr="00307F25" w:rsidRDefault="00F9563A" w:rsidP="00F9563A">
      <w:pPr>
        <w:pStyle w:val="Paragrafoelenco"/>
        <w:numPr>
          <w:ilvl w:val="0"/>
          <w:numId w:val="21"/>
        </w:numPr>
        <w:spacing w:after="0" w:line="240" w:lineRule="auto"/>
        <w:jc w:val="both"/>
        <w:rPr>
          <w:rFonts w:eastAsia="MS Mincho" w:cstheme="minorHAnsi"/>
          <w:b/>
          <w:bCs/>
          <w:sz w:val="24"/>
          <w:szCs w:val="24"/>
          <w:lang w:bidi="en-US"/>
        </w:rPr>
      </w:pPr>
      <w:r w:rsidRPr="00307F25">
        <w:rPr>
          <w:rFonts w:eastAsia="MS Mincho" w:cstheme="minorHAnsi"/>
          <w:b/>
          <w:bCs/>
          <w:sz w:val="24"/>
          <w:szCs w:val="24"/>
          <w:lang w:bidi="en-US"/>
        </w:rPr>
        <w:t>Equity Today</w:t>
      </w:r>
    </w:p>
    <w:p w14:paraId="16CE0B3A" w14:textId="77777777" w:rsidR="00F9563A" w:rsidRPr="00F556A9" w:rsidRDefault="00F9563A" w:rsidP="00F9563A">
      <w:pPr>
        <w:spacing w:after="0" w:line="240" w:lineRule="auto"/>
        <w:jc w:val="both"/>
        <w:rPr>
          <w:rFonts w:eastAsia="MS Mincho" w:cstheme="minorHAnsi"/>
          <w:lang w:bidi="en-US"/>
        </w:rPr>
      </w:pPr>
    </w:p>
    <w:p w14:paraId="79917500" w14:textId="77777777" w:rsidR="00F9563A" w:rsidRPr="00F556A9" w:rsidRDefault="00F9563A" w:rsidP="00F9563A">
      <w:pPr>
        <w:spacing w:after="0" w:line="240" w:lineRule="auto"/>
        <w:jc w:val="both"/>
        <w:rPr>
          <w:rFonts w:asciiTheme="minorBidi" w:eastAsia="MS Mincho" w:hAnsiTheme="minorBidi"/>
          <w:lang w:bidi="en-US"/>
        </w:rPr>
      </w:pPr>
      <w:r w:rsidRPr="00F556A9">
        <w:rPr>
          <w:rFonts w:asciiTheme="minorBidi" w:hAnsiTheme="minorBidi"/>
        </w:rPr>
        <w:t xml:space="preserve">This situation (with the relatively recent addition of the Supreme Court to replace the judicial function of the House of Lords) has persisted until the present day. </w:t>
      </w:r>
      <w:r w:rsidRPr="00F556A9">
        <w:rPr>
          <w:rFonts w:asciiTheme="minorBidi" w:eastAsia="MS Mincho" w:hAnsiTheme="minorBidi"/>
          <w:lang w:bidi="en-US"/>
        </w:rPr>
        <w:t>Equity cases are heard today in the Chancery Division of the High Court.</w:t>
      </w:r>
      <w:r w:rsidRPr="00F556A9">
        <w:rPr>
          <w:rFonts w:asciiTheme="minorBidi" w:eastAsia="Times New Roman" w:hAnsiTheme="minorBidi"/>
          <w:i/>
          <w:iCs/>
        </w:rPr>
        <w:t xml:space="preserve"> </w:t>
      </w:r>
      <w:r w:rsidRPr="00F556A9">
        <w:rPr>
          <w:rFonts w:asciiTheme="minorBidi" w:hAnsiTheme="minorBidi"/>
        </w:rPr>
        <w:t xml:space="preserve">Although law and equity have been administratively fused, and despite the arguments of some prominent academics that there should be total assimilation, equity remains jurisprudentially distinct from the common law. </w:t>
      </w:r>
      <w:r w:rsidRPr="00F556A9">
        <w:rPr>
          <w:rFonts w:asciiTheme="minorBidi" w:eastAsia="MS Mincho" w:hAnsiTheme="minorBidi"/>
          <w:lang w:bidi="en-US"/>
        </w:rPr>
        <w:t xml:space="preserve">Legal and equitable interests remain distinct, even if mutually dependent, and produce different outcomes. </w:t>
      </w:r>
    </w:p>
    <w:p w14:paraId="5C428566" w14:textId="77777777" w:rsidR="00F9563A" w:rsidRPr="00F556A9" w:rsidRDefault="00F9563A" w:rsidP="00F9563A">
      <w:pPr>
        <w:spacing w:after="0" w:line="240" w:lineRule="auto"/>
        <w:jc w:val="both"/>
        <w:rPr>
          <w:rFonts w:asciiTheme="minorBidi" w:eastAsia="MS Mincho" w:hAnsiTheme="minorBidi"/>
          <w:lang w:bidi="en-US"/>
        </w:rPr>
      </w:pPr>
    </w:p>
    <w:p w14:paraId="7F047264" w14:textId="4F584730" w:rsidR="00F9563A" w:rsidRPr="00F556A9" w:rsidRDefault="00F9563A" w:rsidP="00F9563A">
      <w:pPr>
        <w:spacing w:after="0" w:line="240" w:lineRule="auto"/>
        <w:jc w:val="both"/>
        <w:rPr>
          <w:rFonts w:asciiTheme="minorBidi" w:eastAsia="MS Mincho" w:hAnsiTheme="minorBidi"/>
          <w:lang w:bidi="en-US"/>
        </w:rPr>
      </w:pPr>
      <w:r w:rsidRPr="00F556A9">
        <w:rPr>
          <w:rFonts w:asciiTheme="minorBidi" w:eastAsia="MS Mincho" w:hAnsiTheme="minorBidi"/>
          <w:lang w:bidi="en-US"/>
        </w:rPr>
        <w:t>You should have encountered some aspects of equitable jurisdiction during your first</w:t>
      </w:r>
      <w:r w:rsidR="002E03B2" w:rsidRPr="00F556A9">
        <w:rPr>
          <w:rFonts w:asciiTheme="minorBidi" w:eastAsia="MS Mincho" w:hAnsiTheme="minorBidi"/>
          <w:lang w:bidi="en-US"/>
        </w:rPr>
        <w:t>-</w:t>
      </w:r>
      <w:r w:rsidRPr="00F556A9">
        <w:rPr>
          <w:rFonts w:asciiTheme="minorBidi" w:eastAsia="MS Mincho" w:hAnsiTheme="minorBidi"/>
          <w:lang w:bidi="en-US"/>
        </w:rPr>
        <w:t>year studies. For example, when you studied contract law, you will have encountered the remedy of specific performance, which is available when damages would not be an adequate remedy for breach of a contract (usually because the subject matter of the contract is unique). Specific performance is an equitable remedy. When you looked at consideration, you will have studied promissory estoppel. This is an equitable doctrine. Indeed, equity is vitally important to many areas of the modern law. In particular equitable principles permeate many aspects of land law (such as mortgages, and co-ownership, and the creation of rights in land more generally, as you will be soon discovering in your land law module), the administration of estates, and certain aspects of company law. Also, remedies such as injunctions and specific performance are creatures of equity. The most important of equitable innovations, however, is the trust.</w:t>
      </w:r>
    </w:p>
    <w:p w14:paraId="68A56C73" w14:textId="77777777" w:rsidR="00F9563A" w:rsidRPr="0051327E" w:rsidRDefault="00F9563A" w:rsidP="00F9563A">
      <w:pPr>
        <w:rPr>
          <w:rFonts w:asciiTheme="minorBidi" w:hAnsiTheme="minorBidi"/>
          <w:sz w:val="24"/>
          <w:szCs w:val="24"/>
        </w:rPr>
      </w:pPr>
    </w:p>
    <w:p w14:paraId="2D3E5703" w14:textId="44FCE9DC" w:rsidR="00F9563A" w:rsidRPr="00307F25" w:rsidRDefault="00F9563A" w:rsidP="00F9563A">
      <w:pPr>
        <w:pStyle w:val="Paragrafoelenco"/>
        <w:numPr>
          <w:ilvl w:val="0"/>
          <w:numId w:val="3"/>
        </w:numPr>
        <w:rPr>
          <w:rFonts w:cstheme="minorHAnsi"/>
          <w:b/>
          <w:bCs/>
          <w:sz w:val="24"/>
          <w:szCs w:val="24"/>
        </w:rPr>
      </w:pPr>
      <w:r w:rsidRPr="00307F25">
        <w:rPr>
          <w:rFonts w:cstheme="minorHAnsi"/>
          <w:b/>
          <w:bCs/>
          <w:sz w:val="24"/>
          <w:szCs w:val="24"/>
        </w:rPr>
        <w:t>THE HISTORICAL DEVELOPMENT OF THE TRUST</w:t>
      </w:r>
    </w:p>
    <w:p w14:paraId="4B9CE2C2" w14:textId="77777777" w:rsidR="00F9563A" w:rsidRPr="00307F25" w:rsidRDefault="00F9563A" w:rsidP="00F9563A">
      <w:pPr>
        <w:pStyle w:val="Paragrafoelenco"/>
        <w:ind w:left="360"/>
        <w:rPr>
          <w:rFonts w:cstheme="minorHAnsi"/>
          <w:b/>
          <w:bCs/>
          <w:sz w:val="24"/>
          <w:szCs w:val="24"/>
        </w:rPr>
      </w:pPr>
    </w:p>
    <w:p w14:paraId="5CB4100E" w14:textId="77777777" w:rsidR="00F9563A" w:rsidRPr="00307F25" w:rsidRDefault="00F9563A" w:rsidP="00F9563A">
      <w:pPr>
        <w:pStyle w:val="Paragrafoelenco"/>
        <w:numPr>
          <w:ilvl w:val="0"/>
          <w:numId w:val="22"/>
        </w:numPr>
        <w:rPr>
          <w:rFonts w:cstheme="minorHAnsi"/>
          <w:b/>
          <w:bCs/>
          <w:sz w:val="24"/>
          <w:szCs w:val="24"/>
        </w:rPr>
      </w:pPr>
      <w:r w:rsidRPr="00307F25">
        <w:rPr>
          <w:rFonts w:cstheme="minorHAnsi"/>
          <w:b/>
          <w:bCs/>
          <w:sz w:val="24"/>
          <w:szCs w:val="24"/>
        </w:rPr>
        <w:t>The Medieval Use</w:t>
      </w:r>
    </w:p>
    <w:p w14:paraId="2A039AE8" w14:textId="675A81A9" w:rsidR="009E22F7" w:rsidRDefault="00F9563A" w:rsidP="004210CB">
      <w:pPr>
        <w:jc w:val="both"/>
        <w:rPr>
          <w:rFonts w:asciiTheme="minorBidi" w:hAnsiTheme="minorBidi"/>
        </w:rPr>
      </w:pPr>
      <w:r w:rsidRPr="004210CB">
        <w:rPr>
          <w:rFonts w:asciiTheme="minorBidi" w:hAnsiTheme="minorBidi"/>
        </w:rPr>
        <w:t xml:space="preserve">The modern trust evolved from a mechanism called the ‘use’ which was used extensively in Medieval England.  The use involved conveying property to feoffees (the early equivalent of trustees) for the benefit of the </w:t>
      </w:r>
      <w:proofErr w:type="spellStart"/>
      <w:r w:rsidRPr="004210CB">
        <w:rPr>
          <w:rFonts w:asciiTheme="minorBidi" w:hAnsiTheme="minorBidi"/>
          <w:i/>
          <w:iCs/>
        </w:rPr>
        <w:t>cestui</w:t>
      </w:r>
      <w:proofErr w:type="spellEnd"/>
      <w:r w:rsidRPr="004210CB">
        <w:rPr>
          <w:rFonts w:asciiTheme="minorBidi" w:hAnsiTheme="minorBidi"/>
          <w:i/>
          <w:iCs/>
        </w:rPr>
        <w:t xml:space="preserve"> que use </w:t>
      </w:r>
      <w:r w:rsidRPr="004210CB">
        <w:rPr>
          <w:rFonts w:asciiTheme="minorBidi" w:hAnsiTheme="minorBidi"/>
        </w:rPr>
        <w:t xml:space="preserve">(the early equivalent of beneficiaries). Although the origin of the use is somewhat obscure, it is clear that such arrangements were used by </w:t>
      </w:r>
      <w:r w:rsidRPr="004210CB">
        <w:rPr>
          <w:rFonts w:asciiTheme="minorBidi" w:hAnsiTheme="minorBidi"/>
        </w:rPr>
        <w:lastRenderedPageBreak/>
        <w:t>landed aristocrats who needed someone to take legal title to their estates in order to manage them while they were away on crusade</w:t>
      </w:r>
      <w:r w:rsidR="009E22F7">
        <w:rPr>
          <w:rStyle w:val="Rimandonotaapidipagina"/>
          <w:rFonts w:asciiTheme="minorBidi" w:hAnsiTheme="minorBidi"/>
        </w:rPr>
        <w:footnoteReference w:id="5"/>
      </w:r>
      <w:r w:rsidRPr="004210CB">
        <w:rPr>
          <w:rFonts w:asciiTheme="minorBidi" w:hAnsiTheme="minorBidi"/>
        </w:rPr>
        <w:t>.</w:t>
      </w:r>
    </w:p>
    <w:p w14:paraId="08C9650B" w14:textId="000063DC" w:rsidR="009E22F7" w:rsidRDefault="00F9563A" w:rsidP="004210CB">
      <w:pPr>
        <w:jc w:val="both"/>
        <w:rPr>
          <w:rFonts w:asciiTheme="minorBidi" w:hAnsiTheme="minorBidi"/>
        </w:rPr>
      </w:pPr>
      <w:r w:rsidRPr="004210CB">
        <w:rPr>
          <w:rFonts w:asciiTheme="minorBidi" w:hAnsiTheme="minorBidi"/>
        </w:rPr>
        <w:t xml:space="preserve">Uses were also used to circumvent the strict succession laws of the time, and to evade the Statutes of Mortmain, which prevented land being vested in religious orders. If the feoffee tried to take the property for himself, the </w:t>
      </w:r>
      <w:proofErr w:type="spellStart"/>
      <w:r w:rsidRPr="004210CB">
        <w:rPr>
          <w:rFonts w:asciiTheme="minorBidi" w:hAnsiTheme="minorBidi"/>
          <w:i/>
          <w:iCs/>
        </w:rPr>
        <w:t>cestui</w:t>
      </w:r>
      <w:proofErr w:type="spellEnd"/>
      <w:r w:rsidRPr="004210CB">
        <w:rPr>
          <w:rFonts w:asciiTheme="minorBidi" w:hAnsiTheme="minorBidi"/>
          <w:i/>
          <w:iCs/>
        </w:rPr>
        <w:t xml:space="preserve"> que use </w:t>
      </w:r>
      <w:r w:rsidRPr="004210CB">
        <w:rPr>
          <w:rFonts w:asciiTheme="minorBidi" w:hAnsiTheme="minorBidi"/>
        </w:rPr>
        <w:t xml:space="preserve">could have no redress at common law because the common law would only recognise the feoffee’s legal title to the property. But the </w:t>
      </w:r>
      <w:proofErr w:type="spellStart"/>
      <w:r w:rsidRPr="004210CB">
        <w:rPr>
          <w:rFonts w:asciiTheme="minorBidi" w:hAnsiTheme="minorBidi"/>
          <w:i/>
          <w:iCs/>
        </w:rPr>
        <w:t>cestui</w:t>
      </w:r>
      <w:proofErr w:type="spellEnd"/>
      <w:r w:rsidRPr="004210CB">
        <w:rPr>
          <w:rFonts w:asciiTheme="minorBidi" w:hAnsiTheme="minorBidi"/>
          <w:i/>
          <w:iCs/>
        </w:rPr>
        <w:t xml:space="preserve"> que use </w:t>
      </w:r>
      <w:r w:rsidRPr="004210CB">
        <w:rPr>
          <w:rFonts w:asciiTheme="minorBidi" w:hAnsiTheme="minorBidi"/>
        </w:rPr>
        <w:t>could petition the Lord Chancellor for justice.</w:t>
      </w:r>
    </w:p>
    <w:p w14:paraId="02D8D24A" w14:textId="07454DE1" w:rsidR="00F9563A" w:rsidRPr="004210CB" w:rsidRDefault="00F9563A" w:rsidP="004210CB">
      <w:pPr>
        <w:jc w:val="both"/>
        <w:rPr>
          <w:rFonts w:asciiTheme="minorBidi" w:hAnsiTheme="minorBidi"/>
        </w:rPr>
      </w:pPr>
      <w:r w:rsidRPr="004210CB">
        <w:rPr>
          <w:rFonts w:asciiTheme="minorBidi" w:hAnsiTheme="minorBidi"/>
        </w:rPr>
        <w:t xml:space="preserve">The Lord Chancellor could not interfere directly with the legal ownership of the property. He could not simply declare the </w:t>
      </w:r>
      <w:proofErr w:type="spellStart"/>
      <w:r w:rsidRPr="004210CB">
        <w:rPr>
          <w:rFonts w:asciiTheme="minorBidi" w:hAnsiTheme="minorBidi"/>
          <w:i/>
          <w:iCs/>
        </w:rPr>
        <w:t>cestui</w:t>
      </w:r>
      <w:proofErr w:type="spellEnd"/>
      <w:r w:rsidRPr="004210CB">
        <w:rPr>
          <w:rFonts w:asciiTheme="minorBidi" w:hAnsiTheme="minorBidi"/>
          <w:i/>
          <w:iCs/>
        </w:rPr>
        <w:t xml:space="preserve"> que use </w:t>
      </w:r>
      <w:r w:rsidRPr="004210CB">
        <w:rPr>
          <w:rFonts w:asciiTheme="minorBidi" w:hAnsiTheme="minorBidi"/>
        </w:rPr>
        <w:t xml:space="preserve">to be the legal owner, especially when (as was usually the case) the feoffee had the necessary documents to prove that they were the legal owner. But, because equity acted </w:t>
      </w:r>
      <w:r w:rsidRPr="004210CB">
        <w:rPr>
          <w:rFonts w:asciiTheme="minorBidi" w:hAnsiTheme="minorBidi"/>
          <w:i/>
          <w:iCs/>
        </w:rPr>
        <w:t xml:space="preserve">in </w:t>
      </w:r>
      <w:proofErr w:type="spellStart"/>
      <w:r w:rsidRPr="004210CB">
        <w:rPr>
          <w:rFonts w:asciiTheme="minorBidi" w:hAnsiTheme="minorBidi"/>
          <w:i/>
          <w:iCs/>
        </w:rPr>
        <w:t>personam</w:t>
      </w:r>
      <w:proofErr w:type="spellEnd"/>
      <w:r w:rsidRPr="004210CB">
        <w:rPr>
          <w:rFonts w:asciiTheme="minorBidi" w:hAnsiTheme="minorBidi"/>
        </w:rPr>
        <w:t xml:space="preserve">, the Lord Chancellor could intercede on behalf of the </w:t>
      </w:r>
      <w:proofErr w:type="spellStart"/>
      <w:r w:rsidRPr="004210CB">
        <w:rPr>
          <w:rFonts w:asciiTheme="minorBidi" w:hAnsiTheme="minorBidi"/>
          <w:i/>
          <w:iCs/>
        </w:rPr>
        <w:t>cestui</w:t>
      </w:r>
      <w:proofErr w:type="spellEnd"/>
      <w:r w:rsidRPr="004210CB">
        <w:rPr>
          <w:rFonts w:asciiTheme="minorBidi" w:hAnsiTheme="minorBidi"/>
          <w:i/>
          <w:iCs/>
        </w:rPr>
        <w:t xml:space="preserve"> que use</w:t>
      </w:r>
      <w:r w:rsidRPr="004210CB">
        <w:rPr>
          <w:rFonts w:asciiTheme="minorBidi" w:hAnsiTheme="minorBidi"/>
        </w:rPr>
        <w:t xml:space="preserve"> and order the feoffee to hold the land for the </w:t>
      </w:r>
      <w:proofErr w:type="spellStart"/>
      <w:r w:rsidRPr="004210CB">
        <w:rPr>
          <w:rFonts w:asciiTheme="minorBidi" w:hAnsiTheme="minorBidi"/>
          <w:i/>
          <w:iCs/>
        </w:rPr>
        <w:t>cestui</w:t>
      </w:r>
      <w:proofErr w:type="spellEnd"/>
      <w:r w:rsidRPr="004210CB">
        <w:rPr>
          <w:rFonts w:asciiTheme="minorBidi" w:hAnsiTheme="minorBidi"/>
          <w:i/>
          <w:iCs/>
        </w:rPr>
        <w:t xml:space="preserve"> que use</w:t>
      </w:r>
      <w:r w:rsidRPr="004210CB">
        <w:rPr>
          <w:rFonts w:asciiTheme="minorBidi" w:hAnsiTheme="minorBidi"/>
        </w:rPr>
        <w:t xml:space="preserve">’s benefit and, if necessary, to convey the property (and any income arising therefrom) to the </w:t>
      </w:r>
      <w:proofErr w:type="spellStart"/>
      <w:r w:rsidRPr="004210CB">
        <w:rPr>
          <w:rFonts w:asciiTheme="minorBidi" w:hAnsiTheme="minorBidi"/>
          <w:i/>
          <w:iCs/>
        </w:rPr>
        <w:t>cestui</w:t>
      </w:r>
      <w:proofErr w:type="spellEnd"/>
      <w:r w:rsidRPr="004210CB">
        <w:rPr>
          <w:rFonts w:asciiTheme="minorBidi" w:hAnsiTheme="minorBidi"/>
          <w:i/>
          <w:iCs/>
        </w:rPr>
        <w:t xml:space="preserve"> que use</w:t>
      </w:r>
      <w:r w:rsidRPr="004210CB">
        <w:rPr>
          <w:rFonts w:asciiTheme="minorBidi" w:hAnsiTheme="minorBidi"/>
        </w:rPr>
        <w:t xml:space="preserve">. Over time, the circumstances in which the Lord Chancellor would uphold the </w:t>
      </w:r>
      <w:proofErr w:type="spellStart"/>
      <w:r w:rsidRPr="004210CB">
        <w:rPr>
          <w:rFonts w:asciiTheme="minorBidi" w:hAnsiTheme="minorBidi"/>
          <w:i/>
          <w:iCs/>
        </w:rPr>
        <w:t>cestue</w:t>
      </w:r>
      <w:proofErr w:type="spellEnd"/>
      <w:r w:rsidRPr="004210CB">
        <w:rPr>
          <w:rFonts w:asciiTheme="minorBidi" w:hAnsiTheme="minorBidi"/>
          <w:i/>
          <w:iCs/>
        </w:rPr>
        <w:t xml:space="preserve"> que use’</w:t>
      </w:r>
      <w:r w:rsidRPr="004210CB">
        <w:rPr>
          <w:rFonts w:asciiTheme="minorBidi" w:hAnsiTheme="minorBidi"/>
        </w:rPr>
        <w:t xml:space="preserve">s interest became relatively settled. Accordingly, the </w:t>
      </w:r>
      <w:proofErr w:type="spellStart"/>
      <w:r w:rsidRPr="004210CB">
        <w:rPr>
          <w:rFonts w:asciiTheme="minorBidi" w:hAnsiTheme="minorBidi"/>
          <w:i/>
          <w:iCs/>
        </w:rPr>
        <w:t>cestue</w:t>
      </w:r>
      <w:proofErr w:type="spellEnd"/>
      <w:r w:rsidRPr="004210CB">
        <w:rPr>
          <w:rFonts w:asciiTheme="minorBidi" w:hAnsiTheme="minorBidi"/>
          <w:i/>
          <w:iCs/>
        </w:rPr>
        <w:t xml:space="preserve"> que use </w:t>
      </w:r>
      <w:r w:rsidRPr="004210CB">
        <w:rPr>
          <w:rFonts w:asciiTheme="minorBidi" w:hAnsiTheme="minorBidi"/>
        </w:rPr>
        <w:t>could be regarded as having equitable title to the property. This is the source of the notion of separate legal and equitable title. If land was conveyed (i.e. transferred in a manner recognised at law) by A to B for the use of C, B would take legal title, but C’s ownership would be recognised in the Court of Chancery.  Crucially, and for reasons that are not well-understood, Medieval Chancellors began to decree that uses could bind not just the original feoffee, but, in appropriate circumstances, his successors in title as well.</w:t>
      </w:r>
    </w:p>
    <w:p w14:paraId="53081542" w14:textId="77777777" w:rsidR="00F9563A" w:rsidRPr="00307F25" w:rsidRDefault="00F9563A" w:rsidP="00F9563A">
      <w:pPr>
        <w:pStyle w:val="Paragrafoelenco"/>
        <w:numPr>
          <w:ilvl w:val="0"/>
          <w:numId w:val="22"/>
        </w:numPr>
        <w:ind w:left="1080"/>
        <w:rPr>
          <w:rFonts w:cstheme="minorHAnsi"/>
          <w:b/>
          <w:sz w:val="24"/>
          <w:szCs w:val="24"/>
        </w:rPr>
      </w:pPr>
      <w:r w:rsidRPr="00307F25">
        <w:rPr>
          <w:rFonts w:cstheme="minorHAnsi"/>
          <w:b/>
          <w:sz w:val="24"/>
          <w:szCs w:val="24"/>
        </w:rPr>
        <w:t>The Statute of Uses 1535</w:t>
      </w:r>
    </w:p>
    <w:p w14:paraId="56D59D91" w14:textId="44C67B66" w:rsidR="0056729D" w:rsidRDefault="00F9563A" w:rsidP="004210CB">
      <w:pPr>
        <w:jc w:val="both"/>
        <w:rPr>
          <w:rFonts w:asciiTheme="minorBidi" w:hAnsiTheme="minorBidi"/>
        </w:rPr>
      </w:pPr>
      <w:r w:rsidRPr="004210CB">
        <w:rPr>
          <w:rFonts w:asciiTheme="minorBidi" w:hAnsiTheme="minorBidi"/>
        </w:rPr>
        <w:t>Once the use became a reliably enforceable legal mechanism, uses began to be used extensively for the avoidance of feudal death duties. Upon the death of a person who held a legal estate in land, the estate would pass to their eldest male heir. When the estate passed in this way, death duty (a kind of inheritance tax) was payable. It was soon realised that if the legal owner of land conveyed that land to feoffees for his own use, when he died, the feoffees could simply hold the property for the use of his heir. Because no legal title had passed, no death duty would be payable. When one of the feoffees died, the surviving feoffees retained legal title, and, if necessary, a new feoffee could be appointed, so, again, no death duty would be payable.</w:t>
      </w:r>
    </w:p>
    <w:p w14:paraId="06232D95" w14:textId="0E9862A2" w:rsidR="0056729D" w:rsidRDefault="0056729D" w:rsidP="004210CB">
      <w:pPr>
        <w:jc w:val="both"/>
        <w:rPr>
          <w:rFonts w:asciiTheme="minorBidi" w:hAnsiTheme="minorBidi"/>
        </w:rPr>
      </w:pPr>
      <w:r w:rsidRPr="0056729D">
        <w:rPr>
          <w:rFonts w:asciiTheme="minorBidi" w:hAnsiTheme="minorBidi"/>
        </w:rPr>
        <w:t>Additionally, as the supreme overlord in the medieval feudal system of land ownership, the King was entitled to reclaim land whenever an owner died without an heir. These mechanisms were known as 'incidents.' The use of trusts provided a way to circumvent these feudal incidents by allowing the landowner to place their legal title in the hands of several individuals who could be periodically replaced. This ensured that the land always had a living legal owner and that the legal title would never be inherited or left without an heir.</w:t>
      </w:r>
    </w:p>
    <w:p w14:paraId="3C97C1BA" w14:textId="77777777" w:rsidR="0056729D" w:rsidRDefault="00F9563A" w:rsidP="004210CB">
      <w:pPr>
        <w:jc w:val="both"/>
        <w:rPr>
          <w:rFonts w:asciiTheme="minorBidi" w:hAnsiTheme="minorBidi"/>
        </w:rPr>
      </w:pPr>
      <w:r w:rsidRPr="004210CB">
        <w:rPr>
          <w:rFonts w:asciiTheme="minorBidi" w:hAnsiTheme="minorBidi"/>
        </w:rPr>
        <w:t>By the time that Henry VIII came to the throne, most land in England was held to uses. This, of course, deprived the Crown of a potentially lucrative source of revenue.</w:t>
      </w:r>
    </w:p>
    <w:p w14:paraId="78245D8B" w14:textId="421EF390" w:rsidR="00F9563A" w:rsidRPr="004210CB" w:rsidRDefault="0056729D" w:rsidP="004210CB">
      <w:pPr>
        <w:jc w:val="both"/>
        <w:rPr>
          <w:rFonts w:asciiTheme="minorBidi" w:hAnsiTheme="minorBidi"/>
        </w:rPr>
      </w:pPr>
      <w:r w:rsidRPr="0056729D">
        <w:rPr>
          <w:rFonts w:asciiTheme="minorBidi" w:hAnsiTheme="minorBidi"/>
        </w:rPr>
        <w:t>In response to such issues, Henry VIII enacted the Statute of Uses 1536</w:t>
      </w:r>
      <w:r w:rsidR="00F9563A" w:rsidRPr="004210CB">
        <w:rPr>
          <w:rFonts w:asciiTheme="minorBidi" w:hAnsiTheme="minorBidi"/>
        </w:rPr>
        <w:t>.</w:t>
      </w:r>
      <w:r>
        <w:rPr>
          <w:rFonts w:asciiTheme="minorBidi" w:hAnsiTheme="minorBidi"/>
        </w:rPr>
        <w:t xml:space="preserve"> </w:t>
      </w:r>
      <w:r w:rsidRPr="0056729D">
        <w:rPr>
          <w:rFonts w:asciiTheme="minorBidi" w:hAnsiTheme="minorBidi"/>
        </w:rPr>
        <w:t>The effect of the statute was to transfer legal title to the beneficiary of the use, thereby bringing the use to an end or ‘executing’ it</w:t>
      </w:r>
      <w:r w:rsidR="00F9563A" w:rsidRPr="004210CB">
        <w:rPr>
          <w:rFonts w:asciiTheme="minorBidi" w:hAnsiTheme="minorBidi"/>
        </w:rPr>
        <w:t xml:space="preserve">, so that the effect of a conveyance from ‘A to B for the use of C’ would take effect as a straightforward conveyance of legal title from A to C. This prevented the use </w:t>
      </w:r>
      <w:r w:rsidR="00F9563A" w:rsidRPr="004210CB">
        <w:rPr>
          <w:rFonts w:asciiTheme="minorBidi" w:hAnsiTheme="minorBidi"/>
        </w:rPr>
        <w:lastRenderedPageBreak/>
        <w:t xml:space="preserve">being utilised to avoid death duties. </w:t>
      </w:r>
      <w:r w:rsidRPr="0056729D">
        <w:rPr>
          <w:rFonts w:asciiTheme="minorBidi" w:hAnsiTheme="minorBidi"/>
        </w:rPr>
        <w:t>Note that the statute primarily affected uses of land, leaving certain types of uses—such as those involving personal property—entirely unaffected</w:t>
      </w:r>
      <w:r w:rsidR="00F9563A" w:rsidRPr="004210CB">
        <w:rPr>
          <w:rFonts w:asciiTheme="minorBidi" w:hAnsiTheme="minorBidi"/>
        </w:rPr>
        <w:t>.</w:t>
      </w:r>
    </w:p>
    <w:p w14:paraId="262582CD" w14:textId="77777777" w:rsidR="00F9563A" w:rsidRPr="00307F25" w:rsidRDefault="00F9563A" w:rsidP="00F9563A">
      <w:pPr>
        <w:pStyle w:val="Paragrafoelenco"/>
        <w:numPr>
          <w:ilvl w:val="0"/>
          <w:numId w:val="22"/>
        </w:numPr>
        <w:rPr>
          <w:rFonts w:cstheme="minorHAnsi"/>
          <w:b/>
          <w:bCs/>
          <w:sz w:val="24"/>
          <w:szCs w:val="24"/>
        </w:rPr>
      </w:pPr>
      <w:r w:rsidRPr="00307F25">
        <w:rPr>
          <w:rFonts w:cstheme="minorHAnsi"/>
          <w:b/>
          <w:bCs/>
          <w:sz w:val="24"/>
          <w:szCs w:val="24"/>
        </w:rPr>
        <w:t xml:space="preserve">The ‘Use Upon a Use’: </w:t>
      </w:r>
      <w:proofErr w:type="gramStart"/>
      <w:r w:rsidRPr="00307F25">
        <w:rPr>
          <w:rFonts w:cstheme="minorHAnsi"/>
          <w:b/>
          <w:bCs/>
          <w:sz w:val="24"/>
          <w:szCs w:val="24"/>
        </w:rPr>
        <w:t>the</w:t>
      </w:r>
      <w:proofErr w:type="gramEnd"/>
      <w:r w:rsidRPr="00307F25">
        <w:rPr>
          <w:rFonts w:cstheme="minorHAnsi"/>
          <w:b/>
          <w:bCs/>
          <w:sz w:val="24"/>
          <w:szCs w:val="24"/>
        </w:rPr>
        <w:t xml:space="preserve"> Statute of Uses Becomes Obsolete </w:t>
      </w:r>
    </w:p>
    <w:p w14:paraId="61546A73" w14:textId="77777777" w:rsidR="00F556A9" w:rsidRDefault="00F9563A" w:rsidP="004210CB">
      <w:pPr>
        <w:jc w:val="both"/>
        <w:rPr>
          <w:rFonts w:asciiTheme="minorBidi" w:hAnsiTheme="minorBidi"/>
        </w:rPr>
      </w:pPr>
      <w:r w:rsidRPr="001B168D">
        <w:rPr>
          <w:rFonts w:asciiTheme="minorBidi" w:hAnsiTheme="minorBidi"/>
        </w:rPr>
        <w:t>Over time, land law and tax law evolved to the extent that even a valid use could not be used to avoid death duties, so the original purpose of the Statute of Uses became obsolete. There was no longer any policy-based reason for uses not to be recognised.</w:t>
      </w:r>
    </w:p>
    <w:p w14:paraId="54FEDAE2" w14:textId="7219C2D5" w:rsidR="00F556A9" w:rsidRDefault="00F9563A" w:rsidP="004210CB">
      <w:pPr>
        <w:jc w:val="both"/>
        <w:rPr>
          <w:rFonts w:asciiTheme="minorBidi" w:hAnsiTheme="minorBidi"/>
        </w:rPr>
      </w:pPr>
      <w:r w:rsidRPr="001B168D">
        <w:rPr>
          <w:rFonts w:asciiTheme="minorBidi" w:hAnsiTheme="minorBidi"/>
        </w:rPr>
        <w:t>But whilst the Statute of Uses remained un-repealed, a conveyance containing a use would be ineffective at creating the use. Eventually, lawyers overcame this problem by conceiving the ‘use upon a use.’ A conveyance could be drafted which contained two successive uses. For example, A could convey land to ‘B for the use of C for the use of D’.</w:t>
      </w:r>
    </w:p>
    <w:p w14:paraId="0817BC22" w14:textId="385EFCD7" w:rsidR="00F9563A" w:rsidRDefault="00F9563A" w:rsidP="004210CB">
      <w:pPr>
        <w:jc w:val="both"/>
        <w:rPr>
          <w:rFonts w:asciiTheme="minorBidi" w:hAnsiTheme="minorBidi"/>
        </w:rPr>
      </w:pPr>
      <w:r w:rsidRPr="001B168D">
        <w:rPr>
          <w:rFonts w:asciiTheme="minorBidi" w:hAnsiTheme="minorBidi"/>
        </w:rPr>
        <w:t>The Court of Chancery began to rule that the first use would be rendered ineffective by the Statute of Uses, but that the second use would take effect. So, the above conveyance would take effect as a conveyance from A to C for the use of D. Landowners were free once more to create uses.</w:t>
      </w:r>
    </w:p>
    <w:p w14:paraId="119906AC" w14:textId="77777777" w:rsidR="00F9563A" w:rsidRPr="00307F25" w:rsidRDefault="00F9563A" w:rsidP="00F9563A">
      <w:pPr>
        <w:ind w:firstLine="720"/>
        <w:rPr>
          <w:rFonts w:cstheme="minorHAnsi"/>
          <w:b/>
          <w:bCs/>
          <w:sz w:val="24"/>
          <w:szCs w:val="24"/>
        </w:rPr>
      </w:pPr>
      <w:r w:rsidRPr="00307F25">
        <w:rPr>
          <w:rFonts w:cstheme="minorHAnsi"/>
          <w:b/>
          <w:bCs/>
          <w:sz w:val="24"/>
          <w:szCs w:val="24"/>
        </w:rPr>
        <w:t>D. Uses come to be known as Trusts</w:t>
      </w:r>
    </w:p>
    <w:p w14:paraId="5D4F45FC" w14:textId="3EA85822" w:rsidR="00F556A9" w:rsidRDefault="00F9563A" w:rsidP="00F556A9">
      <w:pPr>
        <w:jc w:val="both"/>
        <w:rPr>
          <w:rFonts w:ascii="Arial" w:hAnsi="Arial" w:cs="Arial"/>
        </w:rPr>
      </w:pPr>
      <w:r w:rsidRPr="004210CB">
        <w:rPr>
          <w:rFonts w:ascii="Arial" w:hAnsi="Arial" w:cs="Arial"/>
        </w:rPr>
        <w:t>Over the years, as it became indisputable that uses were once again valid</w:t>
      </w:r>
      <w:r w:rsidR="00F556A9">
        <w:rPr>
          <w:rFonts w:ascii="Arial" w:hAnsi="Arial" w:cs="Arial"/>
        </w:rPr>
        <w:t xml:space="preserve">. </w:t>
      </w:r>
      <w:r w:rsidR="00F556A9" w:rsidRPr="00F556A9">
        <w:rPr>
          <w:rFonts w:asciiTheme="minorBidi" w:hAnsiTheme="minorBidi"/>
        </w:rPr>
        <w:t>In the seventeenth century, the Chancellors ‘began to enforce the use upon a use as a trust’, leading to observe that a ‘bastardly use’ had started up ‘by the true name which the use had at first—which is ‘trust and confidence’</w:t>
      </w:r>
      <w:r w:rsidR="00F556A9">
        <w:rPr>
          <w:rStyle w:val="Rimandonotaapidipagina"/>
          <w:rFonts w:asciiTheme="minorBidi" w:hAnsiTheme="minorBidi"/>
        </w:rPr>
        <w:footnoteReference w:id="6"/>
      </w:r>
      <w:r w:rsidR="00F556A9" w:rsidRPr="00F556A9">
        <w:rPr>
          <w:rFonts w:asciiTheme="minorBidi" w:hAnsiTheme="minorBidi"/>
        </w:rPr>
        <w:t>.</w:t>
      </w:r>
    </w:p>
    <w:p w14:paraId="7C1CF024" w14:textId="2F05E57B" w:rsidR="0023299A" w:rsidRDefault="00F9563A" w:rsidP="00F556A9">
      <w:pPr>
        <w:jc w:val="both"/>
        <w:rPr>
          <w:rFonts w:ascii="Arial" w:hAnsi="Arial" w:cs="Arial"/>
        </w:rPr>
      </w:pPr>
      <w:r w:rsidRPr="004210CB">
        <w:rPr>
          <w:rFonts w:ascii="Arial" w:hAnsi="Arial" w:cs="Arial"/>
        </w:rPr>
        <w:t>As time passed, draughtsmen also began, by custom, to omit the ‘unto and for the use of’, so the conveyance would simply be from A ‘to C in trust for D’. The modern trust was thus born.</w:t>
      </w:r>
    </w:p>
    <w:p w14:paraId="10415A35" w14:textId="77777777" w:rsidR="006B3AAC" w:rsidRPr="00F556A9" w:rsidRDefault="006B3AAC" w:rsidP="00F556A9">
      <w:pPr>
        <w:jc w:val="both"/>
        <w:rPr>
          <w:rFonts w:ascii="Arial" w:hAnsi="Arial" w:cs="Arial"/>
        </w:rPr>
      </w:pPr>
    </w:p>
    <w:p w14:paraId="41258D96" w14:textId="03C2DB4A" w:rsidR="0023299A" w:rsidRPr="0023299A" w:rsidRDefault="0023299A" w:rsidP="0023299A">
      <w:pPr>
        <w:pStyle w:val="Paragrafoelenco"/>
        <w:numPr>
          <w:ilvl w:val="0"/>
          <w:numId w:val="3"/>
        </w:numPr>
        <w:rPr>
          <w:rFonts w:cstheme="minorHAnsi"/>
          <w:b/>
          <w:bCs/>
          <w:sz w:val="24"/>
          <w:szCs w:val="24"/>
        </w:rPr>
      </w:pPr>
      <w:r w:rsidRPr="0023299A">
        <w:rPr>
          <w:rFonts w:cstheme="minorHAnsi"/>
          <w:b/>
          <w:bCs/>
          <w:sz w:val="24"/>
          <w:szCs w:val="24"/>
        </w:rPr>
        <w:t>SUMMARY OF THE HISTORICAL DEVELOPMENT OF EQUITY AND TRUSTS</w:t>
      </w:r>
    </w:p>
    <w:p w14:paraId="24DD5F0A" w14:textId="77777777" w:rsidR="0023299A" w:rsidRPr="0023299A" w:rsidRDefault="0023299A" w:rsidP="0023299A">
      <w:pPr>
        <w:spacing w:line="240" w:lineRule="auto"/>
        <w:jc w:val="both"/>
        <w:rPr>
          <w:rFonts w:ascii="Arial" w:eastAsia="MS Mincho" w:hAnsi="Arial" w:cs="Arial"/>
          <w:lang w:val="en-US" w:bidi="en-US"/>
        </w:rPr>
      </w:pPr>
      <w:r w:rsidRPr="0023299A">
        <w:rPr>
          <w:rFonts w:ascii="Arial" w:eastAsia="MS Mincho" w:hAnsi="Arial" w:cs="Arial"/>
          <w:lang w:val="en-US" w:bidi="en-US"/>
        </w:rPr>
        <w:t>Note that some events were of an ongoing nature, and not limited to the indicative dates:</w:t>
      </w:r>
    </w:p>
    <w:p w14:paraId="4D031EBD" w14:textId="3D25C441" w:rsidR="0023299A" w:rsidRPr="0023299A" w:rsidRDefault="0023299A" w:rsidP="0023299A">
      <w:pPr>
        <w:pStyle w:val="Paragrafoelenco"/>
        <w:numPr>
          <w:ilvl w:val="0"/>
          <w:numId w:val="25"/>
        </w:numPr>
        <w:spacing w:line="240" w:lineRule="auto"/>
        <w:contextualSpacing w:val="0"/>
        <w:jc w:val="both"/>
        <w:rPr>
          <w:rFonts w:ascii="Arial" w:eastAsia="MS Mincho" w:hAnsi="Arial" w:cs="Arial"/>
          <w:lang w:val="en-US" w:bidi="en-US"/>
        </w:rPr>
      </w:pPr>
      <w:r w:rsidRPr="0023299A">
        <w:rPr>
          <w:rFonts w:ascii="Arial" w:eastAsia="MS Mincho" w:hAnsi="Arial" w:cs="Arial"/>
          <w:b/>
          <w:bCs/>
          <w:lang w:val="en-US" w:bidi="en-US"/>
        </w:rPr>
        <w:t>12th century</w:t>
      </w:r>
      <w:r w:rsidRPr="0023299A">
        <w:rPr>
          <w:rFonts w:ascii="Arial" w:eastAsia="MS Mincho" w:hAnsi="Arial" w:cs="Arial"/>
          <w:lang w:val="en-US" w:bidi="en-US"/>
        </w:rPr>
        <w:t>: Chancellor begins to advise the King in Privy Council.</w:t>
      </w:r>
    </w:p>
    <w:p w14:paraId="3E912F04" w14:textId="6CE15544" w:rsidR="0023299A" w:rsidRPr="0023299A" w:rsidRDefault="0023299A" w:rsidP="0023299A">
      <w:pPr>
        <w:pStyle w:val="Paragrafoelenco"/>
        <w:numPr>
          <w:ilvl w:val="0"/>
          <w:numId w:val="25"/>
        </w:numPr>
        <w:spacing w:line="240" w:lineRule="auto"/>
        <w:contextualSpacing w:val="0"/>
        <w:jc w:val="both"/>
        <w:rPr>
          <w:rFonts w:ascii="Arial" w:eastAsia="MS Mincho" w:hAnsi="Arial" w:cs="Arial"/>
          <w:lang w:val="en-US" w:bidi="en-US"/>
        </w:rPr>
      </w:pPr>
      <w:r w:rsidRPr="0023299A">
        <w:rPr>
          <w:rFonts w:ascii="Arial" w:eastAsia="MS Mincho" w:hAnsi="Arial" w:cs="Arial"/>
          <w:b/>
          <w:bCs/>
          <w:lang w:val="en-US" w:bidi="en-US"/>
        </w:rPr>
        <w:t>13th century</w:t>
      </w:r>
      <w:r w:rsidRPr="0023299A">
        <w:rPr>
          <w:rFonts w:ascii="Arial" w:eastAsia="MS Mincho" w:hAnsi="Arial" w:cs="Arial"/>
          <w:lang w:val="en-US" w:bidi="en-US"/>
        </w:rPr>
        <w:t>: As keeper of the King’s ‘Great Seal’, the Chancellor frames common law writs. The ‘use’ (precursor of the ‘trust’) of land is established.</w:t>
      </w:r>
    </w:p>
    <w:p w14:paraId="4B7662AE" w14:textId="2796C0F6" w:rsidR="0023299A" w:rsidRPr="0023299A" w:rsidRDefault="0023299A" w:rsidP="0023299A">
      <w:pPr>
        <w:pStyle w:val="Paragrafoelenco"/>
        <w:numPr>
          <w:ilvl w:val="0"/>
          <w:numId w:val="25"/>
        </w:numPr>
        <w:spacing w:line="240" w:lineRule="auto"/>
        <w:contextualSpacing w:val="0"/>
        <w:jc w:val="both"/>
        <w:rPr>
          <w:rFonts w:ascii="Arial" w:eastAsia="MS Mincho" w:hAnsi="Arial" w:cs="Arial"/>
          <w:lang w:val="en-US" w:bidi="en-US"/>
        </w:rPr>
      </w:pPr>
      <w:r w:rsidRPr="0023299A">
        <w:rPr>
          <w:rFonts w:ascii="Arial" w:eastAsia="MS Mincho" w:hAnsi="Arial" w:cs="Arial"/>
          <w:b/>
          <w:bCs/>
          <w:lang w:val="en-US" w:bidi="en-US"/>
        </w:rPr>
        <w:t>14th century</w:t>
      </w:r>
      <w:r w:rsidRPr="0023299A">
        <w:rPr>
          <w:rFonts w:ascii="Arial" w:eastAsia="MS Mincho" w:hAnsi="Arial" w:cs="Arial"/>
          <w:lang w:val="en-US" w:bidi="en-US"/>
        </w:rPr>
        <w:t>: As keeper of the King’s conscience, the Chancellor remedies the strictness of the common law in particular cases.</w:t>
      </w:r>
    </w:p>
    <w:p w14:paraId="05B8F7DC" w14:textId="77A7805C" w:rsidR="0023299A" w:rsidRPr="0023299A" w:rsidRDefault="0023299A" w:rsidP="0023299A">
      <w:pPr>
        <w:pStyle w:val="Paragrafoelenco"/>
        <w:numPr>
          <w:ilvl w:val="0"/>
          <w:numId w:val="25"/>
        </w:numPr>
        <w:spacing w:line="240" w:lineRule="auto"/>
        <w:contextualSpacing w:val="0"/>
        <w:jc w:val="both"/>
        <w:rPr>
          <w:rFonts w:ascii="Arial" w:eastAsia="MS Mincho" w:hAnsi="Arial" w:cs="Arial"/>
          <w:lang w:val="en-US" w:bidi="en-US"/>
        </w:rPr>
      </w:pPr>
      <w:r w:rsidRPr="0023299A">
        <w:rPr>
          <w:rFonts w:ascii="Arial" w:eastAsia="MS Mincho" w:hAnsi="Arial" w:cs="Arial"/>
          <w:b/>
          <w:bCs/>
          <w:lang w:val="en-US" w:bidi="en-US"/>
        </w:rPr>
        <w:t>15th century</w:t>
      </w:r>
      <w:r w:rsidRPr="0023299A">
        <w:rPr>
          <w:rFonts w:ascii="Arial" w:eastAsia="MS Mincho" w:hAnsi="Arial" w:cs="Arial"/>
          <w:lang w:val="en-US" w:bidi="en-US"/>
        </w:rPr>
        <w:t>: Growth of the Chancellor’s court (Court of Chancery) at Westminster.</w:t>
      </w:r>
    </w:p>
    <w:p w14:paraId="1A2E0BC3" w14:textId="0704901E" w:rsidR="0023299A" w:rsidRPr="0023299A" w:rsidRDefault="0023299A" w:rsidP="0023299A">
      <w:pPr>
        <w:pStyle w:val="Paragrafoelenco"/>
        <w:numPr>
          <w:ilvl w:val="0"/>
          <w:numId w:val="25"/>
        </w:numPr>
        <w:spacing w:line="240" w:lineRule="auto"/>
        <w:contextualSpacing w:val="0"/>
        <w:jc w:val="both"/>
        <w:rPr>
          <w:rFonts w:ascii="Arial" w:eastAsia="MS Mincho" w:hAnsi="Arial" w:cs="Arial"/>
          <w:lang w:val="en-US" w:bidi="en-US"/>
        </w:rPr>
      </w:pPr>
      <w:r w:rsidRPr="0023299A">
        <w:rPr>
          <w:rFonts w:ascii="Arial" w:eastAsia="MS Mincho" w:hAnsi="Arial" w:cs="Arial"/>
          <w:b/>
          <w:bCs/>
          <w:lang w:val="en-US" w:bidi="en-US"/>
        </w:rPr>
        <w:t>16th century</w:t>
      </w:r>
      <w:r w:rsidRPr="0023299A">
        <w:rPr>
          <w:rFonts w:ascii="Arial" w:eastAsia="MS Mincho" w:hAnsi="Arial" w:cs="Arial"/>
          <w:lang w:val="en-US" w:bidi="en-US"/>
        </w:rPr>
        <w:t>: At the start of the century, Chancellors were clerics; by the end they were lawyers and the Chancellor’s equitable jurisdiction was established as a branch of law rather than a branch of ecclesiastic morality. Henry VIII attempts to abolish uses of land.</w:t>
      </w:r>
    </w:p>
    <w:p w14:paraId="73341902" w14:textId="500FDE83" w:rsidR="0023299A" w:rsidRPr="0023299A" w:rsidRDefault="0023299A" w:rsidP="0023299A">
      <w:pPr>
        <w:pStyle w:val="Paragrafoelenco"/>
        <w:numPr>
          <w:ilvl w:val="0"/>
          <w:numId w:val="25"/>
        </w:numPr>
        <w:spacing w:line="240" w:lineRule="auto"/>
        <w:contextualSpacing w:val="0"/>
        <w:jc w:val="both"/>
        <w:rPr>
          <w:rFonts w:ascii="Arial" w:eastAsia="MS Mincho" w:hAnsi="Arial" w:cs="Arial"/>
          <w:lang w:val="en-US" w:bidi="en-US"/>
        </w:rPr>
      </w:pPr>
      <w:r w:rsidRPr="0023299A">
        <w:rPr>
          <w:rFonts w:ascii="Arial" w:eastAsia="MS Mincho" w:hAnsi="Arial" w:cs="Arial"/>
          <w:b/>
          <w:bCs/>
          <w:lang w:val="en-US" w:bidi="en-US"/>
        </w:rPr>
        <w:t>17th century</w:t>
      </w:r>
      <w:r w:rsidRPr="0023299A">
        <w:rPr>
          <w:rFonts w:ascii="Arial" w:eastAsia="MS Mincho" w:hAnsi="Arial" w:cs="Arial"/>
          <w:lang w:val="en-US" w:bidi="en-US"/>
        </w:rPr>
        <w:t>: Equity is established as supreme in cases of conflict between equity and the common law. Methods for indirectly enforcing uses of land become accepted and the modern trust is established.</w:t>
      </w:r>
    </w:p>
    <w:p w14:paraId="7A11348C" w14:textId="7B9EA09D" w:rsidR="0023299A" w:rsidRPr="0023299A" w:rsidRDefault="0023299A" w:rsidP="0023299A">
      <w:pPr>
        <w:pStyle w:val="Paragrafoelenco"/>
        <w:numPr>
          <w:ilvl w:val="0"/>
          <w:numId w:val="25"/>
        </w:numPr>
        <w:spacing w:line="240" w:lineRule="auto"/>
        <w:contextualSpacing w:val="0"/>
        <w:jc w:val="both"/>
        <w:rPr>
          <w:rFonts w:ascii="Arial" w:eastAsia="MS Mincho" w:hAnsi="Arial" w:cs="Arial"/>
          <w:lang w:val="en-US" w:bidi="en-US"/>
        </w:rPr>
      </w:pPr>
      <w:r w:rsidRPr="0023299A">
        <w:rPr>
          <w:rFonts w:ascii="Arial" w:eastAsia="MS Mincho" w:hAnsi="Arial" w:cs="Arial"/>
          <w:b/>
          <w:bCs/>
          <w:lang w:val="en-US" w:bidi="en-US"/>
        </w:rPr>
        <w:t>18th century</w:t>
      </w:r>
      <w:r w:rsidRPr="0023299A">
        <w:rPr>
          <w:rFonts w:ascii="Arial" w:eastAsia="MS Mincho" w:hAnsi="Arial" w:cs="Arial"/>
          <w:lang w:val="en-US" w:bidi="en-US"/>
        </w:rPr>
        <w:t>: Equity develops in a manner supplemental to the common law; modern trust doctrine and mortgage doctrine is developed, and established.</w:t>
      </w:r>
    </w:p>
    <w:p w14:paraId="5A4CC696" w14:textId="7080905A" w:rsidR="0023299A" w:rsidRPr="0023299A" w:rsidRDefault="0023299A" w:rsidP="0023299A">
      <w:pPr>
        <w:pStyle w:val="Paragrafoelenco"/>
        <w:numPr>
          <w:ilvl w:val="0"/>
          <w:numId w:val="25"/>
        </w:numPr>
        <w:spacing w:line="240" w:lineRule="auto"/>
        <w:contextualSpacing w:val="0"/>
        <w:jc w:val="both"/>
        <w:rPr>
          <w:rFonts w:ascii="Arial" w:eastAsia="MS Mincho" w:hAnsi="Arial" w:cs="Arial"/>
          <w:lang w:val="en-US" w:bidi="en-US"/>
        </w:rPr>
      </w:pPr>
      <w:r w:rsidRPr="0023299A">
        <w:rPr>
          <w:rFonts w:ascii="Arial" w:eastAsia="MS Mincho" w:hAnsi="Arial" w:cs="Arial"/>
          <w:b/>
          <w:bCs/>
          <w:lang w:val="en-US" w:bidi="en-US"/>
        </w:rPr>
        <w:lastRenderedPageBreak/>
        <w:t>19th century</w:t>
      </w:r>
      <w:r w:rsidRPr="0023299A">
        <w:rPr>
          <w:rFonts w:ascii="Arial" w:eastAsia="MS Mincho" w:hAnsi="Arial" w:cs="Arial"/>
          <w:lang w:val="en-US" w:bidi="en-US"/>
        </w:rPr>
        <w:t>: Chancery and common law courts are subsumed within a new Supreme Court of Judicature. Procedures are united, but both branches of law remain functionally distinct.</w:t>
      </w:r>
    </w:p>
    <w:p w14:paraId="07E48597" w14:textId="0E21ABCA" w:rsidR="0023299A" w:rsidRPr="0023299A" w:rsidRDefault="0023299A" w:rsidP="0023299A">
      <w:pPr>
        <w:pStyle w:val="Paragrafoelenco"/>
        <w:numPr>
          <w:ilvl w:val="0"/>
          <w:numId w:val="25"/>
        </w:numPr>
        <w:spacing w:line="240" w:lineRule="auto"/>
        <w:contextualSpacing w:val="0"/>
        <w:jc w:val="both"/>
        <w:rPr>
          <w:rFonts w:ascii="Arial" w:eastAsia="MS Mincho" w:hAnsi="Arial" w:cs="Arial"/>
          <w:lang w:val="en-US" w:bidi="en-US"/>
        </w:rPr>
      </w:pPr>
      <w:r w:rsidRPr="006B3AAC">
        <w:rPr>
          <w:rFonts w:ascii="Arial" w:eastAsia="MS Mincho" w:hAnsi="Arial" w:cs="Arial"/>
          <w:i/>
          <w:iCs/>
          <w:lang w:val="en-US" w:bidi="en-US"/>
        </w:rPr>
        <w:t>20th century</w:t>
      </w:r>
      <w:r w:rsidRPr="0023299A">
        <w:rPr>
          <w:rFonts w:ascii="Arial" w:eastAsia="MS Mincho" w:hAnsi="Arial" w:cs="Arial"/>
          <w:lang w:val="en-US" w:bidi="en-US"/>
        </w:rPr>
        <w:t>: Statutory consolidation and reform of the general law governing the creation, and operation of trusts.</w:t>
      </w:r>
    </w:p>
    <w:p w14:paraId="44EAFD9C" w14:textId="64C0B3A6" w:rsidR="00146F8D" w:rsidRPr="0023299A" w:rsidRDefault="0023299A" w:rsidP="0023299A">
      <w:pPr>
        <w:pStyle w:val="Paragrafoelenco"/>
        <w:numPr>
          <w:ilvl w:val="0"/>
          <w:numId w:val="25"/>
        </w:numPr>
        <w:spacing w:line="240" w:lineRule="auto"/>
        <w:contextualSpacing w:val="0"/>
        <w:jc w:val="both"/>
        <w:rPr>
          <w:rFonts w:ascii="Arial" w:eastAsia="MS Mincho" w:hAnsi="Arial" w:cs="Arial"/>
          <w:lang w:val="en-US" w:bidi="en-US"/>
        </w:rPr>
      </w:pPr>
      <w:r w:rsidRPr="006B3AAC">
        <w:rPr>
          <w:rFonts w:ascii="Arial" w:eastAsia="MS Mincho" w:hAnsi="Arial" w:cs="Arial"/>
          <w:i/>
          <w:iCs/>
          <w:lang w:val="en-US" w:bidi="en-US"/>
        </w:rPr>
        <w:t>21st century</w:t>
      </w:r>
      <w:r w:rsidRPr="0023299A">
        <w:rPr>
          <w:rFonts w:ascii="Arial" w:eastAsia="MS Mincho" w:hAnsi="Arial" w:cs="Arial"/>
          <w:lang w:val="en-US" w:bidi="en-US"/>
        </w:rPr>
        <w:t>: Increasing and on-going international popularity of the trust as a commercial device, even in jurisdictions without the English tradition of equity.</w:t>
      </w:r>
    </w:p>
    <w:sectPr w:rsidR="00146F8D" w:rsidRPr="0023299A" w:rsidSect="00B869B7">
      <w:headerReference w:type="default" r:id="rId9"/>
      <w:footerReference w:type="default" r:id="rId10"/>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D3EB2B" w14:textId="77777777" w:rsidR="00E34FC9" w:rsidRDefault="00E34FC9" w:rsidP="00177ED8">
      <w:pPr>
        <w:spacing w:after="0" w:line="240" w:lineRule="auto"/>
      </w:pPr>
      <w:r>
        <w:separator/>
      </w:r>
    </w:p>
  </w:endnote>
  <w:endnote w:type="continuationSeparator" w:id="0">
    <w:p w14:paraId="20170EB3" w14:textId="77777777" w:rsidR="00E34FC9" w:rsidRDefault="00E34FC9" w:rsidP="0017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Segoe UI">
    <w:panose1 w:val="020B0604020202020204"/>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5243884"/>
      <w:docPartObj>
        <w:docPartGallery w:val="Page Numbers (Bottom of Page)"/>
        <w:docPartUnique/>
      </w:docPartObj>
    </w:sdtPr>
    <w:sdtEndPr/>
    <w:sdtContent>
      <w:sdt>
        <w:sdtPr>
          <w:id w:val="1728636285"/>
          <w:docPartObj>
            <w:docPartGallery w:val="Page Numbers (Top of Page)"/>
            <w:docPartUnique/>
          </w:docPartObj>
        </w:sdtPr>
        <w:sdtEndPr/>
        <w:sdtContent>
          <w:p w14:paraId="38E60C61" w14:textId="35BA6EAA" w:rsidR="00A013BA" w:rsidRDefault="00A013BA">
            <w:pPr>
              <w:pStyle w:val="Pidipagina"/>
              <w:jc w:val="center"/>
            </w:pPr>
            <w:r w:rsidRPr="00B869B7">
              <w:rPr>
                <w:rFonts w:ascii="Arial" w:hAnsi="Arial" w:cs="Arial"/>
                <w:sz w:val="20"/>
                <w:szCs w:val="20"/>
              </w:rPr>
              <w:t xml:space="preserve">Page </w:t>
            </w:r>
            <w:r w:rsidRPr="00B869B7">
              <w:rPr>
                <w:rFonts w:ascii="Arial" w:hAnsi="Arial" w:cs="Arial"/>
                <w:bCs/>
                <w:sz w:val="20"/>
                <w:szCs w:val="20"/>
              </w:rPr>
              <w:fldChar w:fldCharType="begin"/>
            </w:r>
            <w:r w:rsidRPr="00B869B7">
              <w:rPr>
                <w:rFonts w:ascii="Arial" w:hAnsi="Arial" w:cs="Arial"/>
                <w:bCs/>
                <w:sz w:val="20"/>
                <w:szCs w:val="20"/>
              </w:rPr>
              <w:instrText xml:space="preserve"> PAGE </w:instrText>
            </w:r>
            <w:r w:rsidRPr="00B869B7">
              <w:rPr>
                <w:rFonts w:ascii="Arial" w:hAnsi="Arial" w:cs="Arial"/>
                <w:bCs/>
                <w:sz w:val="20"/>
                <w:szCs w:val="20"/>
              </w:rPr>
              <w:fldChar w:fldCharType="separate"/>
            </w:r>
            <w:r w:rsidR="003D426A">
              <w:rPr>
                <w:rFonts w:ascii="Arial" w:hAnsi="Arial" w:cs="Arial"/>
                <w:bCs/>
                <w:noProof/>
                <w:sz w:val="20"/>
                <w:szCs w:val="20"/>
              </w:rPr>
              <w:t>11</w:t>
            </w:r>
            <w:r w:rsidRPr="00B869B7">
              <w:rPr>
                <w:rFonts w:ascii="Arial" w:hAnsi="Arial" w:cs="Arial"/>
                <w:bCs/>
                <w:sz w:val="20"/>
                <w:szCs w:val="20"/>
              </w:rPr>
              <w:fldChar w:fldCharType="end"/>
            </w:r>
            <w:r w:rsidRPr="00B869B7">
              <w:rPr>
                <w:rFonts w:ascii="Arial" w:hAnsi="Arial" w:cs="Arial"/>
                <w:sz w:val="20"/>
                <w:szCs w:val="20"/>
              </w:rPr>
              <w:t xml:space="preserve"> of </w:t>
            </w:r>
            <w:r w:rsidRPr="00B869B7">
              <w:rPr>
                <w:rFonts w:ascii="Arial" w:hAnsi="Arial" w:cs="Arial"/>
                <w:bCs/>
                <w:sz w:val="20"/>
                <w:szCs w:val="20"/>
              </w:rPr>
              <w:fldChar w:fldCharType="begin"/>
            </w:r>
            <w:r w:rsidRPr="00B869B7">
              <w:rPr>
                <w:rFonts w:ascii="Arial" w:hAnsi="Arial" w:cs="Arial"/>
                <w:bCs/>
                <w:sz w:val="20"/>
                <w:szCs w:val="20"/>
              </w:rPr>
              <w:instrText xml:space="preserve"> NUMPAGES  </w:instrText>
            </w:r>
            <w:r w:rsidRPr="00B869B7">
              <w:rPr>
                <w:rFonts w:ascii="Arial" w:hAnsi="Arial" w:cs="Arial"/>
                <w:bCs/>
                <w:sz w:val="20"/>
                <w:szCs w:val="20"/>
              </w:rPr>
              <w:fldChar w:fldCharType="separate"/>
            </w:r>
            <w:r w:rsidR="003D426A">
              <w:rPr>
                <w:rFonts w:ascii="Arial" w:hAnsi="Arial" w:cs="Arial"/>
                <w:bCs/>
                <w:noProof/>
                <w:sz w:val="20"/>
                <w:szCs w:val="20"/>
              </w:rPr>
              <w:t>11</w:t>
            </w:r>
            <w:r w:rsidRPr="00B869B7">
              <w:rPr>
                <w:rFonts w:ascii="Arial" w:hAnsi="Arial" w:cs="Arial"/>
                <w:bCs/>
                <w:sz w:val="20"/>
                <w:szCs w:val="20"/>
              </w:rPr>
              <w:fldChar w:fldCharType="end"/>
            </w:r>
          </w:p>
        </w:sdtContent>
      </w:sdt>
    </w:sdtContent>
  </w:sdt>
  <w:p w14:paraId="45FB0818" w14:textId="77777777" w:rsidR="00A013BA" w:rsidRDefault="00A013B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0501E7" w14:textId="77777777" w:rsidR="00E34FC9" w:rsidRDefault="00E34FC9" w:rsidP="00177ED8">
      <w:pPr>
        <w:spacing w:after="0" w:line="240" w:lineRule="auto"/>
      </w:pPr>
      <w:r>
        <w:separator/>
      </w:r>
    </w:p>
  </w:footnote>
  <w:footnote w:type="continuationSeparator" w:id="0">
    <w:p w14:paraId="60F76A9F" w14:textId="77777777" w:rsidR="00E34FC9" w:rsidRDefault="00E34FC9" w:rsidP="00177ED8">
      <w:pPr>
        <w:spacing w:after="0" w:line="240" w:lineRule="auto"/>
      </w:pPr>
      <w:r>
        <w:continuationSeparator/>
      </w:r>
    </w:p>
  </w:footnote>
  <w:footnote w:id="1">
    <w:p w14:paraId="35D20746" w14:textId="150BB02A" w:rsidR="00897129" w:rsidRPr="00897129" w:rsidRDefault="00897129">
      <w:pPr>
        <w:pStyle w:val="Testonotaapidipagina"/>
        <w:rPr>
          <w:lang w:val="en-US"/>
        </w:rPr>
      </w:pPr>
      <w:r>
        <w:rPr>
          <w:rStyle w:val="Rimandonotaapidipagina"/>
        </w:rPr>
        <w:footnoteRef/>
      </w:r>
      <w:r>
        <w:t xml:space="preserve"> </w:t>
      </w:r>
      <w:r w:rsidRPr="00897129">
        <w:t>A. Harding, The Law Courts of Medieval England (London: Allen &amp; Unwin, 1973)</w:t>
      </w:r>
      <w:r>
        <w:t>.</w:t>
      </w:r>
    </w:p>
  </w:footnote>
  <w:footnote w:id="2">
    <w:p w14:paraId="19B92B2D" w14:textId="24C318F8" w:rsidR="00716B6C" w:rsidRPr="00716B6C" w:rsidRDefault="00716B6C">
      <w:pPr>
        <w:pStyle w:val="Testonotaapidipagina"/>
        <w:rPr>
          <w:lang w:val="en-US"/>
        </w:rPr>
      </w:pPr>
      <w:r>
        <w:rPr>
          <w:rStyle w:val="Rimandonotaapidipagina"/>
        </w:rPr>
        <w:footnoteRef/>
      </w:r>
      <w:r>
        <w:t xml:space="preserve"> M. Lupoi, </w:t>
      </w:r>
      <w:r w:rsidRPr="00716B6C">
        <w:t>Trust and Confidence</w:t>
      </w:r>
      <w:r>
        <w:t>,</w:t>
      </w:r>
      <w:r w:rsidRPr="00716B6C">
        <w:t xml:space="preserve"> (2009) 125 LQR 253</w:t>
      </w:r>
      <w:r>
        <w:t>.</w:t>
      </w:r>
    </w:p>
  </w:footnote>
  <w:footnote w:id="3">
    <w:p w14:paraId="1D9D18F3" w14:textId="04CABBC2" w:rsidR="004E6B7B" w:rsidRPr="004E6B7B" w:rsidRDefault="004E6B7B">
      <w:pPr>
        <w:pStyle w:val="Testonotaapidipagina"/>
        <w:rPr>
          <w:lang w:val="en-US"/>
        </w:rPr>
      </w:pPr>
      <w:r>
        <w:rPr>
          <w:rStyle w:val="Rimandonotaapidipagina"/>
        </w:rPr>
        <w:footnoteRef/>
      </w:r>
      <w:r>
        <w:t xml:space="preserve"> </w:t>
      </w:r>
      <w:r w:rsidRPr="00F9563A">
        <w:rPr>
          <w:rFonts w:asciiTheme="minorBidi" w:eastAsia="MS Mincho" w:hAnsiTheme="minorBidi"/>
          <w:sz w:val="22"/>
          <w:szCs w:val="22"/>
          <w:lang w:bidi="en-US"/>
        </w:rPr>
        <w:t>(1615) 1 Ch Rep 1</w:t>
      </w:r>
      <w:r>
        <w:rPr>
          <w:rFonts w:asciiTheme="minorBidi" w:eastAsia="MS Mincho" w:hAnsiTheme="minorBidi"/>
          <w:sz w:val="22"/>
          <w:szCs w:val="22"/>
          <w:lang w:bidi="en-US"/>
        </w:rPr>
        <w:t>.</w:t>
      </w:r>
    </w:p>
  </w:footnote>
  <w:footnote w:id="4">
    <w:p w14:paraId="7B09609A" w14:textId="6D3B1DC0" w:rsidR="003A2725" w:rsidRPr="003A2725" w:rsidRDefault="003A2725">
      <w:pPr>
        <w:pStyle w:val="Testonotaapidipagina"/>
        <w:rPr>
          <w:lang w:val="it-IT"/>
        </w:rPr>
      </w:pPr>
      <w:r>
        <w:rPr>
          <w:rStyle w:val="Rimandonotaapidipagina"/>
        </w:rPr>
        <w:footnoteRef/>
      </w:r>
      <w:r>
        <w:t xml:space="preserve"> </w:t>
      </w:r>
      <w:r w:rsidRPr="003A2725">
        <w:rPr>
          <w:i/>
          <w:iCs/>
        </w:rPr>
        <w:t>Gee v Pritchard</w:t>
      </w:r>
      <w:r w:rsidRPr="003A2725">
        <w:t xml:space="preserve"> (1818) 2 Swan 402</w:t>
      </w:r>
      <w:r>
        <w:t>.</w:t>
      </w:r>
    </w:p>
  </w:footnote>
  <w:footnote w:id="5">
    <w:p w14:paraId="162D0DAF" w14:textId="4DDDB32C" w:rsidR="009E22F7" w:rsidRPr="009E22F7" w:rsidRDefault="009E22F7">
      <w:pPr>
        <w:pStyle w:val="Testonotaapidipagina"/>
        <w:rPr>
          <w:lang w:val="en-US"/>
        </w:rPr>
      </w:pPr>
      <w:r>
        <w:rPr>
          <w:rStyle w:val="Rimandonotaapidipagina"/>
        </w:rPr>
        <w:footnoteRef/>
      </w:r>
      <w:r>
        <w:t xml:space="preserve"> </w:t>
      </w:r>
      <w:r w:rsidRPr="009E22F7">
        <w:t>A</w:t>
      </w:r>
      <w:r>
        <w:t>.</w:t>
      </w:r>
      <w:r w:rsidRPr="009E22F7">
        <w:t xml:space="preserve">W.B. Simpson, </w:t>
      </w:r>
      <w:r w:rsidRPr="009E22F7">
        <w:rPr>
          <w:i/>
          <w:iCs/>
        </w:rPr>
        <w:t>An Introduction to the History of the Land Law</w:t>
      </w:r>
      <w:r w:rsidRPr="009E22F7">
        <w:t xml:space="preserve">, 2nd </w:t>
      </w:r>
      <w:proofErr w:type="spellStart"/>
      <w:r w:rsidRPr="009E22F7">
        <w:t>edn</w:t>
      </w:r>
      <w:proofErr w:type="spellEnd"/>
      <w:r w:rsidRPr="009E22F7">
        <w:t xml:space="preserve"> (Oxford: Clarendon Press, 1986), esp. </w:t>
      </w:r>
      <w:proofErr w:type="spellStart"/>
      <w:r w:rsidRPr="009E22F7">
        <w:t>ch.</w:t>
      </w:r>
      <w:proofErr w:type="spellEnd"/>
      <w:r w:rsidRPr="009E22F7">
        <w:t xml:space="preserve"> 8 on ‘Uses and the statute’ at 175</w:t>
      </w:r>
      <w:r>
        <w:t>.</w:t>
      </w:r>
    </w:p>
  </w:footnote>
  <w:footnote w:id="6">
    <w:p w14:paraId="21072DC9" w14:textId="4C539C84" w:rsidR="00F556A9" w:rsidRPr="00F556A9" w:rsidRDefault="00F556A9" w:rsidP="00F556A9">
      <w:pPr>
        <w:pStyle w:val="Testonotaapidipagina"/>
        <w:rPr>
          <w:lang w:val="en-US"/>
        </w:rPr>
      </w:pPr>
      <w:r>
        <w:rPr>
          <w:rStyle w:val="Rimandonotaapidipagina"/>
        </w:rPr>
        <w:footnoteRef/>
      </w:r>
      <w:r>
        <w:t xml:space="preserve"> </w:t>
      </w:r>
      <w:r w:rsidRPr="00F556A9">
        <w:t xml:space="preserve">H. </w:t>
      </w:r>
      <w:proofErr w:type="spellStart"/>
      <w:r w:rsidRPr="00F556A9">
        <w:t>Sherfield</w:t>
      </w:r>
      <w:proofErr w:type="spellEnd"/>
      <w:r w:rsidRPr="00F556A9">
        <w:t>, Reading on Wills (1623) at 32</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01652C" w14:textId="2CE3E942" w:rsidR="00F77345" w:rsidRPr="003D3BEA" w:rsidRDefault="003D3BEA" w:rsidP="003D3BEA">
    <w:pPr>
      <w:pStyle w:val="Intestazione"/>
      <w:jc w:val="right"/>
      <w:rPr>
        <w:rFonts w:ascii="Arial" w:hAnsi="Arial" w:cs="Arial"/>
      </w:rPr>
    </w:pPr>
    <w:r w:rsidRPr="003D3BEA">
      <w:rPr>
        <w:rFonts w:ascii="Arial" w:hAnsi="Arial" w:cs="Arial"/>
      </w:rPr>
      <w:t xml:space="preserve">Trusts Law Week </w:t>
    </w:r>
    <w:r w:rsidR="004E6B7B">
      <w:rPr>
        <w:rFonts w:ascii="Arial" w:hAnsi="Arial" w:cs="Arial"/>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6A5F12"/>
    <w:multiLevelType w:val="hybridMultilevel"/>
    <w:tmpl w:val="C522397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28737E"/>
    <w:multiLevelType w:val="hybridMultilevel"/>
    <w:tmpl w:val="FAA8C0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EBC3696"/>
    <w:multiLevelType w:val="hybridMultilevel"/>
    <w:tmpl w:val="1B5C200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55020F"/>
    <w:multiLevelType w:val="hybridMultilevel"/>
    <w:tmpl w:val="0524B19C"/>
    <w:lvl w:ilvl="0" w:tplc="DD7A261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1DA5A61"/>
    <w:multiLevelType w:val="hybridMultilevel"/>
    <w:tmpl w:val="A4C255A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1E05828"/>
    <w:multiLevelType w:val="hybridMultilevel"/>
    <w:tmpl w:val="A7866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4E5FE8"/>
    <w:multiLevelType w:val="hybridMultilevel"/>
    <w:tmpl w:val="A3BAA5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1A65E27"/>
    <w:multiLevelType w:val="hybridMultilevel"/>
    <w:tmpl w:val="8DC89804"/>
    <w:lvl w:ilvl="0" w:tplc="760622EA">
      <w:start w:val="1"/>
      <w:numFmt w:val="bullet"/>
      <w:lvlText w:val="·"/>
      <w:lvlJc w:val="left"/>
      <w:pPr>
        <w:ind w:left="720" w:hanging="360"/>
      </w:pPr>
      <w:rPr>
        <w:rFonts w:ascii="Symbol" w:hAnsi="Symbol" w:hint="default"/>
      </w:rPr>
    </w:lvl>
    <w:lvl w:ilvl="1" w:tplc="F768F1E2">
      <w:start w:val="1"/>
      <w:numFmt w:val="bullet"/>
      <w:lvlText w:val="o"/>
      <w:lvlJc w:val="left"/>
      <w:pPr>
        <w:ind w:left="1440" w:hanging="360"/>
      </w:pPr>
      <w:rPr>
        <w:rFonts w:ascii="Courier New" w:hAnsi="Courier New" w:hint="default"/>
      </w:rPr>
    </w:lvl>
    <w:lvl w:ilvl="2" w:tplc="1CD471E8">
      <w:start w:val="1"/>
      <w:numFmt w:val="bullet"/>
      <w:lvlText w:val=""/>
      <w:lvlJc w:val="left"/>
      <w:pPr>
        <w:ind w:left="2160" w:hanging="360"/>
      </w:pPr>
      <w:rPr>
        <w:rFonts w:ascii="Wingdings" w:hAnsi="Wingdings" w:hint="default"/>
      </w:rPr>
    </w:lvl>
    <w:lvl w:ilvl="3" w:tplc="69A41126">
      <w:start w:val="1"/>
      <w:numFmt w:val="bullet"/>
      <w:lvlText w:val=""/>
      <w:lvlJc w:val="left"/>
      <w:pPr>
        <w:ind w:left="2880" w:hanging="360"/>
      </w:pPr>
      <w:rPr>
        <w:rFonts w:ascii="Symbol" w:hAnsi="Symbol" w:hint="default"/>
      </w:rPr>
    </w:lvl>
    <w:lvl w:ilvl="4" w:tplc="446A28E0">
      <w:start w:val="1"/>
      <w:numFmt w:val="bullet"/>
      <w:lvlText w:val="o"/>
      <w:lvlJc w:val="left"/>
      <w:pPr>
        <w:ind w:left="3600" w:hanging="360"/>
      </w:pPr>
      <w:rPr>
        <w:rFonts w:ascii="Courier New" w:hAnsi="Courier New" w:hint="default"/>
      </w:rPr>
    </w:lvl>
    <w:lvl w:ilvl="5" w:tplc="A686F0FE">
      <w:start w:val="1"/>
      <w:numFmt w:val="bullet"/>
      <w:lvlText w:val=""/>
      <w:lvlJc w:val="left"/>
      <w:pPr>
        <w:ind w:left="4320" w:hanging="360"/>
      </w:pPr>
      <w:rPr>
        <w:rFonts w:ascii="Wingdings" w:hAnsi="Wingdings" w:hint="default"/>
      </w:rPr>
    </w:lvl>
    <w:lvl w:ilvl="6" w:tplc="F9D4F1F6">
      <w:start w:val="1"/>
      <w:numFmt w:val="bullet"/>
      <w:lvlText w:val=""/>
      <w:lvlJc w:val="left"/>
      <w:pPr>
        <w:ind w:left="5040" w:hanging="360"/>
      </w:pPr>
      <w:rPr>
        <w:rFonts w:ascii="Symbol" w:hAnsi="Symbol" w:hint="default"/>
      </w:rPr>
    </w:lvl>
    <w:lvl w:ilvl="7" w:tplc="EADA74E0">
      <w:start w:val="1"/>
      <w:numFmt w:val="bullet"/>
      <w:lvlText w:val="o"/>
      <w:lvlJc w:val="left"/>
      <w:pPr>
        <w:ind w:left="5760" w:hanging="360"/>
      </w:pPr>
      <w:rPr>
        <w:rFonts w:ascii="Courier New" w:hAnsi="Courier New" w:hint="default"/>
      </w:rPr>
    </w:lvl>
    <w:lvl w:ilvl="8" w:tplc="1C565DAE">
      <w:start w:val="1"/>
      <w:numFmt w:val="bullet"/>
      <w:lvlText w:val=""/>
      <w:lvlJc w:val="left"/>
      <w:pPr>
        <w:ind w:left="6480" w:hanging="360"/>
      </w:pPr>
      <w:rPr>
        <w:rFonts w:ascii="Wingdings" w:hAnsi="Wingdings" w:hint="default"/>
      </w:rPr>
    </w:lvl>
  </w:abstractNum>
  <w:abstractNum w:abstractNumId="8" w15:restartNumberingAfterBreak="0">
    <w:nsid w:val="3CAE2D4F"/>
    <w:multiLevelType w:val="hybridMultilevel"/>
    <w:tmpl w:val="E332AC6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9" w15:restartNumberingAfterBreak="0">
    <w:nsid w:val="40FD5E8E"/>
    <w:multiLevelType w:val="hybridMultilevel"/>
    <w:tmpl w:val="80328E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8FC3226"/>
    <w:multiLevelType w:val="hybridMultilevel"/>
    <w:tmpl w:val="2A021B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58B604E2"/>
    <w:multiLevelType w:val="hybridMultilevel"/>
    <w:tmpl w:val="C1A45E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9CB7D88"/>
    <w:multiLevelType w:val="hybridMultilevel"/>
    <w:tmpl w:val="359AE4C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C1F4D42"/>
    <w:multiLevelType w:val="hybridMultilevel"/>
    <w:tmpl w:val="9982912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D09721D"/>
    <w:multiLevelType w:val="hybridMultilevel"/>
    <w:tmpl w:val="1CC4E5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E9D7175"/>
    <w:multiLevelType w:val="hybridMultilevel"/>
    <w:tmpl w:val="03F880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3255255"/>
    <w:multiLevelType w:val="multilevel"/>
    <w:tmpl w:val="AE441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835286"/>
    <w:multiLevelType w:val="hybridMultilevel"/>
    <w:tmpl w:val="4A3C5E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8240085"/>
    <w:multiLevelType w:val="hybridMultilevel"/>
    <w:tmpl w:val="36E0BF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98F5198"/>
    <w:multiLevelType w:val="hybridMultilevel"/>
    <w:tmpl w:val="3322E7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E933F0A"/>
    <w:multiLevelType w:val="hybridMultilevel"/>
    <w:tmpl w:val="2B1896AA"/>
    <w:lvl w:ilvl="0" w:tplc="815E9140">
      <w:start w:val="1"/>
      <w:numFmt w:val="bullet"/>
      <w:lvlText w:val="·"/>
      <w:lvlJc w:val="left"/>
      <w:pPr>
        <w:ind w:left="720" w:hanging="360"/>
      </w:pPr>
      <w:rPr>
        <w:rFonts w:ascii="Symbol" w:hAnsi="Symbol" w:hint="default"/>
      </w:rPr>
    </w:lvl>
    <w:lvl w:ilvl="1" w:tplc="E2A0CC10">
      <w:start w:val="1"/>
      <w:numFmt w:val="bullet"/>
      <w:lvlText w:val="o"/>
      <w:lvlJc w:val="left"/>
      <w:pPr>
        <w:ind w:left="1440" w:hanging="360"/>
      </w:pPr>
      <w:rPr>
        <w:rFonts w:ascii="Courier New" w:hAnsi="Courier New" w:hint="default"/>
      </w:rPr>
    </w:lvl>
    <w:lvl w:ilvl="2" w:tplc="F7C85BB8">
      <w:start w:val="1"/>
      <w:numFmt w:val="bullet"/>
      <w:lvlText w:val=""/>
      <w:lvlJc w:val="left"/>
      <w:pPr>
        <w:ind w:left="2160" w:hanging="360"/>
      </w:pPr>
      <w:rPr>
        <w:rFonts w:ascii="Wingdings" w:hAnsi="Wingdings" w:hint="default"/>
      </w:rPr>
    </w:lvl>
    <w:lvl w:ilvl="3" w:tplc="012EAED2">
      <w:start w:val="1"/>
      <w:numFmt w:val="bullet"/>
      <w:lvlText w:val=""/>
      <w:lvlJc w:val="left"/>
      <w:pPr>
        <w:ind w:left="2880" w:hanging="360"/>
      </w:pPr>
      <w:rPr>
        <w:rFonts w:ascii="Symbol" w:hAnsi="Symbol" w:hint="default"/>
      </w:rPr>
    </w:lvl>
    <w:lvl w:ilvl="4" w:tplc="5CFEEF1C">
      <w:start w:val="1"/>
      <w:numFmt w:val="bullet"/>
      <w:lvlText w:val="o"/>
      <w:lvlJc w:val="left"/>
      <w:pPr>
        <w:ind w:left="3600" w:hanging="360"/>
      </w:pPr>
      <w:rPr>
        <w:rFonts w:ascii="Courier New" w:hAnsi="Courier New" w:hint="default"/>
      </w:rPr>
    </w:lvl>
    <w:lvl w:ilvl="5" w:tplc="C950C0B6">
      <w:start w:val="1"/>
      <w:numFmt w:val="bullet"/>
      <w:lvlText w:val=""/>
      <w:lvlJc w:val="left"/>
      <w:pPr>
        <w:ind w:left="4320" w:hanging="360"/>
      </w:pPr>
      <w:rPr>
        <w:rFonts w:ascii="Wingdings" w:hAnsi="Wingdings" w:hint="default"/>
      </w:rPr>
    </w:lvl>
    <w:lvl w:ilvl="6" w:tplc="903E0C32">
      <w:start w:val="1"/>
      <w:numFmt w:val="bullet"/>
      <w:lvlText w:val=""/>
      <w:lvlJc w:val="left"/>
      <w:pPr>
        <w:ind w:left="5040" w:hanging="360"/>
      </w:pPr>
      <w:rPr>
        <w:rFonts w:ascii="Symbol" w:hAnsi="Symbol" w:hint="default"/>
      </w:rPr>
    </w:lvl>
    <w:lvl w:ilvl="7" w:tplc="4F062E28">
      <w:start w:val="1"/>
      <w:numFmt w:val="bullet"/>
      <w:lvlText w:val="o"/>
      <w:lvlJc w:val="left"/>
      <w:pPr>
        <w:ind w:left="5760" w:hanging="360"/>
      </w:pPr>
      <w:rPr>
        <w:rFonts w:ascii="Courier New" w:hAnsi="Courier New" w:hint="default"/>
      </w:rPr>
    </w:lvl>
    <w:lvl w:ilvl="8" w:tplc="32381256">
      <w:start w:val="1"/>
      <w:numFmt w:val="bullet"/>
      <w:lvlText w:val=""/>
      <w:lvlJc w:val="left"/>
      <w:pPr>
        <w:ind w:left="6480" w:hanging="360"/>
      </w:pPr>
      <w:rPr>
        <w:rFonts w:ascii="Wingdings" w:hAnsi="Wingdings" w:hint="default"/>
      </w:rPr>
    </w:lvl>
  </w:abstractNum>
  <w:abstractNum w:abstractNumId="21" w15:restartNumberingAfterBreak="0">
    <w:nsid w:val="79D82A25"/>
    <w:multiLevelType w:val="hybridMultilevel"/>
    <w:tmpl w:val="5D60AC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9F46691"/>
    <w:multiLevelType w:val="hybridMultilevel"/>
    <w:tmpl w:val="241A3CF4"/>
    <w:lvl w:ilvl="0" w:tplc="0409000B">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7D296CB3"/>
    <w:multiLevelType w:val="hybridMultilevel"/>
    <w:tmpl w:val="E53A68E2"/>
    <w:lvl w:ilvl="0" w:tplc="11E25FBA">
      <w:start w:val="1"/>
      <w:numFmt w:val="decimal"/>
      <w:lvlText w:val="%1)"/>
      <w:lvlJc w:val="left"/>
      <w:pPr>
        <w:ind w:left="360" w:hanging="360"/>
      </w:pPr>
      <w:rPr>
        <w:rFonts w:ascii="Arial" w:eastAsia="MS Mincho" w:hAnsi="Arial" w:cs="Arial"/>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7FE127A4"/>
    <w:multiLevelType w:val="hybridMultilevel"/>
    <w:tmpl w:val="F796C5A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7"/>
  </w:num>
  <w:num w:numId="2">
    <w:abstractNumId w:val="23"/>
  </w:num>
  <w:num w:numId="3">
    <w:abstractNumId w:val="3"/>
  </w:num>
  <w:num w:numId="4">
    <w:abstractNumId w:val="6"/>
  </w:num>
  <w:num w:numId="5">
    <w:abstractNumId w:val="15"/>
  </w:num>
  <w:num w:numId="6">
    <w:abstractNumId w:val="13"/>
  </w:num>
  <w:num w:numId="7">
    <w:abstractNumId w:val="8"/>
  </w:num>
  <w:num w:numId="8">
    <w:abstractNumId w:val="19"/>
  </w:num>
  <w:num w:numId="9">
    <w:abstractNumId w:val="5"/>
  </w:num>
  <w:num w:numId="10">
    <w:abstractNumId w:val="22"/>
  </w:num>
  <w:num w:numId="11">
    <w:abstractNumId w:val="10"/>
  </w:num>
  <w:num w:numId="12">
    <w:abstractNumId w:val="21"/>
  </w:num>
  <w:num w:numId="13">
    <w:abstractNumId w:val="18"/>
  </w:num>
  <w:num w:numId="14">
    <w:abstractNumId w:val="4"/>
  </w:num>
  <w:num w:numId="15">
    <w:abstractNumId w:val="11"/>
  </w:num>
  <w:num w:numId="16">
    <w:abstractNumId w:val="24"/>
  </w:num>
  <w:num w:numId="17">
    <w:abstractNumId w:val="9"/>
  </w:num>
  <w:num w:numId="18">
    <w:abstractNumId w:val="20"/>
  </w:num>
  <w:num w:numId="19">
    <w:abstractNumId w:val="16"/>
  </w:num>
  <w:num w:numId="20">
    <w:abstractNumId w:val="2"/>
  </w:num>
  <w:num w:numId="21">
    <w:abstractNumId w:val="0"/>
  </w:num>
  <w:num w:numId="22">
    <w:abstractNumId w:val="12"/>
  </w:num>
  <w:num w:numId="23">
    <w:abstractNumId w:val="17"/>
  </w:num>
  <w:num w:numId="24">
    <w:abstractNumId w:val="1"/>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3"/>
  <w:removePersonalInformation/>
  <w:removeDateAndTime/>
  <w:proofState w:spelling="clean" w:grammar="clean"/>
  <w:defaultTabStop w:val="720"/>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68"/>
    <w:rsid w:val="00006C94"/>
    <w:rsid w:val="00022DA5"/>
    <w:rsid w:val="00024CE4"/>
    <w:rsid w:val="0004604C"/>
    <w:rsid w:val="000A467B"/>
    <w:rsid w:val="000B0EB6"/>
    <w:rsid w:val="000B32F9"/>
    <w:rsid w:val="000B5F20"/>
    <w:rsid w:val="000B787A"/>
    <w:rsid w:val="000C30E4"/>
    <w:rsid w:val="000E366B"/>
    <w:rsid w:val="001001D8"/>
    <w:rsid w:val="001067E9"/>
    <w:rsid w:val="00113440"/>
    <w:rsid w:val="00136955"/>
    <w:rsid w:val="00146F8D"/>
    <w:rsid w:val="00150BC1"/>
    <w:rsid w:val="00156AC9"/>
    <w:rsid w:val="00167D14"/>
    <w:rsid w:val="00170269"/>
    <w:rsid w:val="00171270"/>
    <w:rsid w:val="001772B1"/>
    <w:rsid w:val="00177ED8"/>
    <w:rsid w:val="0018683A"/>
    <w:rsid w:val="001B168D"/>
    <w:rsid w:val="001B2FBC"/>
    <w:rsid w:val="001B5B88"/>
    <w:rsid w:val="001F4E0D"/>
    <w:rsid w:val="002034A0"/>
    <w:rsid w:val="002251D3"/>
    <w:rsid w:val="0023299A"/>
    <w:rsid w:val="00242012"/>
    <w:rsid w:val="002469EC"/>
    <w:rsid w:val="002513AE"/>
    <w:rsid w:val="002A2739"/>
    <w:rsid w:val="002B4132"/>
    <w:rsid w:val="002E03B2"/>
    <w:rsid w:val="002E738B"/>
    <w:rsid w:val="002F5035"/>
    <w:rsid w:val="00304F02"/>
    <w:rsid w:val="00317E77"/>
    <w:rsid w:val="00350BF2"/>
    <w:rsid w:val="00374073"/>
    <w:rsid w:val="00374A01"/>
    <w:rsid w:val="00384371"/>
    <w:rsid w:val="00387103"/>
    <w:rsid w:val="003A2725"/>
    <w:rsid w:val="003C1EAF"/>
    <w:rsid w:val="003D3BEA"/>
    <w:rsid w:val="003D426A"/>
    <w:rsid w:val="004210CB"/>
    <w:rsid w:val="00450CA3"/>
    <w:rsid w:val="00467D49"/>
    <w:rsid w:val="00472839"/>
    <w:rsid w:val="004832AA"/>
    <w:rsid w:val="004924C3"/>
    <w:rsid w:val="004A6598"/>
    <w:rsid w:val="004C2497"/>
    <w:rsid w:val="004C317C"/>
    <w:rsid w:val="004E6B7B"/>
    <w:rsid w:val="005025E4"/>
    <w:rsid w:val="0051327E"/>
    <w:rsid w:val="00524CC3"/>
    <w:rsid w:val="005501DE"/>
    <w:rsid w:val="00566221"/>
    <w:rsid w:val="0056729D"/>
    <w:rsid w:val="00575FFF"/>
    <w:rsid w:val="00582160"/>
    <w:rsid w:val="005A3583"/>
    <w:rsid w:val="005C18FD"/>
    <w:rsid w:val="005D4D36"/>
    <w:rsid w:val="005E5AEF"/>
    <w:rsid w:val="00605147"/>
    <w:rsid w:val="0061100D"/>
    <w:rsid w:val="00630854"/>
    <w:rsid w:val="00632B38"/>
    <w:rsid w:val="00652E65"/>
    <w:rsid w:val="00653CE5"/>
    <w:rsid w:val="006A18F9"/>
    <w:rsid w:val="006B3AAC"/>
    <w:rsid w:val="006B6F26"/>
    <w:rsid w:val="006C48D2"/>
    <w:rsid w:val="00716B6C"/>
    <w:rsid w:val="00746798"/>
    <w:rsid w:val="007636C8"/>
    <w:rsid w:val="00777A69"/>
    <w:rsid w:val="00794D66"/>
    <w:rsid w:val="007A7136"/>
    <w:rsid w:val="007C05F8"/>
    <w:rsid w:val="00812A9A"/>
    <w:rsid w:val="00816ADE"/>
    <w:rsid w:val="008532F1"/>
    <w:rsid w:val="008773FA"/>
    <w:rsid w:val="0088171A"/>
    <w:rsid w:val="00897129"/>
    <w:rsid w:val="008A4E69"/>
    <w:rsid w:val="008D633C"/>
    <w:rsid w:val="008D6D47"/>
    <w:rsid w:val="008E0D88"/>
    <w:rsid w:val="009005A6"/>
    <w:rsid w:val="0095680A"/>
    <w:rsid w:val="00962489"/>
    <w:rsid w:val="00992FCE"/>
    <w:rsid w:val="009A071A"/>
    <w:rsid w:val="009B4264"/>
    <w:rsid w:val="009E0C97"/>
    <w:rsid w:val="009E22F7"/>
    <w:rsid w:val="00A013BA"/>
    <w:rsid w:val="00A7692A"/>
    <w:rsid w:val="00A77013"/>
    <w:rsid w:val="00AB07ED"/>
    <w:rsid w:val="00AE2B44"/>
    <w:rsid w:val="00B056EE"/>
    <w:rsid w:val="00B1649A"/>
    <w:rsid w:val="00B325F4"/>
    <w:rsid w:val="00B609EA"/>
    <w:rsid w:val="00B62E56"/>
    <w:rsid w:val="00B869B7"/>
    <w:rsid w:val="00B944B7"/>
    <w:rsid w:val="00BA0E8C"/>
    <w:rsid w:val="00BA507E"/>
    <w:rsid w:val="00BB1DFD"/>
    <w:rsid w:val="00BF59B8"/>
    <w:rsid w:val="00C06B9B"/>
    <w:rsid w:val="00C10B14"/>
    <w:rsid w:val="00C15B63"/>
    <w:rsid w:val="00C54BB1"/>
    <w:rsid w:val="00C558CC"/>
    <w:rsid w:val="00C973DA"/>
    <w:rsid w:val="00CB6080"/>
    <w:rsid w:val="00CB7712"/>
    <w:rsid w:val="00CC3D7B"/>
    <w:rsid w:val="00CE1806"/>
    <w:rsid w:val="00D455B0"/>
    <w:rsid w:val="00D56668"/>
    <w:rsid w:val="00D63C77"/>
    <w:rsid w:val="00D70BEB"/>
    <w:rsid w:val="00D75B37"/>
    <w:rsid w:val="00D8252D"/>
    <w:rsid w:val="00D87FD0"/>
    <w:rsid w:val="00D93346"/>
    <w:rsid w:val="00DA0604"/>
    <w:rsid w:val="00DA55A2"/>
    <w:rsid w:val="00DB12B4"/>
    <w:rsid w:val="00DB2975"/>
    <w:rsid w:val="00DF259A"/>
    <w:rsid w:val="00E04EA1"/>
    <w:rsid w:val="00E23568"/>
    <w:rsid w:val="00E27C9E"/>
    <w:rsid w:val="00E34FC9"/>
    <w:rsid w:val="00E4659D"/>
    <w:rsid w:val="00E523F1"/>
    <w:rsid w:val="00EC1011"/>
    <w:rsid w:val="00EE766C"/>
    <w:rsid w:val="00F429DA"/>
    <w:rsid w:val="00F5524E"/>
    <w:rsid w:val="00F556A9"/>
    <w:rsid w:val="00F77001"/>
    <w:rsid w:val="00F77345"/>
    <w:rsid w:val="00F828F3"/>
    <w:rsid w:val="00F94ECD"/>
    <w:rsid w:val="00F9563A"/>
    <w:rsid w:val="00F97CBE"/>
    <w:rsid w:val="00FA26DA"/>
    <w:rsid w:val="00FA2977"/>
    <w:rsid w:val="0F17C316"/>
    <w:rsid w:val="2CE1E61E"/>
    <w:rsid w:val="4106AD01"/>
    <w:rsid w:val="59274D33"/>
    <w:rsid w:val="5C910DBD"/>
    <w:rsid w:val="5FB0F992"/>
    <w:rsid w:val="7E22CAD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93C0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177ED8"/>
    <w:rPr>
      <w:color w:val="0563C1" w:themeColor="hyperlink"/>
      <w:u w:val="single"/>
    </w:rPr>
  </w:style>
  <w:style w:type="paragraph" w:styleId="Testonotaapidipagina">
    <w:name w:val="footnote text"/>
    <w:basedOn w:val="Normale"/>
    <w:link w:val="TestonotaapidipaginaCarattere"/>
    <w:uiPriority w:val="99"/>
    <w:semiHidden/>
    <w:unhideWhenUsed/>
    <w:rsid w:val="00177ED8"/>
    <w:pPr>
      <w:spacing w:after="0" w:line="240" w:lineRule="auto"/>
      <w:jc w:val="both"/>
    </w:pPr>
    <w:rPr>
      <w:sz w:val="20"/>
      <w:szCs w:val="20"/>
      <w:lang w:eastAsia="en-GB"/>
    </w:rPr>
  </w:style>
  <w:style w:type="character" w:customStyle="1" w:styleId="TestonotaapidipaginaCarattere">
    <w:name w:val="Testo nota a piè di pagina Carattere"/>
    <w:basedOn w:val="Carpredefinitoparagrafo"/>
    <w:link w:val="Testonotaapidipagina"/>
    <w:uiPriority w:val="99"/>
    <w:semiHidden/>
    <w:rsid w:val="00177ED8"/>
    <w:rPr>
      <w:sz w:val="20"/>
      <w:szCs w:val="20"/>
      <w:lang w:eastAsia="en-GB"/>
    </w:rPr>
  </w:style>
  <w:style w:type="character" w:styleId="Rimandonotaapidipagina">
    <w:name w:val="footnote reference"/>
    <w:basedOn w:val="Carpredefinitoparagrafo"/>
    <w:uiPriority w:val="99"/>
    <w:semiHidden/>
    <w:unhideWhenUsed/>
    <w:rsid w:val="00177ED8"/>
    <w:rPr>
      <w:vertAlign w:val="superscript"/>
    </w:rPr>
  </w:style>
  <w:style w:type="character" w:styleId="Collegamentovisitato">
    <w:name w:val="FollowedHyperlink"/>
    <w:basedOn w:val="Carpredefinitoparagrafo"/>
    <w:uiPriority w:val="99"/>
    <w:semiHidden/>
    <w:unhideWhenUsed/>
    <w:rsid w:val="00177ED8"/>
    <w:rPr>
      <w:color w:val="954F72" w:themeColor="followedHyperlink"/>
      <w:u w:val="single"/>
    </w:rPr>
  </w:style>
  <w:style w:type="paragraph" w:styleId="Paragrafoelenco">
    <w:name w:val="List Paragraph"/>
    <w:basedOn w:val="Normale"/>
    <w:uiPriority w:val="34"/>
    <w:qFormat/>
    <w:rsid w:val="006B6F26"/>
    <w:pPr>
      <w:ind w:left="720"/>
      <w:contextualSpacing/>
    </w:pPr>
  </w:style>
  <w:style w:type="paragraph" w:styleId="Intestazione">
    <w:name w:val="header"/>
    <w:basedOn w:val="Normale"/>
    <w:link w:val="IntestazioneCarattere"/>
    <w:uiPriority w:val="99"/>
    <w:unhideWhenUsed/>
    <w:rsid w:val="00B869B7"/>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B869B7"/>
  </w:style>
  <w:style w:type="paragraph" w:styleId="Pidipagina">
    <w:name w:val="footer"/>
    <w:basedOn w:val="Normale"/>
    <w:link w:val="PidipaginaCarattere"/>
    <w:uiPriority w:val="99"/>
    <w:unhideWhenUsed/>
    <w:rsid w:val="00B869B7"/>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B869B7"/>
  </w:style>
  <w:style w:type="paragraph" w:styleId="Testofumetto">
    <w:name w:val="Balloon Text"/>
    <w:basedOn w:val="Normale"/>
    <w:link w:val="TestofumettoCarattere"/>
    <w:uiPriority w:val="99"/>
    <w:semiHidden/>
    <w:unhideWhenUsed/>
    <w:rsid w:val="00A013BA"/>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A013BA"/>
    <w:rPr>
      <w:rFonts w:ascii="Segoe UI" w:hAnsi="Segoe UI" w:cs="Segoe UI"/>
      <w:sz w:val="18"/>
      <w:szCs w:val="18"/>
    </w:rPr>
  </w:style>
  <w:style w:type="paragraph" w:customStyle="1" w:styleId="paragraph">
    <w:name w:val="paragraph"/>
    <w:basedOn w:val="Normale"/>
    <w:rsid w:val="004A65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Carpredefinitoparagrafo"/>
    <w:rsid w:val="004A6598"/>
  </w:style>
  <w:style w:type="character" w:customStyle="1" w:styleId="eop">
    <w:name w:val="eop"/>
    <w:basedOn w:val="Carpredefinitoparagrafo"/>
    <w:rsid w:val="004A6598"/>
  </w:style>
  <w:style w:type="character" w:styleId="Menzionenonrisolta">
    <w:name w:val="Unresolved Mention"/>
    <w:basedOn w:val="Carpredefinitoparagrafo"/>
    <w:uiPriority w:val="99"/>
    <w:semiHidden/>
    <w:unhideWhenUsed/>
    <w:rsid w:val="00DA0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870108">
      <w:bodyDiv w:val="1"/>
      <w:marLeft w:val="0"/>
      <w:marRight w:val="0"/>
      <w:marTop w:val="0"/>
      <w:marBottom w:val="0"/>
      <w:divBdr>
        <w:top w:val="none" w:sz="0" w:space="0" w:color="auto"/>
        <w:left w:val="none" w:sz="0" w:space="0" w:color="auto"/>
        <w:bottom w:val="none" w:sz="0" w:space="0" w:color="auto"/>
        <w:right w:val="none" w:sz="0" w:space="0" w:color="auto"/>
      </w:divBdr>
    </w:div>
    <w:div w:id="323633517">
      <w:bodyDiv w:val="1"/>
      <w:marLeft w:val="0"/>
      <w:marRight w:val="0"/>
      <w:marTop w:val="0"/>
      <w:marBottom w:val="0"/>
      <w:divBdr>
        <w:top w:val="none" w:sz="0" w:space="0" w:color="auto"/>
        <w:left w:val="none" w:sz="0" w:space="0" w:color="auto"/>
        <w:bottom w:val="none" w:sz="0" w:space="0" w:color="auto"/>
        <w:right w:val="none" w:sz="0" w:space="0" w:color="auto"/>
      </w:divBdr>
      <w:divsChild>
        <w:div w:id="1691637076">
          <w:marLeft w:val="0"/>
          <w:marRight w:val="0"/>
          <w:marTop w:val="0"/>
          <w:marBottom w:val="120"/>
          <w:divBdr>
            <w:top w:val="none" w:sz="0" w:space="0" w:color="auto"/>
            <w:left w:val="none" w:sz="0" w:space="0" w:color="auto"/>
            <w:bottom w:val="none" w:sz="0" w:space="0" w:color="auto"/>
            <w:right w:val="none" w:sz="0" w:space="0" w:color="auto"/>
          </w:divBdr>
          <w:divsChild>
            <w:div w:id="1419016383">
              <w:marLeft w:val="0"/>
              <w:marRight w:val="0"/>
              <w:marTop w:val="0"/>
              <w:marBottom w:val="0"/>
              <w:divBdr>
                <w:top w:val="none" w:sz="0" w:space="0" w:color="auto"/>
                <w:left w:val="none" w:sz="0" w:space="0" w:color="auto"/>
                <w:bottom w:val="none" w:sz="0" w:space="0" w:color="auto"/>
                <w:right w:val="none" w:sz="0" w:space="0" w:color="auto"/>
              </w:divBdr>
              <w:divsChild>
                <w:div w:id="758255513">
                  <w:marLeft w:val="0"/>
                  <w:marRight w:val="0"/>
                  <w:marTop w:val="0"/>
                  <w:marBottom w:val="0"/>
                  <w:divBdr>
                    <w:top w:val="none" w:sz="0" w:space="0" w:color="auto"/>
                    <w:left w:val="none" w:sz="0" w:space="0" w:color="auto"/>
                    <w:bottom w:val="none" w:sz="0" w:space="0" w:color="auto"/>
                    <w:right w:val="none" w:sz="0" w:space="0" w:color="auto"/>
                  </w:divBdr>
                </w:div>
                <w:div w:id="2130590260">
                  <w:marLeft w:val="0"/>
                  <w:marRight w:val="0"/>
                  <w:marTop w:val="0"/>
                  <w:marBottom w:val="0"/>
                  <w:divBdr>
                    <w:top w:val="none" w:sz="0" w:space="0" w:color="auto"/>
                    <w:left w:val="none" w:sz="0" w:space="0" w:color="auto"/>
                    <w:bottom w:val="none" w:sz="0" w:space="0" w:color="auto"/>
                    <w:right w:val="none" w:sz="0" w:space="0" w:color="auto"/>
                  </w:divBdr>
                </w:div>
                <w:div w:id="1676305916">
                  <w:marLeft w:val="0"/>
                  <w:marRight w:val="0"/>
                  <w:marTop w:val="0"/>
                  <w:marBottom w:val="0"/>
                  <w:divBdr>
                    <w:top w:val="none" w:sz="0" w:space="0" w:color="auto"/>
                    <w:left w:val="none" w:sz="0" w:space="0" w:color="auto"/>
                    <w:bottom w:val="none" w:sz="0" w:space="0" w:color="auto"/>
                    <w:right w:val="none" w:sz="0" w:space="0" w:color="auto"/>
                  </w:divBdr>
                </w:div>
                <w:div w:id="763526956">
                  <w:marLeft w:val="0"/>
                  <w:marRight w:val="0"/>
                  <w:marTop w:val="0"/>
                  <w:marBottom w:val="0"/>
                  <w:divBdr>
                    <w:top w:val="none" w:sz="0" w:space="0" w:color="auto"/>
                    <w:left w:val="none" w:sz="0" w:space="0" w:color="auto"/>
                    <w:bottom w:val="none" w:sz="0" w:space="0" w:color="auto"/>
                    <w:right w:val="none" w:sz="0" w:space="0" w:color="auto"/>
                  </w:divBdr>
                </w:div>
                <w:div w:id="1894853095">
                  <w:marLeft w:val="0"/>
                  <w:marRight w:val="0"/>
                  <w:marTop w:val="0"/>
                  <w:marBottom w:val="0"/>
                  <w:divBdr>
                    <w:top w:val="none" w:sz="0" w:space="0" w:color="auto"/>
                    <w:left w:val="none" w:sz="0" w:space="0" w:color="auto"/>
                    <w:bottom w:val="none" w:sz="0" w:space="0" w:color="auto"/>
                    <w:right w:val="none" w:sz="0" w:space="0" w:color="auto"/>
                  </w:divBdr>
                </w:div>
                <w:div w:id="193546077">
                  <w:marLeft w:val="0"/>
                  <w:marRight w:val="0"/>
                  <w:marTop w:val="0"/>
                  <w:marBottom w:val="0"/>
                  <w:divBdr>
                    <w:top w:val="none" w:sz="0" w:space="0" w:color="auto"/>
                    <w:left w:val="none" w:sz="0" w:space="0" w:color="auto"/>
                    <w:bottom w:val="none" w:sz="0" w:space="0" w:color="auto"/>
                    <w:right w:val="none" w:sz="0" w:space="0" w:color="auto"/>
                  </w:divBdr>
                </w:div>
                <w:div w:id="1694651100">
                  <w:marLeft w:val="0"/>
                  <w:marRight w:val="0"/>
                  <w:marTop w:val="0"/>
                  <w:marBottom w:val="0"/>
                  <w:divBdr>
                    <w:top w:val="none" w:sz="0" w:space="0" w:color="auto"/>
                    <w:left w:val="none" w:sz="0" w:space="0" w:color="auto"/>
                    <w:bottom w:val="none" w:sz="0" w:space="0" w:color="auto"/>
                    <w:right w:val="none" w:sz="0" w:space="0" w:color="auto"/>
                  </w:divBdr>
                </w:div>
                <w:div w:id="1871146813">
                  <w:marLeft w:val="0"/>
                  <w:marRight w:val="0"/>
                  <w:marTop w:val="0"/>
                  <w:marBottom w:val="0"/>
                  <w:divBdr>
                    <w:top w:val="none" w:sz="0" w:space="0" w:color="auto"/>
                    <w:left w:val="none" w:sz="0" w:space="0" w:color="auto"/>
                    <w:bottom w:val="none" w:sz="0" w:space="0" w:color="auto"/>
                    <w:right w:val="none" w:sz="0" w:space="0" w:color="auto"/>
                  </w:divBdr>
                </w:div>
                <w:div w:id="292176043">
                  <w:marLeft w:val="0"/>
                  <w:marRight w:val="0"/>
                  <w:marTop w:val="0"/>
                  <w:marBottom w:val="0"/>
                  <w:divBdr>
                    <w:top w:val="none" w:sz="0" w:space="0" w:color="auto"/>
                    <w:left w:val="none" w:sz="0" w:space="0" w:color="auto"/>
                    <w:bottom w:val="none" w:sz="0" w:space="0" w:color="auto"/>
                    <w:right w:val="none" w:sz="0" w:space="0" w:color="auto"/>
                  </w:divBdr>
                </w:div>
                <w:div w:id="61560294">
                  <w:marLeft w:val="0"/>
                  <w:marRight w:val="0"/>
                  <w:marTop w:val="0"/>
                  <w:marBottom w:val="0"/>
                  <w:divBdr>
                    <w:top w:val="none" w:sz="0" w:space="0" w:color="auto"/>
                    <w:left w:val="none" w:sz="0" w:space="0" w:color="auto"/>
                    <w:bottom w:val="none" w:sz="0" w:space="0" w:color="auto"/>
                    <w:right w:val="none" w:sz="0" w:space="0" w:color="auto"/>
                  </w:divBdr>
                </w:div>
                <w:div w:id="1959026659">
                  <w:marLeft w:val="0"/>
                  <w:marRight w:val="0"/>
                  <w:marTop w:val="0"/>
                  <w:marBottom w:val="0"/>
                  <w:divBdr>
                    <w:top w:val="none" w:sz="0" w:space="0" w:color="auto"/>
                    <w:left w:val="none" w:sz="0" w:space="0" w:color="auto"/>
                    <w:bottom w:val="none" w:sz="0" w:space="0" w:color="auto"/>
                    <w:right w:val="none" w:sz="0" w:space="0" w:color="auto"/>
                  </w:divBdr>
                </w:div>
                <w:div w:id="845679058">
                  <w:marLeft w:val="0"/>
                  <w:marRight w:val="0"/>
                  <w:marTop w:val="0"/>
                  <w:marBottom w:val="0"/>
                  <w:divBdr>
                    <w:top w:val="none" w:sz="0" w:space="0" w:color="auto"/>
                    <w:left w:val="none" w:sz="0" w:space="0" w:color="auto"/>
                    <w:bottom w:val="none" w:sz="0" w:space="0" w:color="auto"/>
                    <w:right w:val="none" w:sz="0" w:space="0" w:color="auto"/>
                  </w:divBdr>
                </w:div>
                <w:div w:id="935016222">
                  <w:marLeft w:val="0"/>
                  <w:marRight w:val="0"/>
                  <w:marTop w:val="0"/>
                  <w:marBottom w:val="0"/>
                  <w:divBdr>
                    <w:top w:val="none" w:sz="0" w:space="0" w:color="auto"/>
                    <w:left w:val="none" w:sz="0" w:space="0" w:color="auto"/>
                    <w:bottom w:val="none" w:sz="0" w:space="0" w:color="auto"/>
                    <w:right w:val="none" w:sz="0" w:space="0" w:color="auto"/>
                  </w:divBdr>
                </w:div>
                <w:div w:id="191265842">
                  <w:marLeft w:val="0"/>
                  <w:marRight w:val="0"/>
                  <w:marTop w:val="0"/>
                  <w:marBottom w:val="0"/>
                  <w:divBdr>
                    <w:top w:val="none" w:sz="0" w:space="0" w:color="auto"/>
                    <w:left w:val="none" w:sz="0" w:space="0" w:color="auto"/>
                    <w:bottom w:val="none" w:sz="0" w:space="0" w:color="auto"/>
                    <w:right w:val="none" w:sz="0" w:space="0" w:color="auto"/>
                  </w:divBdr>
                </w:div>
                <w:div w:id="651756740">
                  <w:marLeft w:val="0"/>
                  <w:marRight w:val="0"/>
                  <w:marTop w:val="0"/>
                  <w:marBottom w:val="0"/>
                  <w:divBdr>
                    <w:top w:val="none" w:sz="0" w:space="0" w:color="auto"/>
                    <w:left w:val="none" w:sz="0" w:space="0" w:color="auto"/>
                    <w:bottom w:val="none" w:sz="0" w:space="0" w:color="auto"/>
                    <w:right w:val="none" w:sz="0" w:space="0" w:color="auto"/>
                  </w:divBdr>
                </w:div>
                <w:div w:id="1442728113">
                  <w:marLeft w:val="0"/>
                  <w:marRight w:val="0"/>
                  <w:marTop w:val="0"/>
                  <w:marBottom w:val="0"/>
                  <w:divBdr>
                    <w:top w:val="none" w:sz="0" w:space="0" w:color="auto"/>
                    <w:left w:val="none" w:sz="0" w:space="0" w:color="auto"/>
                    <w:bottom w:val="none" w:sz="0" w:space="0" w:color="auto"/>
                    <w:right w:val="none" w:sz="0" w:space="0" w:color="auto"/>
                  </w:divBdr>
                </w:div>
                <w:div w:id="1506550383">
                  <w:marLeft w:val="0"/>
                  <w:marRight w:val="0"/>
                  <w:marTop w:val="0"/>
                  <w:marBottom w:val="0"/>
                  <w:divBdr>
                    <w:top w:val="none" w:sz="0" w:space="0" w:color="auto"/>
                    <w:left w:val="none" w:sz="0" w:space="0" w:color="auto"/>
                    <w:bottom w:val="none" w:sz="0" w:space="0" w:color="auto"/>
                    <w:right w:val="none" w:sz="0" w:space="0" w:color="auto"/>
                  </w:divBdr>
                </w:div>
                <w:div w:id="292759681">
                  <w:marLeft w:val="0"/>
                  <w:marRight w:val="0"/>
                  <w:marTop w:val="0"/>
                  <w:marBottom w:val="0"/>
                  <w:divBdr>
                    <w:top w:val="none" w:sz="0" w:space="0" w:color="auto"/>
                    <w:left w:val="none" w:sz="0" w:space="0" w:color="auto"/>
                    <w:bottom w:val="none" w:sz="0" w:space="0" w:color="auto"/>
                    <w:right w:val="none" w:sz="0" w:space="0" w:color="auto"/>
                  </w:divBdr>
                </w:div>
                <w:div w:id="2122845457">
                  <w:marLeft w:val="0"/>
                  <w:marRight w:val="0"/>
                  <w:marTop w:val="0"/>
                  <w:marBottom w:val="0"/>
                  <w:divBdr>
                    <w:top w:val="none" w:sz="0" w:space="0" w:color="auto"/>
                    <w:left w:val="none" w:sz="0" w:space="0" w:color="auto"/>
                    <w:bottom w:val="none" w:sz="0" w:space="0" w:color="auto"/>
                    <w:right w:val="none" w:sz="0" w:space="0" w:color="auto"/>
                  </w:divBdr>
                </w:div>
                <w:div w:id="1643382379">
                  <w:marLeft w:val="0"/>
                  <w:marRight w:val="0"/>
                  <w:marTop w:val="0"/>
                  <w:marBottom w:val="0"/>
                  <w:divBdr>
                    <w:top w:val="none" w:sz="0" w:space="0" w:color="auto"/>
                    <w:left w:val="none" w:sz="0" w:space="0" w:color="auto"/>
                    <w:bottom w:val="none" w:sz="0" w:space="0" w:color="auto"/>
                    <w:right w:val="none" w:sz="0" w:space="0" w:color="auto"/>
                  </w:divBdr>
                </w:div>
                <w:div w:id="1139808979">
                  <w:marLeft w:val="0"/>
                  <w:marRight w:val="0"/>
                  <w:marTop w:val="0"/>
                  <w:marBottom w:val="0"/>
                  <w:divBdr>
                    <w:top w:val="none" w:sz="0" w:space="0" w:color="auto"/>
                    <w:left w:val="none" w:sz="0" w:space="0" w:color="auto"/>
                    <w:bottom w:val="none" w:sz="0" w:space="0" w:color="auto"/>
                    <w:right w:val="none" w:sz="0" w:space="0" w:color="auto"/>
                  </w:divBdr>
                </w:div>
                <w:div w:id="376199179">
                  <w:marLeft w:val="0"/>
                  <w:marRight w:val="0"/>
                  <w:marTop w:val="0"/>
                  <w:marBottom w:val="0"/>
                  <w:divBdr>
                    <w:top w:val="none" w:sz="0" w:space="0" w:color="auto"/>
                    <w:left w:val="none" w:sz="0" w:space="0" w:color="auto"/>
                    <w:bottom w:val="none" w:sz="0" w:space="0" w:color="auto"/>
                    <w:right w:val="none" w:sz="0" w:space="0" w:color="auto"/>
                  </w:divBdr>
                </w:div>
                <w:div w:id="877544436">
                  <w:marLeft w:val="0"/>
                  <w:marRight w:val="0"/>
                  <w:marTop w:val="0"/>
                  <w:marBottom w:val="0"/>
                  <w:divBdr>
                    <w:top w:val="none" w:sz="0" w:space="0" w:color="auto"/>
                    <w:left w:val="none" w:sz="0" w:space="0" w:color="auto"/>
                    <w:bottom w:val="none" w:sz="0" w:space="0" w:color="auto"/>
                    <w:right w:val="none" w:sz="0" w:space="0" w:color="auto"/>
                  </w:divBdr>
                </w:div>
                <w:div w:id="1900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4803">
          <w:marLeft w:val="0"/>
          <w:marRight w:val="0"/>
          <w:marTop w:val="0"/>
          <w:marBottom w:val="120"/>
          <w:divBdr>
            <w:top w:val="none" w:sz="0" w:space="0" w:color="auto"/>
            <w:left w:val="none" w:sz="0" w:space="0" w:color="auto"/>
            <w:bottom w:val="none" w:sz="0" w:space="0" w:color="auto"/>
            <w:right w:val="none" w:sz="0" w:space="0" w:color="auto"/>
          </w:divBdr>
          <w:divsChild>
            <w:div w:id="1543788555">
              <w:marLeft w:val="0"/>
              <w:marRight w:val="0"/>
              <w:marTop w:val="0"/>
              <w:marBottom w:val="0"/>
              <w:divBdr>
                <w:top w:val="none" w:sz="0" w:space="0" w:color="auto"/>
                <w:left w:val="none" w:sz="0" w:space="0" w:color="auto"/>
                <w:bottom w:val="none" w:sz="0" w:space="0" w:color="auto"/>
                <w:right w:val="none" w:sz="0" w:space="0" w:color="auto"/>
              </w:divBdr>
              <w:divsChild>
                <w:div w:id="234777781">
                  <w:marLeft w:val="0"/>
                  <w:marRight w:val="0"/>
                  <w:marTop w:val="0"/>
                  <w:marBottom w:val="0"/>
                  <w:divBdr>
                    <w:top w:val="none" w:sz="0" w:space="0" w:color="auto"/>
                    <w:left w:val="none" w:sz="0" w:space="0" w:color="auto"/>
                    <w:bottom w:val="none" w:sz="0" w:space="0" w:color="auto"/>
                    <w:right w:val="none" w:sz="0" w:space="0" w:color="auto"/>
                  </w:divBdr>
                </w:div>
                <w:div w:id="7410053">
                  <w:marLeft w:val="0"/>
                  <w:marRight w:val="0"/>
                  <w:marTop w:val="0"/>
                  <w:marBottom w:val="0"/>
                  <w:divBdr>
                    <w:top w:val="none" w:sz="0" w:space="0" w:color="auto"/>
                    <w:left w:val="none" w:sz="0" w:space="0" w:color="auto"/>
                    <w:bottom w:val="none" w:sz="0" w:space="0" w:color="auto"/>
                    <w:right w:val="none" w:sz="0" w:space="0" w:color="auto"/>
                  </w:divBdr>
                </w:div>
                <w:div w:id="831215116">
                  <w:marLeft w:val="0"/>
                  <w:marRight w:val="0"/>
                  <w:marTop w:val="0"/>
                  <w:marBottom w:val="0"/>
                  <w:divBdr>
                    <w:top w:val="none" w:sz="0" w:space="0" w:color="auto"/>
                    <w:left w:val="none" w:sz="0" w:space="0" w:color="auto"/>
                    <w:bottom w:val="none" w:sz="0" w:space="0" w:color="auto"/>
                    <w:right w:val="none" w:sz="0" w:space="0" w:color="auto"/>
                  </w:divBdr>
                </w:div>
                <w:div w:id="781917483">
                  <w:marLeft w:val="0"/>
                  <w:marRight w:val="0"/>
                  <w:marTop w:val="0"/>
                  <w:marBottom w:val="0"/>
                  <w:divBdr>
                    <w:top w:val="none" w:sz="0" w:space="0" w:color="auto"/>
                    <w:left w:val="none" w:sz="0" w:space="0" w:color="auto"/>
                    <w:bottom w:val="none" w:sz="0" w:space="0" w:color="auto"/>
                    <w:right w:val="none" w:sz="0" w:space="0" w:color="auto"/>
                  </w:divBdr>
                </w:div>
                <w:div w:id="206572285">
                  <w:marLeft w:val="0"/>
                  <w:marRight w:val="0"/>
                  <w:marTop w:val="0"/>
                  <w:marBottom w:val="0"/>
                  <w:divBdr>
                    <w:top w:val="none" w:sz="0" w:space="0" w:color="auto"/>
                    <w:left w:val="none" w:sz="0" w:space="0" w:color="auto"/>
                    <w:bottom w:val="none" w:sz="0" w:space="0" w:color="auto"/>
                    <w:right w:val="none" w:sz="0" w:space="0" w:color="auto"/>
                  </w:divBdr>
                </w:div>
                <w:div w:id="375936836">
                  <w:marLeft w:val="0"/>
                  <w:marRight w:val="0"/>
                  <w:marTop w:val="0"/>
                  <w:marBottom w:val="0"/>
                  <w:divBdr>
                    <w:top w:val="none" w:sz="0" w:space="0" w:color="auto"/>
                    <w:left w:val="none" w:sz="0" w:space="0" w:color="auto"/>
                    <w:bottom w:val="none" w:sz="0" w:space="0" w:color="auto"/>
                    <w:right w:val="none" w:sz="0" w:space="0" w:color="auto"/>
                  </w:divBdr>
                </w:div>
                <w:div w:id="1602833798">
                  <w:marLeft w:val="0"/>
                  <w:marRight w:val="0"/>
                  <w:marTop w:val="0"/>
                  <w:marBottom w:val="0"/>
                  <w:divBdr>
                    <w:top w:val="none" w:sz="0" w:space="0" w:color="auto"/>
                    <w:left w:val="none" w:sz="0" w:space="0" w:color="auto"/>
                    <w:bottom w:val="none" w:sz="0" w:space="0" w:color="auto"/>
                    <w:right w:val="none" w:sz="0" w:space="0" w:color="auto"/>
                  </w:divBdr>
                </w:div>
                <w:div w:id="983126274">
                  <w:marLeft w:val="0"/>
                  <w:marRight w:val="0"/>
                  <w:marTop w:val="0"/>
                  <w:marBottom w:val="0"/>
                  <w:divBdr>
                    <w:top w:val="none" w:sz="0" w:space="0" w:color="auto"/>
                    <w:left w:val="none" w:sz="0" w:space="0" w:color="auto"/>
                    <w:bottom w:val="none" w:sz="0" w:space="0" w:color="auto"/>
                    <w:right w:val="none" w:sz="0" w:space="0" w:color="auto"/>
                  </w:divBdr>
                </w:div>
                <w:div w:id="1559970186">
                  <w:marLeft w:val="0"/>
                  <w:marRight w:val="0"/>
                  <w:marTop w:val="0"/>
                  <w:marBottom w:val="0"/>
                  <w:divBdr>
                    <w:top w:val="none" w:sz="0" w:space="0" w:color="auto"/>
                    <w:left w:val="none" w:sz="0" w:space="0" w:color="auto"/>
                    <w:bottom w:val="none" w:sz="0" w:space="0" w:color="auto"/>
                    <w:right w:val="none" w:sz="0" w:space="0" w:color="auto"/>
                  </w:divBdr>
                </w:div>
                <w:div w:id="1845776296">
                  <w:marLeft w:val="0"/>
                  <w:marRight w:val="0"/>
                  <w:marTop w:val="0"/>
                  <w:marBottom w:val="0"/>
                  <w:divBdr>
                    <w:top w:val="none" w:sz="0" w:space="0" w:color="auto"/>
                    <w:left w:val="none" w:sz="0" w:space="0" w:color="auto"/>
                    <w:bottom w:val="none" w:sz="0" w:space="0" w:color="auto"/>
                    <w:right w:val="none" w:sz="0" w:space="0" w:color="auto"/>
                  </w:divBdr>
                </w:div>
                <w:div w:id="284774668">
                  <w:marLeft w:val="0"/>
                  <w:marRight w:val="0"/>
                  <w:marTop w:val="0"/>
                  <w:marBottom w:val="0"/>
                  <w:divBdr>
                    <w:top w:val="none" w:sz="0" w:space="0" w:color="auto"/>
                    <w:left w:val="none" w:sz="0" w:space="0" w:color="auto"/>
                    <w:bottom w:val="none" w:sz="0" w:space="0" w:color="auto"/>
                    <w:right w:val="none" w:sz="0" w:space="0" w:color="auto"/>
                  </w:divBdr>
                </w:div>
                <w:div w:id="1523007114">
                  <w:marLeft w:val="0"/>
                  <w:marRight w:val="0"/>
                  <w:marTop w:val="0"/>
                  <w:marBottom w:val="0"/>
                  <w:divBdr>
                    <w:top w:val="none" w:sz="0" w:space="0" w:color="auto"/>
                    <w:left w:val="none" w:sz="0" w:space="0" w:color="auto"/>
                    <w:bottom w:val="none" w:sz="0" w:space="0" w:color="auto"/>
                    <w:right w:val="none" w:sz="0" w:space="0" w:color="auto"/>
                  </w:divBdr>
                </w:div>
                <w:div w:id="1062677058">
                  <w:marLeft w:val="0"/>
                  <w:marRight w:val="0"/>
                  <w:marTop w:val="0"/>
                  <w:marBottom w:val="0"/>
                  <w:divBdr>
                    <w:top w:val="none" w:sz="0" w:space="0" w:color="auto"/>
                    <w:left w:val="none" w:sz="0" w:space="0" w:color="auto"/>
                    <w:bottom w:val="none" w:sz="0" w:space="0" w:color="auto"/>
                    <w:right w:val="none" w:sz="0" w:space="0" w:color="auto"/>
                  </w:divBdr>
                </w:div>
                <w:div w:id="1215199748">
                  <w:marLeft w:val="0"/>
                  <w:marRight w:val="0"/>
                  <w:marTop w:val="0"/>
                  <w:marBottom w:val="0"/>
                  <w:divBdr>
                    <w:top w:val="none" w:sz="0" w:space="0" w:color="auto"/>
                    <w:left w:val="none" w:sz="0" w:space="0" w:color="auto"/>
                    <w:bottom w:val="none" w:sz="0" w:space="0" w:color="auto"/>
                    <w:right w:val="none" w:sz="0" w:space="0" w:color="auto"/>
                  </w:divBdr>
                </w:div>
                <w:div w:id="396825111">
                  <w:marLeft w:val="0"/>
                  <w:marRight w:val="0"/>
                  <w:marTop w:val="0"/>
                  <w:marBottom w:val="0"/>
                  <w:divBdr>
                    <w:top w:val="none" w:sz="0" w:space="0" w:color="auto"/>
                    <w:left w:val="none" w:sz="0" w:space="0" w:color="auto"/>
                    <w:bottom w:val="none" w:sz="0" w:space="0" w:color="auto"/>
                    <w:right w:val="none" w:sz="0" w:space="0" w:color="auto"/>
                  </w:divBdr>
                </w:div>
                <w:div w:id="91636037">
                  <w:marLeft w:val="0"/>
                  <w:marRight w:val="0"/>
                  <w:marTop w:val="0"/>
                  <w:marBottom w:val="0"/>
                  <w:divBdr>
                    <w:top w:val="none" w:sz="0" w:space="0" w:color="auto"/>
                    <w:left w:val="none" w:sz="0" w:space="0" w:color="auto"/>
                    <w:bottom w:val="none" w:sz="0" w:space="0" w:color="auto"/>
                    <w:right w:val="none" w:sz="0" w:space="0" w:color="auto"/>
                  </w:divBdr>
                </w:div>
                <w:div w:id="404764430">
                  <w:marLeft w:val="0"/>
                  <w:marRight w:val="0"/>
                  <w:marTop w:val="0"/>
                  <w:marBottom w:val="0"/>
                  <w:divBdr>
                    <w:top w:val="none" w:sz="0" w:space="0" w:color="auto"/>
                    <w:left w:val="none" w:sz="0" w:space="0" w:color="auto"/>
                    <w:bottom w:val="none" w:sz="0" w:space="0" w:color="auto"/>
                    <w:right w:val="none" w:sz="0" w:space="0" w:color="auto"/>
                  </w:divBdr>
                </w:div>
                <w:div w:id="948975459">
                  <w:marLeft w:val="0"/>
                  <w:marRight w:val="0"/>
                  <w:marTop w:val="0"/>
                  <w:marBottom w:val="0"/>
                  <w:divBdr>
                    <w:top w:val="none" w:sz="0" w:space="0" w:color="auto"/>
                    <w:left w:val="none" w:sz="0" w:space="0" w:color="auto"/>
                    <w:bottom w:val="none" w:sz="0" w:space="0" w:color="auto"/>
                    <w:right w:val="none" w:sz="0" w:space="0" w:color="auto"/>
                  </w:divBdr>
                </w:div>
                <w:div w:id="1973365516">
                  <w:marLeft w:val="0"/>
                  <w:marRight w:val="0"/>
                  <w:marTop w:val="0"/>
                  <w:marBottom w:val="0"/>
                  <w:divBdr>
                    <w:top w:val="none" w:sz="0" w:space="0" w:color="auto"/>
                    <w:left w:val="none" w:sz="0" w:space="0" w:color="auto"/>
                    <w:bottom w:val="none" w:sz="0" w:space="0" w:color="auto"/>
                    <w:right w:val="none" w:sz="0" w:space="0" w:color="auto"/>
                  </w:divBdr>
                </w:div>
                <w:div w:id="172115291">
                  <w:marLeft w:val="0"/>
                  <w:marRight w:val="0"/>
                  <w:marTop w:val="0"/>
                  <w:marBottom w:val="0"/>
                  <w:divBdr>
                    <w:top w:val="none" w:sz="0" w:space="0" w:color="auto"/>
                    <w:left w:val="none" w:sz="0" w:space="0" w:color="auto"/>
                    <w:bottom w:val="none" w:sz="0" w:space="0" w:color="auto"/>
                    <w:right w:val="none" w:sz="0" w:space="0" w:color="auto"/>
                  </w:divBdr>
                </w:div>
                <w:div w:id="1245527062">
                  <w:marLeft w:val="0"/>
                  <w:marRight w:val="0"/>
                  <w:marTop w:val="0"/>
                  <w:marBottom w:val="0"/>
                  <w:divBdr>
                    <w:top w:val="none" w:sz="0" w:space="0" w:color="auto"/>
                    <w:left w:val="none" w:sz="0" w:space="0" w:color="auto"/>
                    <w:bottom w:val="none" w:sz="0" w:space="0" w:color="auto"/>
                    <w:right w:val="none" w:sz="0" w:space="0" w:color="auto"/>
                  </w:divBdr>
                </w:div>
                <w:div w:id="515197254">
                  <w:marLeft w:val="0"/>
                  <w:marRight w:val="0"/>
                  <w:marTop w:val="0"/>
                  <w:marBottom w:val="0"/>
                  <w:divBdr>
                    <w:top w:val="none" w:sz="0" w:space="0" w:color="auto"/>
                    <w:left w:val="none" w:sz="0" w:space="0" w:color="auto"/>
                    <w:bottom w:val="none" w:sz="0" w:space="0" w:color="auto"/>
                    <w:right w:val="none" w:sz="0" w:space="0" w:color="auto"/>
                  </w:divBdr>
                </w:div>
                <w:div w:id="381175787">
                  <w:marLeft w:val="0"/>
                  <w:marRight w:val="0"/>
                  <w:marTop w:val="0"/>
                  <w:marBottom w:val="0"/>
                  <w:divBdr>
                    <w:top w:val="none" w:sz="0" w:space="0" w:color="auto"/>
                    <w:left w:val="none" w:sz="0" w:space="0" w:color="auto"/>
                    <w:bottom w:val="none" w:sz="0" w:space="0" w:color="auto"/>
                    <w:right w:val="none" w:sz="0" w:space="0" w:color="auto"/>
                  </w:divBdr>
                </w:div>
                <w:div w:id="686637370">
                  <w:marLeft w:val="0"/>
                  <w:marRight w:val="0"/>
                  <w:marTop w:val="0"/>
                  <w:marBottom w:val="0"/>
                  <w:divBdr>
                    <w:top w:val="none" w:sz="0" w:space="0" w:color="auto"/>
                    <w:left w:val="none" w:sz="0" w:space="0" w:color="auto"/>
                    <w:bottom w:val="none" w:sz="0" w:space="0" w:color="auto"/>
                    <w:right w:val="none" w:sz="0" w:space="0" w:color="auto"/>
                  </w:divBdr>
                </w:div>
                <w:div w:id="2010256539">
                  <w:marLeft w:val="0"/>
                  <w:marRight w:val="0"/>
                  <w:marTop w:val="0"/>
                  <w:marBottom w:val="0"/>
                  <w:divBdr>
                    <w:top w:val="none" w:sz="0" w:space="0" w:color="auto"/>
                    <w:left w:val="none" w:sz="0" w:space="0" w:color="auto"/>
                    <w:bottom w:val="none" w:sz="0" w:space="0" w:color="auto"/>
                    <w:right w:val="none" w:sz="0" w:space="0" w:color="auto"/>
                  </w:divBdr>
                </w:div>
                <w:div w:id="2110343776">
                  <w:marLeft w:val="0"/>
                  <w:marRight w:val="0"/>
                  <w:marTop w:val="0"/>
                  <w:marBottom w:val="0"/>
                  <w:divBdr>
                    <w:top w:val="none" w:sz="0" w:space="0" w:color="auto"/>
                    <w:left w:val="none" w:sz="0" w:space="0" w:color="auto"/>
                    <w:bottom w:val="none" w:sz="0" w:space="0" w:color="auto"/>
                    <w:right w:val="none" w:sz="0" w:space="0" w:color="auto"/>
                  </w:divBdr>
                </w:div>
                <w:div w:id="1702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84488">
      <w:bodyDiv w:val="1"/>
      <w:marLeft w:val="0"/>
      <w:marRight w:val="0"/>
      <w:marTop w:val="0"/>
      <w:marBottom w:val="0"/>
      <w:divBdr>
        <w:top w:val="none" w:sz="0" w:space="0" w:color="auto"/>
        <w:left w:val="none" w:sz="0" w:space="0" w:color="auto"/>
        <w:bottom w:val="none" w:sz="0" w:space="0" w:color="auto"/>
        <w:right w:val="none" w:sz="0" w:space="0" w:color="auto"/>
      </w:divBdr>
    </w:div>
    <w:div w:id="506987732">
      <w:bodyDiv w:val="1"/>
      <w:marLeft w:val="0"/>
      <w:marRight w:val="0"/>
      <w:marTop w:val="0"/>
      <w:marBottom w:val="0"/>
      <w:divBdr>
        <w:top w:val="none" w:sz="0" w:space="0" w:color="auto"/>
        <w:left w:val="none" w:sz="0" w:space="0" w:color="auto"/>
        <w:bottom w:val="none" w:sz="0" w:space="0" w:color="auto"/>
        <w:right w:val="none" w:sz="0" w:space="0" w:color="auto"/>
      </w:divBdr>
    </w:div>
    <w:div w:id="712968241">
      <w:bodyDiv w:val="1"/>
      <w:marLeft w:val="0"/>
      <w:marRight w:val="0"/>
      <w:marTop w:val="0"/>
      <w:marBottom w:val="0"/>
      <w:divBdr>
        <w:top w:val="none" w:sz="0" w:space="0" w:color="auto"/>
        <w:left w:val="none" w:sz="0" w:space="0" w:color="auto"/>
        <w:bottom w:val="none" w:sz="0" w:space="0" w:color="auto"/>
        <w:right w:val="none" w:sz="0" w:space="0" w:color="auto"/>
      </w:divBdr>
    </w:div>
    <w:div w:id="727149009">
      <w:bodyDiv w:val="1"/>
      <w:marLeft w:val="0"/>
      <w:marRight w:val="0"/>
      <w:marTop w:val="0"/>
      <w:marBottom w:val="0"/>
      <w:divBdr>
        <w:top w:val="none" w:sz="0" w:space="0" w:color="auto"/>
        <w:left w:val="none" w:sz="0" w:space="0" w:color="auto"/>
        <w:bottom w:val="none" w:sz="0" w:space="0" w:color="auto"/>
        <w:right w:val="none" w:sz="0" w:space="0" w:color="auto"/>
      </w:divBdr>
    </w:div>
    <w:div w:id="733621616">
      <w:bodyDiv w:val="1"/>
      <w:marLeft w:val="0"/>
      <w:marRight w:val="0"/>
      <w:marTop w:val="0"/>
      <w:marBottom w:val="0"/>
      <w:divBdr>
        <w:top w:val="none" w:sz="0" w:space="0" w:color="auto"/>
        <w:left w:val="none" w:sz="0" w:space="0" w:color="auto"/>
        <w:bottom w:val="none" w:sz="0" w:space="0" w:color="auto"/>
        <w:right w:val="none" w:sz="0" w:space="0" w:color="auto"/>
      </w:divBdr>
    </w:div>
    <w:div w:id="758336137">
      <w:bodyDiv w:val="1"/>
      <w:marLeft w:val="0"/>
      <w:marRight w:val="0"/>
      <w:marTop w:val="0"/>
      <w:marBottom w:val="0"/>
      <w:divBdr>
        <w:top w:val="none" w:sz="0" w:space="0" w:color="auto"/>
        <w:left w:val="none" w:sz="0" w:space="0" w:color="auto"/>
        <w:bottom w:val="none" w:sz="0" w:space="0" w:color="auto"/>
        <w:right w:val="none" w:sz="0" w:space="0" w:color="auto"/>
      </w:divBdr>
    </w:div>
    <w:div w:id="788932827">
      <w:bodyDiv w:val="1"/>
      <w:marLeft w:val="0"/>
      <w:marRight w:val="0"/>
      <w:marTop w:val="0"/>
      <w:marBottom w:val="0"/>
      <w:divBdr>
        <w:top w:val="none" w:sz="0" w:space="0" w:color="auto"/>
        <w:left w:val="none" w:sz="0" w:space="0" w:color="auto"/>
        <w:bottom w:val="none" w:sz="0" w:space="0" w:color="auto"/>
        <w:right w:val="none" w:sz="0" w:space="0" w:color="auto"/>
      </w:divBdr>
      <w:divsChild>
        <w:div w:id="1558281892">
          <w:marLeft w:val="0"/>
          <w:marRight w:val="0"/>
          <w:marTop w:val="0"/>
          <w:marBottom w:val="0"/>
          <w:divBdr>
            <w:top w:val="none" w:sz="0" w:space="0" w:color="auto"/>
            <w:left w:val="none" w:sz="0" w:space="0" w:color="auto"/>
            <w:bottom w:val="none" w:sz="0" w:space="0" w:color="auto"/>
            <w:right w:val="none" w:sz="0" w:space="0" w:color="auto"/>
          </w:divBdr>
        </w:div>
        <w:div w:id="303586350">
          <w:marLeft w:val="0"/>
          <w:marRight w:val="0"/>
          <w:marTop w:val="0"/>
          <w:marBottom w:val="0"/>
          <w:divBdr>
            <w:top w:val="none" w:sz="0" w:space="0" w:color="auto"/>
            <w:left w:val="none" w:sz="0" w:space="0" w:color="auto"/>
            <w:bottom w:val="none" w:sz="0" w:space="0" w:color="auto"/>
            <w:right w:val="none" w:sz="0" w:space="0" w:color="auto"/>
          </w:divBdr>
        </w:div>
        <w:div w:id="1687097185">
          <w:marLeft w:val="0"/>
          <w:marRight w:val="0"/>
          <w:marTop w:val="0"/>
          <w:marBottom w:val="0"/>
          <w:divBdr>
            <w:top w:val="none" w:sz="0" w:space="0" w:color="auto"/>
            <w:left w:val="none" w:sz="0" w:space="0" w:color="auto"/>
            <w:bottom w:val="none" w:sz="0" w:space="0" w:color="auto"/>
            <w:right w:val="none" w:sz="0" w:space="0" w:color="auto"/>
          </w:divBdr>
        </w:div>
        <w:div w:id="362826332">
          <w:marLeft w:val="0"/>
          <w:marRight w:val="0"/>
          <w:marTop w:val="0"/>
          <w:marBottom w:val="0"/>
          <w:divBdr>
            <w:top w:val="none" w:sz="0" w:space="0" w:color="auto"/>
            <w:left w:val="none" w:sz="0" w:space="0" w:color="auto"/>
            <w:bottom w:val="none" w:sz="0" w:space="0" w:color="auto"/>
            <w:right w:val="none" w:sz="0" w:space="0" w:color="auto"/>
          </w:divBdr>
        </w:div>
        <w:div w:id="927347527">
          <w:marLeft w:val="0"/>
          <w:marRight w:val="0"/>
          <w:marTop w:val="0"/>
          <w:marBottom w:val="0"/>
          <w:divBdr>
            <w:top w:val="none" w:sz="0" w:space="0" w:color="auto"/>
            <w:left w:val="none" w:sz="0" w:space="0" w:color="auto"/>
            <w:bottom w:val="none" w:sz="0" w:space="0" w:color="auto"/>
            <w:right w:val="none" w:sz="0" w:space="0" w:color="auto"/>
          </w:divBdr>
        </w:div>
      </w:divsChild>
    </w:div>
    <w:div w:id="905915898">
      <w:bodyDiv w:val="1"/>
      <w:marLeft w:val="0"/>
      <w:marRight w:val="0"/>
      <w:marTop w:val="0"/>
      <w:marBottom w:val="0"/>
      <w:divBdr>
        <w:top w:val="none" w:sz="0" w:space="0" w:color="auto"/>
        <w:left w:val="none" w:sz="0" w:space="0" w:color="auto"/>
        <w:bottom w:val="none" w:sz="0" w:space="0" w:color="auto"/>
        <w:right w:val="none" w:sz="0" w:space="0" w:color="auto"/>
      </w:divBdr>
    </w:div>
    <w:div w:id="937447143">
      <w:bodyDiv w:val="1"/>
      <w:marLeft w:val="0"/>
      <w:marRight w:val="0"/>
      <w:marTop w:val="0"/>
      <w:marBottom w:val="0"/>
      <w:divBdr>
        <w:top w:val="none" w:sz="0" w:space="0" w:color="auto"/>
        <w:left w:val="none" w:sz="0" w:space="0" w:color="auto"/>
        <w:bottom w:val="none" w:sz="0" w:space="0" w:color="auto"/>
        <w:right w:val="none" w:sz="0" w:space="0" w:color="auto"/>
      </w:divBdr>
    </w:div>
    <w:div w:id="1026633472">
      <w:bodyDiv w:val="1"/>
      <w:marLeft w:val="0"/>
      <w:marRight w:val="0"/>
      <w:marTop w:val="0"/>
      <w:marBottom w:val="0"/>
      <w:divBdr>
        <w:top w:val="none" w:sz="0" w:space="0" w:color="auto"/>
        <w:left w:val="none" w:sz="0" w:space="0" w:color="auto"/>
        <w:bottom w:val="none" w:sz="0" w:space="0" w:color="auto"/>
        <w:right w:val="none" w:sz="0" w:space="0" w:color="auto"/>
      </w:divBdr>
    </w:div>
    <w:div w:id="1076896379">
      <w:bodyDiv w:val="1"/>
      <w:marLeft w:val="0"/>
      <w:marRight w:val="0"/>
      <w:marTop w:val="0"/>
      <w:marBottom w:val="0"/>
      <w:divBdr>
        <w:top w:val="none" w:sz="0" w:space="0" w:color="auto"/>
        <w:left w:val="none" w:sz="0" w:space="0" w:color="auto"/>
        <w:bottom w:val="none" w:sz="0" w:space="0" w:color="auto"/>
        <w:right w:val="none" w:sz="0" w:space="0" w:color="auto"/>
      </w:divBdr>
    </w:div>
    <w:div w:id="1078939646">
      <w:bodyDiv w:val="1"/>
      <w:marLeft w:val="0"/>
      <w:marRight w:val="0"/>
      <w:marTop w:val="0"/>
      <w:marBottom w:val="0"/>
      <w:divBdr>
        <w:top w:val="none" w:sz="0" w:space="0" w:color="auto"/>
        <w:left w:val="none" w:sz="0" w:space="0" w:color="auto"/>
        <w:bottom w:val="none" w:sz="0" w:space="0" w:color="auto"/>
        <w:right w:val="none" w:sz="0" w:space="0" w:color="auto"/>
      </w:divBdr>
    </w:div>
    <w:div w:id="1083449997">
      <w:bodyDiv w:val="1"/>
      <w:marLeft w:val="0"/>
      <w:marRight w:val="0"/>
      <w:marTop w:val="0"/>
      <w:marBottom w:val="0"/>
      <w:divBdr>
        <w:top w:val="none" w:sz="0" w:space="0" w:color="auto"/>
        <w:left w:val="none" w:sz="0" w:space="0" w:color="auto"/>
        <w:bottom w:val="none" w:sz="0" w:space="0" w:color="auto"/>
        <w:right w:val="none" w:sz="0" w:space="0" w:color="auto"/>
      </w:divBdr>
    </w:div>
    <w:div w:id="1094669102">
      <w:bodyDiv w:val="1"/>
      <w:marLeft w:val="0"/>
      <w:marRight w:val="0"/>
      <w:marTop w:val="0"/>
      <w:marBottom w:val="0"/>
      <w:divBdr>
        <w:top w:val="none" w:sz="0" w:space="0" w:color="auto"/>
        <w:left w:val="none" w:sz="0" w:space="0" w:color="auto"/>
        <w:bottom w:val="none" w:sz="0" w:space="0" w:color="auto"/>
        <w:right w:val="none" w:sz="0" w:space="0" w:color="auto"/>
      </w:divBdr>
    </w:div>
    <w:div w:id="1151095869">
      <w:bodyDiv w:val="1"/>
      <w:marLeft w:val="0"/>
      <w:marRight w:val="0"/>
      <w:marTop w:val="0"/>
      <w:marBottom w:val="0"/>
      <w:divBdr>
        <w:top w:val="none" w:sz="0" w:space="0" w:color="auto"/>
        <w:left w:val="none" w:sz="0" w:space="0" w:color="auto"/>
        <w:bottom w:val="none" w:sz="0" w:space="0" w:color="auto"/>
        <w:right w:val="none" w:sz="0" w:space="0" w:color="auto"/>
      </w:divBdr>
      <w:divsChild>
        <w:div w:id="1961522874">
          <w:marLeft w:val="0"/>
          <w:marRight w:val="0"/>
          <w:marTop w:val="0"/>
          <w:marBottom w:val="0"/>
          <w:divBdr>
            <w:top w:val="none" w:sz="0" w:space="0" w:color="auto"/>
            <w:left w:val="none" w:sz="0" w:space="0" w:color="auto"/>
            <w:bottom w:val="none" w:sz="0" w:space="0" w:color="auto"/>
            <w:right w:val="none" w:sz="0" w:space="0" w:color="auto"/>
          </w:divBdr>
        </w:div>
        <w:div w:id="1628197800">
          <w:marLeft w:val="0"/>
          <w:marRight w:val="0"/>
          <w:marTop w:val="0"/>
          <w:marBottom w:val="0"/>
          <w:divBdr>
            <w:top w:val="none" w:sz="0" w:space="0" w:color="auto"/>
            <w:left w:val="none" w:sz="0" w:space="0" w:color="auto"/>
            <w:bottom w:val="none" w:sz="0" w:space="0" w:color="auto"/>
            <w:right w:val="none" w:sz="0" w:space="0" w:color="auto"/>
          </w:divBdr>
        </w:div>
        <w:div w:id="1873615632">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 w:id="1398699245">
      <w:bodyDiv w:val="1"/>
      <w:marLeft w:val="0"/>
      <w:marRight w:val="0"/>
      <w:marTop w:val="0"/>
      <w:marBottom w:val="0"/>
      <w:divBdr>
        <w:top w:val="none" w:sz="0" w:space="0" w:color="auto"/>
        <w:left w:val="none" w:sz="0" w:space="0" w:color="auto"/>
        <w:bottom w:val="none" w:sz="0" w:space="0" w:color="auto"/>
        <w:right w:val="none" w:sz="0" w:space="0" w:color="auto"/>
      </w:divBdr>
    </w:div>
    <w:div w:id="1445033753">
      <w:bodyDiv w:val="1"/>
      <w:marLeft w:val="0"/>
      <w:marRight w:val="0"/>
      <w:marTop w:val="0"/>
      <w:marBottom w:val="0"/>
      <w:divBdr>
        <w:top w:val="none" w:sz="0" w:space="0" w:color="auto"/>
        <w:left w:val="none" w:sz="0" w:space="0" w:color="auto"/>
        <w:bottom w:val="none" w:sz="0" w:space="0" w:color="auto"/>
        <w:right w:val="none" w:sz="0" w:space="0" w:color="auto"/>
      </w:divBdr>
    </w:div>
    <w:div w:id="1566796177">
      <w:bodyDiv w:val="1"/>
      <w:marLeft w:val="0"/>
      <w:marRight w:val="0"/>
      <w:marTop w:val="0"/>
      <w:marBottom w:val="0"/>
      <w:divBdr>
        <w:top w:val="none" w:sz="0" w:space="0" w:color="auto"/>
        <w:left w:val="none" w:sz="0" w:space="0" w:color="auto"/>
        <w:bottom w:val="none" w:sz="0" w:space="0" w:color="auto"/>
        <w:right w:val="none" w:sz="0" w:space="0" w:color="auto"/>
      </w:divBdr>
    </w:div>
    <w:div w:id="1765950708">
      <w:bodyDiv w:val="1"/>
      <w:marLeft w:val="0"/>
      <w:marRight w:val="0"/>
      <w:marTop w:val="0"/>
      <w:marBottom w:val="0"/>
      <w:divBdr>
        <w:top w:val="none" w:sz="0" w:space="0" w:color="auto"/>
        <w:left w:val="none" w:sz="0" w:space="0" w:color="auto"/>
        <w:bottom w:val="none" w:sz="0" w:space="0" w:color="auto"/>
        <w:right w:val="none" w:sz="0" w:space="0" w:color="auto"/>
      </w:divBdr>
    </w:div>
    <w:div w:id="1852257987">
      <w:bodyDiv w:val="1"/>
      <w:marLeft w:val="0"/>
      <w:marRight w:val="0"/>
      <w:marTop w:val="0"/>
      <w:marBottom w:val="0"/>
      <w:divBdr>
        <w:top w:val="none" w:sz="0" w:space="0" w:color="auto"/>
        <w:left w:val="none" w:sz="0" w:space="0" w:color="auto"/>
        <w:bottom w:val="none" w:sz="0" w:space="0" w:color="auto"/>
        <w:right w:val="none" w:sz="0" w:space="0" w:color="auto"/>
      </w:divBdr>
    </w:div>
    <w:div w:id="1930893047">
      <w:bodyDiv w:val="1"/>
      <w:marLeft w:val="0"/>
      <w:marRight w:val="0"/>
      <w:marTop w:val="0"/>
      <w:marBottom w:val="0"/>
      <w:divBdr>
        <w:top w:val="none" w:sz="0" w:space="0" w:color="auto"/>
        <w:left w:val="none" w:sz="0" w:space="0" w:color="auto"/>
        <w:bottom w:val="none" w:sz="0" w:space="0" w:color="auto"/>
        <w:right w:val="none" w:sz="0" w:space="0" w:color="auto"/>
      </w:divBdr>
    </w:div>
    <w:div w:id="2101756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A4075-3CB6-6743-AA3D-625153596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3945</Words>
  <Characters>22489</Characters>
  <Application>Microsoft Office Word</Application>
  <DocSecurity>0</DocSecurity>
  <Lines>187</Lines>
  <Paragraphs>52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2024-10-06T15:53:00Z</dcterms:created>
  <dcterms:modified xsi:type="dcterms:W3CDTF">2024-10-06T22:04:00Z</dcterms:modified>
</cp:coreProperties>
</file>