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42AD2F" w14:textId="2BD9F339" w:rsidR="00A72DD5" w:rsidRPr="004E019E" w:rsidRDefault="00A72DD5" w:rsidP="00A72DD5">
      <w:pPr>
        <w:spacing w:line="480" w:lineRule="auto"/>
        <w:jc w:val="left"/>
        <w:rPr>
          <w:rFonts w:eastAsia="Times New Roman" w:cstheme="minorHAnsi"/>
        </w:rPr>
      </w:pPr>
      <w:r w:rsidRPr="004E019E">
        <w:rPr>
          <w:rFonts w:eastAsia="Times New Roman" w:cstheme="minorHAnsi"/>
          <w:noProof/>
        </w:rPr>
        <w:drawing>
          <wp:inline distT="0" distB="0" distL="0" distR="0" wp14:anchorId="63549271" wp14:editId="426F0384">
            <wp:extent cx="2475230" cy="1463040"/>
            <wp:effectExtent l="0" t="0" r="1270" b="3810"/>
            <wp:docPr id="1" name="Picture 1"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Logo, company name&#10;&#10;Description automatically generated"/>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475230" cy="1463040"/>
                    </a:xfrm>
                    <a:prstGeom prst="rect">
                      <a:avLst/>
                    </a:prstGeom>
                    <a:noFill/>
                  </pic:spPr>
                </pic:pic>
              </a:graphicData>
            </a:graphic>
          </wp:inline>
        </w:drawing>
      </w:r>
    </w:p>
    <w:p w14:paraId="2D4E31D1" w14:textId="77777777" w:rsidR="00A72DD5" w:rsidRPr="00F22E56" w:rsidRDefault="00A72DD5" w:rsidP="00A72DD5">
      <w:pPr>
        <w:spacing w:line="480" w:lineRule="auto"/>
        <w:jc w:val="center"/>
        <w:rPr>
          <w:rFonts w:eastAsia="Times New Roman" w:cstheme="minorHAnsi"/>
          <w:sz w:val="40"/>
          <w:szCs w:val="40"/>
        </w:rPr>
      </w:pPr>
    </w:p>
    <w:p w14:paraId="2C0C67CE" w14:textId="77777777" w:rsidR="00962367" w:rsidRPr="008B100A" w:rsidRDefault="00962367" w:rsidP="00962367">
      <w:pPr>
        <w:spacing w:before="100" w:beforeAutospacing="1" w:after="0" w:line="240" w:lineRule="auto"/>
        <w:jc w:val="center"/>
        <w:rPr>
          <w:rFonts w:cstheme="minorHAnsi"/>
          <w:sz w:val="24"/>
          <w:szCs w:val="24"/>
        </w:rPr>
      </w:pPr>
    </w:p>
    <w:p w14:paraId="72F72732" w14:textId="77777777" w:rsidR="00962367" w:rsidRPr="00524CC3" w:rsidRDefault="00962367" w:rsidP="00962367">
      <w:pPr>
        <w:spacing w:line="480" w:lineRule="auto"/>
        <w:jc w:val="center"/>
        <w:rPr>
          <w:rFonts w:ascii="Arial" w:hAnsi="Arial" w:cs="Arial"/>
          <w:sz w:val="52"/>
          <w:szCs w:val="52"/>
        </w:rPr>
      </w:pPr>
      <w:r w:rsidRPr="5FB0F992">
        <w:rPr>
          <w:rFonts w:ascii="Arial" w:hAnsi="Arial" w:cs="Arial"/>
          <w:sz w:val="52"/>
          <w:szCs w:val="52"/>
        </w:rPr>
        <w:t>Trusts Law</w:t>
      </w:r>
    </w:p>
    <w:p w14:paraId="0EA78F72" w14:textId="77777777" w:rsidR="00962367" w:rsidRPr="000C30E4" w:rsidRDefault="00962367" w:rsidP="00962367">
      <w:pPr>
        <w:spacing w:line="480" w:lineRule="auto"/>
        <w:jc w:val="center"/>
        <w:rPr>
          <w:rFonts w:ascii="Arial" w:hAnsi="Arial" w:cs="Arial"/>
          <w:sz w:val="52"/>
          <w:szCs w:val="52"/>
        </w:rPr>
      </w:pPr>
      <w:r w:rsidRPr="000C30E4">
        <w:rPr>
          <w:rFonts w:ascii="Arial" w:hAnsi="Arial" w:cs="Arial"/>
          <w:sz w:val="52"/>
          <w:szCs w:val="52"/>
        </w:rPr>
        <w:t xml:space="preserve">Lecture Handout </w:t>
      </w:r>
    </w:p>
    <w:p w14:paraId="4D36B9A4" w14:textId="26B6957F" w:rsidR="00962367" w:rsidRPr="000C30E4" w:rsidRDefault="00962367" w:rsidP="00962367">
      <w:pPr>
        <w:spacing w:line="480" w:lineRule="auto"/>
        <w:jc w:val="center"/>
        <w:rPr>
          <w:rFonts w:ascii="Arial" w:hAnsi="Arial" w:cs="Arial"/>
          <w:sz w:val="52"/>
          <w:szCs w:val="52"/>
        </w:rPr>
      </w:pPr>
      <w:r w:rsidRPr="000C30E4">
        <w:rPr>
          <w:rFonts w:ascii="Arial" w:hAnsi="Arial" w:cs="Arial"/>
          <w:sz w:val="52"/>
          <w:szCs w:val="52"/>
        </w:rPr>
        <w:t>Michaelmas Term Week</w:t>
      </w:r>
      <w:r>
        <w:rPr>
          <w:rFonts w:ascii="Arial" w:hAnsi="Arial" w:cs="Arial"/>
          <w:sz w:val="52"/>
          <w:szCs w:val="52"/>
        </w:rPr>
        <w:t xml:space="preserve"> </w:t>
      </w:r>
      <w:r w:rsidR="0077654D">
        <w:rPr>
          <w:rFonts w:ascii="Arial" w:hAnsi="Arial" w:cs="Arial"/>
          <w:sz w:val="52"/>
          <w:szCs w:val="52"/>
        </w:rPr>
        <w:t>20</w:t>
      </w:r>
      <w:r>
        <w:rPr>
          <w:rFonts w:ascii="Arial" w:hAnsi="Arial" w:cs="Arial"/>
          <w:sz w:val="52"/>
          <w:szCs w:val="52"/>
        </w:rPr>
        <w:t xml:space="preserve"> </w:t>
      </w:r>
    </w:p>
    <w:p w14:paraId="477CAF61" w14:textId="641B8CD4" w:rsidR="00962367" w:rsidRDefault="0077654D" w:rsidP="00962367">
      <w:pPr>
        <w:spacing w:line="480" w:lineRule="auto"/>
        <w:jc w:val="center"/>
        <w:rPr>
          <w:rFonts w:ascii="Arial" w:hAnsi="Arial" w:cs="Arial"/>
          <w:b/>
          <w:sz w:val="52"/>
          <w:szCs w:val="52"/>
          <w:u w:val="single"/>
        </w:rPr>
      </w:pPr>
      <w:r w:rsidRPr="0077654D">
        <w:rPr>
          <w:rFonts w:ascii="Arial" w:hAnsi="Arial" w:cs="Arial"/>
          <w:b/>
          <w:sz w:val="52"/>
          <w:szCs w:val="52"/>
          <w:u w:val="single"/>
        </w:rPr>
        <w:t>The trust in an international context</w:t>
      </w:r>
    </w:p>
    <w:p w14:paraId="1560FE2C" w14:textId="77777777" w:rsidR="00962367" w:rsidRDefault="00962367" w:rsidP="00962367">
      <w:pPr>
        <w:spacing w:line="480" w:lineRule="auto"/>
        <w:jc w:val="center"/>
        <w:rPr>
          <w:rFonts w:ascii="Arial" w:hAnsi="Arial" w:cs="Arial"/>
          <w:sz w:val="52"/>
          <w:szCs w:val="52"/>
        </w:rPr>
      </w:pPr>
      <w:r w:rsidRPr="5C910DBD">
        <w:rPr>
          <w:rFonts w:ascii="Arial" w:hAnsi="Arial" w:cs="Arial"/>
          <w:sz w:val="52"/>
          <w:szCs w:val="52"/>
        </w:rPr>
        <w:t>202</w:t>
      </w:r>
      <w:r>
        <w:rPr>
          <w:rFonts w:ascii="Arial" w:hAnsi="Arial" w:cs="Arial"/>
          <w:sz w:val="52"/>
          <w:szCs w:val="52"/>
        </w:rPr>
        <w:t>4</w:t>
      </w:r>
      <w:r w:rsidRPr="5C910DBD">
        <w:rPr>
          <w:rFonts w:ascii="Arial" w:hAnsi="Arial" w:cs="Arial"/>
          <w:sz w:val="52"/>
          <w:szCs w:val="52"/>
        </w:rPr>
        <w:t>/2</w:t>
      </w:r>
      <w:r>
        <w:rPr>
          <w:rFonts w:ascii="Arial" w:hAnsi="Arial" w:cs="Arial"/>
          <w:sz w:val="52"/>
          <w:szCs w:val="52"/>
        </w:rPr>
        <w:t>5</w:t>
      </w:r>
    </w:p>
    <w:p w14:paraId="0EA19359" w14:textId="374332C5" w:rsidR="004453A7" w:rsidRPr="00962367" w:rsidRDefault="00962367" w:rsidP="00962367">
      <w:pPr>
        <w:spacing w:line="480" w:lineRule="auto"/>
        <w:jc w:val="center"/>
        <w:rPr>
          <w:rFonts w:ascii="Arial" w:hAnsi="Arial" w:cs="Arial"/>
          <w:sz w:val="52"/>
          <w:szCs w:val="52"/>
        </w:rPr>
      </w:pPr>
      <w:r>
        <w:rPr>
          <w:rFonts w:ascii="Arial" w:hAnsi="Arial" w:cs="Arial"/>
          <w:sz w:val="52"/>
          <w:szCs w:val="52"/>
        </w:rPr>
        <w:t>Dr Matteo Patrone</w:t>
      </w:r>
      <w:r w:rsidR="00A72DD5" w:rsidRPr="004E019E">
        <w:rPr>
          <w:rFonts w:cstheme="minorHAnsi"/>
        </w:rPr>
        <w:br w:type="page"/>
      </w:r>
      <w:bookmarkStart w:id="0" w:name="_Toc402265342"/>
    </w:p>
    <w:p w14:paraId="7F7DEE9C" w14:textId="77777777" w:rsidR="006B2DC4" w:rsidRPr="00437356" w:rsidRDefault="006B2DC4" w:rsidP="0071460D">
      <w:pPr>
        <w:pStyle w:val="Paragrafoelenco"/>
        <w:numPr>
          <w:ilvl w:val="0"/>
          <w:numId w:val="30"/>
        </w:numPr>
        <w:spacing w:after="240" w:line="240" w:lineRule="auto"/>
        <w:ind w:left="357" w:hanging="357"/>
        <w:rPr>
          <w:rFonts w:ascii="Arial" w:hAnsi="Arial" w:cs="Arial"/>
          <w:b/>
          <w:bCs/>
          <w:sz w:val="24"/>
          <w:szCs w:val="24"/>
        </w:rPr>
      </w:pPr>
      <w:r w:rsidRPr="00437356">
        <w:rPr>
          <w:rFonts w:ascii="Arial" w:hAnsi="Arial" w:cs="Arial"/>
          <w:b/>
          <w:bCs/>
          <w:sz w:val="24"/>
          <w:szCs w:val="24"/>
        </w:rPr>
        <w:lastRenderedPageBreak/>
        <w:t>Reading</w:t>
      </w:r>
    </w:p>
    <w:p w14:paraId="1D37CBF0" w14:textId="167875A1" w:rsidR="006B2DC4" w:rsidRPr="00437356" w:rsidRDefault="006B2DC4" w:rsidP="006B2DC4">
      <w:pPr>
        <w:spacing w:before="100" w:beforeAutospacing="1" w:after="120" w:line="240" w:lineRule="auto"/>
        <w:rPr>
          <w:rFonts w:ascii="Arial" w:hAnsi="Arial" w:cs="Arial"/>
        </w:rPr>
      </w:pPr>
      <w:r w:rsidRPr="00437356">
        <w:rPr>
          <w:rFonts w:ascii="Arial" w:hAnsi="Arial" w:cs="Arial"/>
        </w:rPr>
        <w:t xml:space="preserve">For </w:t>
      </w:r>
      <w:r w:rsidR="0077654D">
        <w:rPr>
          <w:rFonts w:ascii="Arial" w:hAnsi="Arial" w:cs="Arial"/>
        </w:rPr>
        <w:t>the</w:t>
      </w:r>
      <w:r w:rsidRPr="00437356">
        <w:rPr>
          <w:rFonts w:ascii="Arial" w:hAnsi="Arial" w:cs="Arial"/>
        </w:rPr>
        <w:t xml:space="preserve"> reading</w:t>
      </w:r>
      <w:r w:rsidR="0077654D">
        <w:rPr>
          <w:rFonts w:ascii="Arial" w:hAnsi="Arial" w:cs="Arial"/>
        </w:rPr>
        <w:t>s</w:t>
      </w:r>
      <w:r w:rsidRPr="00437356">
        <w:rPr>
          <w:rFonts w:ascii="Arial" w:hAnsi="Arial" w:cs="Arial"/>
        </w:rPr>
        <w:t>, please see the Reading List feature on Learn Ultra.</w:t>
      </w:r>
    </w:p>
    <w:p w14:paraId="10675ED9" w14:textId="77777777" w:rsidR="009C2849" w:rsidRDefault="009C2849" w:rsidP="00B220F8">
      <w:pPr>
        <w:spacing w:before="100" w:beforeAutospacing="1" w:after="120" w:line="240" w:lineRule="auto"/>
        <w:rPr>
          <w:rFonts w:ascii="Arial" w:hAnsi="Arial" w:cs="Arial"/>
        </w:rPr>
      </w:pPr>
    </w:p>
    <w:p w14:paraId="2AD5D9FD" w14:textId="59E3BA1A" w:rsidR="00B220F8" w:rsidRPr="00B220F8" w:rsidRDefault="00B220F8" w:rsidP="00B220F8">
      <w:pPr>
        <w:spacing w:before="100" w:beforeAutospacing="1" w:after="120" w:line="240" w:lineRule="auto"/>
        <w:rPr>
          <w:rFonts w:ascii="Arial" w:hAnsi="Arial" w:cs="Arial"/>
        </w:rPr>
      </w:pPr>
      <w:r w:rsidRPr="00B220F8">
        <w:rPr>
          <w:rFonts w:ascii="Arial" w:hAnsi="Arial" w:cs="Arial"/>
        </w:rPr>
        <w:t>Several websites provide access to foreign legislative and case law sources.</w:t>
      </w:r>
    </w:p>
    <w:p w14:paraId="6C0B3910" w14:textId="2933023C" w:rsidR="00B220F8" w:rsidRPr="00B220F8" w:rsidRDefault="00B220F8" w:rsidP="00B220F8">
      <w:pPr>
        <w:spacing w:before="100" w:beforeAutospacing="1" w:after="120" w:line="240" w:lineRule="auto"/>
        <w:rPr>
          <w:rFonts w:ascii="Arial" w:hAnsi="Arial" w:cs="Arial"/>
        </w:rPr>
      </w:pPr>
      <w:r w:rsidRPr="00B220F8">
        <w:rPr>
          <w:rFonts w:ascii="Arial" w:hAnsi="Arial" w:cs="Arial"/>
        </w:rPr>
        <w:t xml:space="preserve">For English law and the laws of many Commonwealth countries, the website </w:t>
      </w:r>
      <w:hyperlink r:id="rId9" w:history="1">
        <w:r w:rsidRPr="003A6500">
          <w:rPr>
            <w:rStyle w:val="Collegamentoipertestuale"/>
            <w:rFonts w:ascii="Arial" w:hAnsi="Arial" w:cs="Arial"/>
          </w:rPr>
          <w:t>http://www.bailii.org/</w:t>
        </w:r>
      </w:hyperlink>
      <w:r>
        <w:rPr>
          <w:rFonts w:ascii="Arial" w:hAnsi="Arial" w:cs="Arial"/>
        </w:rPr>
        <w:t xml:space="preserve"> </w:t>
      </w:r>
      <w:r w:rsidRPr="00B220F8">
        <w:rPr>
          <w:rFonts w:ascii="Arial" w:hAnsi="Arial" w:cs="Arial"/>
        </w:rPr>
        <w:t xml:space="preserve">offers particularly comprehensive resources. </w:t>
      </w:r>
    </w:p>
    <w:p w14:paraId="5B415622" w14:textId="49F99544" w:rsidR="00B220F8" w:rsidRDefault="00B220F8" w:rsidP="00B220F8">
      <w:pPr>
        <w:spacing w:before="100" w:beforeAutospacing="1" w:after="120" w:line="240" w:lineRule="auto"/>
        <w:rPr>
          <w:rFonts w:ascii="Arial" w:hAnsi="Arial" w:cs="Arial"/>
        </w:rPr>
      </w:pPr>
      <w:r w:rsidRPr="00B220F8">
        <w:rPr>
          <w:rFonts w:ascii="Arial" w:hAnsi="Arial" w:cs="Arial"/>
        </w:rPr>
        <w:t xml:space="preserve">For </w:t>
      </w:r>
      <w:r>
        <w:rPr>
          <w:rFonts w:ascii="Arial" w:hAnsi="Arial" w:cs="Arial"/>
        </w:rPr>
        <w:t>offshore jurisdictions</w:t>
      </w:r>
      <w:r w:rsidRPr="00B220F8">
        <w:rPr>
          <w:rFonts w:ascii="Arial" w:hAnsi="Arial" w:cs="Arial"/>
        </w:rPr>
        <w:t>, it is useful to refer to the websites of the respective countries, such as:</w:t>
      </w:r>
    </w:p>
    <w:p w14:paraId="093A9835" w14:textId="3200C704" w:rsidR="00B220F8" w:rsidRPr="00B220F8" w:rsidRDefault="00B220F8" w:rsidP="00B220F8">
      <w:pPr>
        <w:numPr>
          <w:ilvl w:val="0"/>
          <w:numId w:val="41"/>
        </w:numPr>
        <w:rPr>
          <w:rFonts w:ascii="Arial" w:hAnsi="Arial" w:cs="Arial"/>
          <w:lang w:val="pt-BR"/>
        </w:rPr>
      </w:pPr>
      <w:r w:rsidRPr="00B220F8">
        <w:rPr>
          <w:rFonts w:ascii="Arial" w:hAnsi="Arial" w:cs="Arial"/>
          <w:lang w:val="pt-BR"/>
        </w:rPr>
        <w:t xml:space="preserve">Bahamas: </w:t>
      </w:r>
      <w:hyperlink r:id="rId10" w:history="1">
        <w:r w:rsidRPr="00B220F8">
          <w:rPr>
            <w:rStyle w:val="Collegamentoipertestuale"/>
            <w:rFonts w:ascii="Arial" w:hAnsi="Arial" w:cs="Arial"/>
            <w:lang w:val="pt-BR"/>
          </w:rPr>
          <w:t>http://www.bahamas.gov.bs/</w:t>
        </w:r>
      </w:hyperlink>
    </w:p>
    <w:p w14:paraId="27EDDD42" w14:textId="77777777" w:rsidR="00B220F8" w:rsidRPr="00B220F8" w:rsidRDefault="00B220F8" w:rsidP="00B220F8">
      <w:pPr>
        <w:numPr>
          <w:ilvl w:val="0"/>
          <w:numId w:val="41"/>
        </w:numPr>
        <w:rPr>
          <w:rFonts w:ascii="Arial" w:hAnsi="Arial" w:cs="Arial"/>
          <w:lang w:val="pt-BR"/>
        </w:rPr>
      </w:pPr>
      <w:r w:rsidRPr="00B220F8">
        <w:rPr>
          <w:rFonts w:ascii="Arial" w:hAnsi="Arial" w:cs="Arial"/>
          <w:lang w:val="pt-BR"/>
        </w:rPr>
        <w:t xml:space="preserve">Belize: </w:t>
      </w:r>
      <w:hyperlink r:id="rId11" w:history="1">
        <w:r w:rsidRPr="00B220F8">
          <w:rPr>
            <w:rStyle w:val="Collegamentoipertestuale"/>
            <w:rFonts w:ascii="Arial" w:hAnsi="Arial" w:cs="Arial"/>
            <w:lang w:val="pt-BR"/>
          </w:rPr>
          <w:t>http://www.belizelaw.org/</w:t>
        </w:r>
      </w:hyperlink>
    </w:p>
    <w:p w14:paraId="6B4DE2B3" w14:textId="77777777" w:rsidR="00B220F8" w:rsidRPr="00B220F8" w:rsidRDefault="00B220F8" w:rsidP="00B220F8">
      <w:pPr>
        <w:numPr>
          <w:ilvl w:val="0"/>
          <w:numId w:val="41"/>
        </w:numPr>
        <w:rPr>
          <w:rFonts w:ascii="Arial" w:hAnsi="Arial" w:cs="Arial"/>
          <w:lang w:val="pt-BR"/>
        </w:rPr>
      </w:pPr>
      <w:r w:rsidRPr="00B220F8">
        <w:rPr>
          <w:rFonts w:ascii="Arial" w:hAnsi="Arial" w:cs="Arial"/>
          <w:lang w:val="pt-BR"/>
        </w:rPr>
        <w:t xml:space="preserve">Bermuda: </w:t>
      </w:r>
      <w:hyperlink r:id="rId12" w:history="1">
        <w:r w:rsidRPr="00B220F8">
          <w:rPr>
            <w:rStyle w:val="Collegamentoipertestuale"/>
            <w:rFonts w:ascii="Arial" w:hAnsi="Arial" w:cs="Arial"/>
            <w:lang w:val="pt-BR"/>
          </w:rPr>
          <w:t>http://www.bermudaLaws.bm/</w:t>
        </w:r>
      </w:hyperlink>
    </w:p>
    <w:p w14:paraId="25FECFEF" w14:textId="77777777" w:rsidR="00B220F8" w:rsidRPr="00B220F8" w:rsidRDefault="00B220F8" w:rsidP="00B220F8">
      <w:pPr>
        <w:numPr>
          <w:ilvl w:val="0"/>
          <w:numId w:val="41"/>
        </w:numPr>
        <w:rPr>
          <w:rFonts w:ascii="Arial" w:hAnsi="Arial" w:cs="Arial"/>
          <w:lang w:val="pt-BR"/>
        </w:rPr>
      </w:pPr>
      <w:r w:rsidRPr="00B220F8">
        <w:rPr>
          <w:rFonts w:ascii="Arial" w:hAnsi="Arial" w:cs="Arial"/>
          <w:lang w:val="pt-BR"/>
        </w:rPr>
        <w:t xml:space="preserve">Cayman </w:t>
      </w:r>
      <w:proofErr w:type="spellStart"/>
      <w:r w:rsidRPr="00B220F8">
        <w:rPr>
          <w:rFonts w:ascii="Arial" w:hAnsi="Arial" w:cs="Arial"/>
          <w:lang w:val="pt-BR"/>
        </w:rPr>
        <w:t>Islands</w:t>
      </w:r>
      <w:proofErr w:type="spellEnd"/>
      <w:r w:rsidRPr="00B220F8">
        <w:rPr>
          <w:rFonts w:ascii="Arial" w:hAnsi="Arial" w:cs="Arial"/>
          <w:lang w:val="pt-BR"/>
        </w:rPr>
        <w:t xml:space="preserve">: </w:t>
      </w:r>
      <w:hyperlink r:id="rId13" w:history="1">
        <w:r w:rsidRPr="00B220F8">
          <w:rPr>
            <w:rStyle w:val="Collegamentoipertestuale"/>
            <w:rFonts w:ascii="Arial" w:hAnsi="Arial" w:cs="Arial"/>
            <w:lang w:val="pt-BR"/>
          </w:rPr>
          <w:t>http://www.gov.ky/</w:t>
        </w:r>
      </w:hyperlink>
    </w:p>
    <w:p w14:paraId="3B7BD4AC" w14:textId="77777777" w:rsidR="00B220F8" w:rsidRPr="00B220F8" w:rsidRDefault="00B220F8" w:rsidP="00B220F8">
      <w:pPr>
        <w:numPr>
          <w:ilvl w:val="0"/>
          <w:numId w:val="41"/>
        </w:numPr>
        <w:rPr>
          <w:rFonts w:ascii="Arial" w:hAnsi="Arial" w:cs="Arial"/>
          <w:lang w:val="de-DE"/>
        </w:rPr>
      </w:pPr>
      <w:r w:rsidRPr="00B220F8">
        <w:rPr>
          <w:rFonts w:ascii="Arial" w:hAnsi="Arial" w:cs="Arial"/>
          <w:lang w:val="de-DE"/>
        </w:rPr>
        <w:t xml:space="preserve">Guernsey: </w:t>
      </w:r>
      <w:hyperlink r:id="rId14" w:history="1">
        <w:r w:rsidRPr="00B220F8">
          <w:rPr>
            <w:rStyle w:val="Collegamentoipertestuale"/>
            <w:rFonts w:ascii="Arial" w:hAnsi="Arial" w:cs="Arial"/>
            <w:lang w:val="de-DE"/>
          </w:rPr>
          <w:t>http://www.gov.gg/ccm/portal/</w:t>
        </w:r>
      </w:hyperlink>
    </w:p>
    <w:p w14:paraId="189AA3F4" w14:textId="77777777" w:rsidR="00B220F8" w:rsidRPr="00B220F8" w:rsidRDefault="00B220F8" w:rsidP="00B220F8">
      <w:pPr>
        <w:numPr>
          <w:ilvl w:val="0"/>
          <w:numId w:val="41"/>
        </w:numPr>
        <w:rPr>
          <w:rFonts w:ascii="Arial" w:hAnsi="Arial" w:cs="Arial"/>
        </w:rPr>
      </w:pPr>
      <w:r w:rsidRPr="00B220F8">
        <w:rPr>
          <w:rFonts w:ascii="Arial" w:hAnsi="Arial" w:cs="Arial"/>
        </w:rPr>
        <w:t xml:space="preserve">Jersey: </w:t>
      </w:r>
      <w:hyperlink r:id="rId15" w:history="1">
        <w:r w:rsidRPr="00B220F8">
          <w:rPr>
            <w:rStyle w:val="Collegamentoipertestuale"/>
            <w:rFonts w:ascii="Arial" w:hAnsi="Arial" w:cs="Arial"/>
          </w:rPr>
          <w:t>http://www.jerseylegalinfo.je/</w:t>
        </w:r>
      </w:hyperlink>
    </w:p>
    <w:p w14:paraId="7F907678" w14:textId="77777777" w:rsidR="006B2DC4" w:rsidRPr="00B220F8" w:rsidRDefault="00B220F8" w:rsidP="00B220F8">
      <w:pPr>
        <w:numPr>
          <w:ilvl w:val="0"/>
          <w:numId w:val="41"/>
        </w:numPr>
        <w:rPr>
          <w:rFonts w:ascii="Arial" w:hAnsi="Arial" w:cs="Arial"/>
          <w:lang w:val="it-IT"/>
        </w:rPr>
      </w:pPr>
      <w:r w:rsidRPr="00B220F8">
        <w:rPr>
          <w:rFonts w:ascii="Arial" w:hAnsi="Arial" w:cs="Arial"/>
          <w:lang w:val="it-IT"/>
        </w:rPr>
        <w:t xml:space="preserve">San Marino: </w:t>
      </w:r>
      <w:hyperlink r:id="rId16" w:history="1">
        <w:r w:rsidRPr="00B220F8">
          <w:rPr>
            <w:rStyle w:val="Collegamentoipertestuale"/>
            <w:rFonts w:ascii="Arial" w:hAnsi="Arial" w:cs="Arial"/>
            <w:lang w:val="it-IT"/>
          </w:rPr>
          <w:t>http://www.cortetrust.sm/on-line/home.html/</w:t>
        </w:r>
      </w:hyperlink>
    </w:p>
    <w:p w14:paraId="08362267" w14:textId="77777777" w:rsidR="009C2849" w:rsidRPr="00B220F8" w:rsidRDefault="009C2849" w:rsidP="00B220F8">
      <w:pPr>
        <w:spacing w:before="100" w:beforeAutospacing="1" w:after="120" w:line="240" w:lineRule="auto"/>
        <w:rPr>
          <w:rFonts w:ascii="Arial" w:hAnsi="Arial" w:cs="Arial"/>
          <w:lang w:val="it-IT"/>
        </w:rPr>
      </w:pPr>
    </w:p>
    <w:p w14:paraId="65BB407F" w14:textId="2E8EA195" w:rsidR="006B2DC4" w:rsidRDefault="006B2DC4" w:rsidP="0071460D">
      <w:pPr>
        <w:pStyle w:val="Paragrafoelenco"/>
        <w:numPr>
          <w:ilvl w:val="0"/>
          <w:numId w:val="30"/>
        </w:numPr>
        <w:spacing w:after="240" w:line="240" w:lineRule="auto"/>
        <w:ind w:left="357" w:hanging="357"/>
        <w:rPr>
          <w:rFonts w:ascii="Arial" w:hAnsi="Arial" w:cs="Arial"/>
          <w:b/>
          <w:bCs/>
          <w:sz w:val="24"/>
          <w:szCs w:val="24"/>
        </w:rPr>
      </w:pPr>
      <w:r>
        <w:rPr>
          <w:rFonts w:ascii="Arial" w:hAnsi="Arial" w:cs="Arial"/>
          <w:b/>
          <w:bCs/>
          <w:sz w:val="24"/>
          <w:szCs w:val="24"/>
        </w:rPr>
        <w:t>Introduction</w:t>
      </w:r>
    </w:p>
    <w:p w14:paraId="597899CC" w14:textId="77777777" w:rsidR="00B220F8" w:rsidRPr="00B220F8" w:rsidRDefault="00B220F8" w:rsidP="00B220F8">
      <w:pPr>
        <w:spacing w:after="240" w:line="240" w:lineRule="auto"/>
        <w:rPr>
          <w:rFonts w:ascii="Arial" w:hAnsi="Arial" w:cs="Arial"/>
          <w:sz w:val="24"/>
          <w:szCs w:val="24"/>
        </w:rPr>
      </w:pPr>
      <w:r w:rsidRPr="00B220F8">
        <w:rPr>
          <w:rFonts w:ascii="Arial" w:hAnsi="Arial" w:cs="Arial"/>
          <w:sz w:val="24"/>
          <w:szCs w:val="24"/>
        </w:rPr>
        <w:t>The law of trusts, while traditionally rooted in the English legal system, has evolved into a legal concept with global significance. Originally developed within the framework of the Court of Chancery, trusts have been adopted and adapted by various legal systems across different jurisdictions.</w:t>
      </w:r>
    </w:p>
    <w:p w14:paraId="30D98CD9" w14:textId="4F856140" w:rsidR="00B220F8" w:rsidRPr="00B220F8" w:rsidRDefault="00B220F8" w:rsidP="00B220F8">
      <w:pPr>
        <w:spacing w:after="240" w:line="240" w:lineRule="auto"/>
        <w:rPr>
          <w:rFonts w:ascii="Arial" w:hAnsi="Arial" w:cs="Arial"/>
          <w:sz w:val="24"/>
          <w:szCs w:val="24"/>
        </w:rPr>
      </w:pPr>
      <w:r w:rsidRPr="00B220F8">
        <w:rPr>
          <w:rFonts w:ascii="Arial" w:hAnsi="Arial" w:cs="Arial"/>
          <w:sz w:val="24"/>
          <w:szCs w:val="24"/>
        </w:rPr>
        <w:t>The expansion of the trust concept beyond England (and Wales) has led to the development of diverse legal frameworks, ranging from the traditional English trust to the international or offshore trust model of trust.</w:t>
      </w:r>
    </w:p>
    <w:p w14:paraId="0CC0DD13" w14:textId="0DF4CC54" w:rsidR="00B220F8" w:rsidRPr="00B220F8" w:rsidRDefault="00B220F8" w:rsidP="00B220F8">
      <w:pPr>
        <w:spacing w:after="240" w:line="240" w:lineRule="auto"/>
        <w:rPr>
          <w:rFonts w:ascii="Arial" w:hAnsi="Arial" w:cs="Arial"/>
          <w:sz w:val="24"/>
          <w:szCs w:val="24"/>
        </w:rPr>
      </w:pPr>
      <w:r>
        <w:rPr>
          <w:rFonts w:ascii="Arial" w:hAnsi="Arial" w:cs="Arial"/>
          <w:sz w:val="24"/>
          <w:szCs w:val="24"/>
        </w:rPr>
        <w:t>T</w:t>
      </w:r>
      <w:r w:rsidRPr="00B220F8">
        <w:rPr>
          <w:rFonts w:ascii="Arial" w:hAnsi="Arial" w:cs="Arial"/>
          <w:sz w:val="24"/>
          <w:szCs w:val="24"/>
        </w:rPr>
        <w:t xml:space="preserve">rust law </w:t>
      </w:r>
      <w:r>
        <w:rPr>
          <w:rFonts w:ascii="Arial" w:hAnsi="Arial" w:cs="Arial"/>
          <w:sz w:val="24"/>
          <w:szCs w:val="24"/>
        </w:rPr>
        <w:t xml:space="preserve">expanded </w:t>
      </w:r>
      <w:r w:rsidRPr="00B220F8">
        <w:rPr>
          <w:rFonts w:ascii="Arial" w:hAnsi="Arial" w:cs="Arial"/>
          <w:sz w:val="24"/>
          <w:szCs w:val="24"/>
        </w:rPr>
        <w:t>beyond England</w:t>
      </w:r>
      <w:r w:rsidR="004D30C6">
        <w:rPr>
          <w:rFonts w:ascii="Arial" w:hAnsi="Arial" w:cs="Arial"/>
          <w:sz w:val="24"/>
          <w:szCs w:val="24"/>
        </w:rPr>
        <w:t xml:space="preserve"> </w:t>
      </w:r>
      <w:r w:rsidRPr="00B220F8">
        <w:rPr>
          <w:rFonts w:ascii="Arial" w:hAnsi="Arial" w:cs="Arial"/>
          <w:sz w:val="24"/>
          <w:szCs w:val="24"/>
        </w:rPr>
        <w:t xml:space="preserve">in other parts of the United Kingdom, Crown dependencies, and former British colonies. It also </w:t>
      </w:r>
      <w:r w:rsidR="004D30C6">
        <w:rPr>
          <w:rFonts w:ascii="Arial" w:hAnsi="Arial" w:cs="Arial"/>
          <w:sz w:val="24"/>
          <w:szCs w:val="24"/>
        </w:rPr>
        <w:t>appears</w:t>
      </w:r>
      <w:r w:rsidRPr="00B220F8">
        <w:rPr>
          <w:rFonts w:ascii="Arial" w:hAnsi="Arial" w:cs="Arial"/>
          <w:sz w:val="24"/>
          <w:szCs w:val="24"/>
        </w:rPr>
        <w:t xml:space="preserve"> in jurisdictions that do not have an equity tradition, including civil law and mixed legal systems. Additionally, </w:t>
      </w:r>
      <w:r w:rsidR="004D30C6">
        <w:rPr>
          <w:rFonts w:ascii="Arial" w:hAnsi="Arial" w:cs="Arial"/>
          <w:sz w:val="24"/>
          <w:szCs w:val="24"/>
        </w:rPr>
        <w:t>recently we witnessed the</w:t>
      </w:r>
      <w:r w:rsidRPr="00B220F8">
        <w:rPr>
          <w:rFonts w:ascii="Arial" w:hAnsi="Arial" w:cs="Arial"/>
          <w:sz w:val="24"/>
          <w:szCs w:val="24"/>
        </w:rPr>
        <w:t xml:space="preserve"> development of offshore trusts and the legislative adaptations made by various jurisdictions to attract international investors.</w:t>
      </w:r>
    </w:p>
    <w:p w14:paraId="4AF0A46C" w14:textId="7ACEAAEE" w:rsidR="00B220F8" w:rsidRPr="00B220F8" w:rsidRDefault="00B220F8" w:rsidP="004D30C6">
      <w:pPr>
        <w:spacing w:after="240" w:line="240" w:lineRule="auto"/>
        <w:rPr>
          <w:rFonts w:ascii="Arial" w:hAnsi="Arial" w:cs="Arial"/>
          <w:sz w:val="24"/>
          <w:szCs w:val="24"/>
        </w:rPr>
      </w:pPr>
      <w:r w:rsidRPr="00B220F8">
        <w:rPr>
          <w:rFonts w:ascii="Arial" w:hAnsi="Arial" w:cs="Arial"/>
          <w:sz w:val="24"/>
          <w:szCs w:val="24"/>
        </w:rPr>
        <w:t xml:space="preserve">The analysis further extends to the unique approach taken by the United States, where trust law varies significantly across states, and to the growing influence of trust principles in civil law jurisdictions. Finally, </w:t>
      </w:r>
      <w:r w:rsidR="004D30C6">
        <w:rPr>
          <w:rFonts w:ascii="Arial" w:hAnsi="Arial" w:cs="Arial"/>
          <w:sz w:val="24"/>
          <w:szCs w:val="24"/>
        </w:rPr>
        <w:t>we shall consider</w:t>
      </w:r>
      <w:r w:rsidRPr="00B220F8">
        <w:rPr>
          <w:rFonts w:ascii="Arial" w:hAnsi="Arial" w:cs="Arial"/>
          <w:sz w:val="24"/>
          <w:szCs w:val="24"/>
        </w:rPr>
        <w:t xml:space="preserve"> the role of the 1985 Hague Convention on the Law Applicable to Trusts and Their Recognition in establishing a framework for the cross-border application of trusts.</w:t>
      </w:r>
    </w:p>
    <w:p w14:paraId="2D2B154E" w14:textId="37220B69" w:rsidR="004E019E" w:rsidRDefault="004E019E" w:rsidP="006B2DC4">
      <w:pPr>
        <w:pStyle w:val="Paragrafoelenco"/>
        <w:ind w:left="1080"/>
        <w:rPr>
          <w:rFonts w:asciiTheme="minorBidi" w:hAnsiTheme="minorBidi"/>
          <w:b/>
          <w:bCs/>
          <w:u w:val="single"/>
        </w:rPr>
      </w:pPr>
    </w:p>
    <w:p w14:paraId="301C992E" w14:textId="77777777" w:rsidR="00CE3077" w:rsidRPr="00923D8E" w:rsidRDefault="00CE3077" w:rsidP="006B2DC4">
      <w:pPr>
        <w:pStyle w:val="Paragrafoelenco"/>
        <w:ind w:left="1080"/>
        <w:rPr>
          <w:rFonts w:asciiTheme="minorBidi" w:hAnsiTheme="minorBidi"/>
          <w:b/>
          <w:bCs/>
          <w:u w:val="single"/>
        </w:rPr>
      </w:pPr>
    </w:p>
    <w:p w14:paraId="04064F42" w14:textId="3E6A298F" w:rsidR="00436C57" w:rsidRPr="00437356" w:rsidRDefault="00436C57" w:rsidP="0071460D">
      <w:pPr>
        <w:pStyle w:val="Paragrafoelenco"/>
        <w:numPr>
          <w:ilvl w:val="0"/>
          <w:numId w:val="30"/>
        </w:numPr>
        <w:spacing w:after="240" w:line="240" w:lineRule="auto"/>
        <w:ind w:left="357" w:hanging="357"/>
        <w:rPr>
          <w:rFonts w:ascii="Arial" w:hAnsi="Arial" w:cs="Arial"/>
          <w:b/>
          <w:bCs/>
          <w:sz w:val="24"/>
          <w:szCs w:val="24"/>
        </w:rPr>
      </w:pPr>
      <w:bookmarkStart w:id="1" w:name="_Toc402265326"/>
      <w:r>
        <w:rPr>
          <w:rFonts w:ascii="Arial" w:hAnsi="Arial" w:cs="Arial"/>
          <w:b/>
          <w:bCs/>
          <w:sz w:val="24"/>
          <w:szCs w:val="24"/>
        </w:rPr>
        <w:t xml:space="preserve">The </w:t>
      </w:r>
      <w:r w:rsidR="005A2860" w:rsidRPr="005A2860">
        <w:rPr>
          <w:rFonts w:ascii="Arial" w:hAnsi="Arial" w:cs="Arial"/>
          <w:b/>
          <w:bCs/>
          <w:sz w:val="24"/>
          <w:szCs w:val="24"/>
        </w:rPr>
        <w:t>Law of Trusts Beyond England</w:t>
      </w:r>
    </w:p>
    <w:bookmarkEnd w:id="1"/>
    <w:p w14:paraId="51124174" w14:textId="77777777" w:rsidR="005A2860" w:rsidRPr="005A2860" w:rsidRDefault="004453A7" w:rsidP="005A2860">
      <w:pPr>
        <w:rPr>
          <w:rFonts w:asciiTheme="minorBidi" w:hAnsiTheme="minorBidi"/>
        </w:rPr>
      </w:pPr>
      <w:r w:rsidRPr="00923D8E">
        <w:rPr>
          <w:rFonts w:asciiTheme="minorBidi" w:hAnsiTheme="minorBidi"/>
        </w:rPr>
        <w:t xml:space="preserve">The </w:t>
      </w:r>
      <w:r w:rsidR="005A2860" w:rsidRPr="005A2860">
        <w:rPr>
          <w:rFonts w:asciiTheme="minorBidi" w:hAnsiTheme="minorBidi"/>
        </w:rPr>
        <w:t>English trust law applies in England and Wales. However, Scotland and Northern Ireland, despite being part of the United Kingdom, have distinct laws governing trusts.</w:t>
      </w:r>
    </w:p>
    <w:p w14:paraId="4465CDD1" w14:textId="77777777" w:rsidR="005A2860" w:rsidRPr="005A2860" w:rsidRDefault="005A2860" w:rsidP="005A2860">
      <w:pPr>
        <w:rPr>
          <w:rFonts w:asciiTheme="minorBidi" w:hAnsiTheme="minorBidi"/>
        </w:rPr>
      </w:pPr>
      <w:r w:rsidRPr="005A2860">
        <w:rPr>
          <w:rFonts w:asciiTheme="minorBidi" w:hAnsiTheme="minorBidi"/>
        </w:rPr>
        <w:t>The Isle of Man (acquired by the English Crown in 1765) has its own legal system, as do the Channel Islands (Jersey and Guernsey), which were once part of the Duchy of Normandy until its mainland territories were conquered by the King of France in 1204. These territories remain personal possessions of the Crown and have retained their customary legal traditions, which vary from Jersey to Guernsey.</w:t>
      </w:r>
    </w:p>
    <w:p w14:paraId="10959A21" w14:textId="20543432" w:rsidR="005A2860" w:rsidRPr="005A2860" w:rsidRDefault="005A2860" w:rsidP="005A2860">
      <w:pPr>
        <w:rPr>
          <w:rFonts w:asciiTheme="minorBidi" w:hAnsiTheme="minorBidi"/>
        </w:rPr>
      </w:pPr>
      <w:r w:rsidRPr="005A2860">
        <w:rPr>
          <w:rFonts w:asciiTheme="minorBidi" w:hAnsiTheme="minorBidi"/>
        </w:rPr>
        <w:t>Today, these jurisdictions are known as Crown dependencies.</w:t>
      </w:r>
      <w:r>
        <w:rPr>
          <w:rStyle w:val="Rimandonotaapidipagina"/>
          <w:rFonts w:asciiTheme="minorBidi" w:hAnsiTheme="minorBidi"/>
        </w:rPr>
        <w:footnoteReference w:id="1"/>
      </w:r>
      <w:r w:rsidRPr="005A2860">
        <w:rPr>
          <w:rFonts w:asciiTheme="minorBidi" w:hAnsiTheme="minorBidi"/>
        </w:rPr>
        <w:t xml:space="preserve"> The Queen (or King) serves as their Head of State, not in their capacity as monarch of the United Kingdom, but as Lord of Mann or Duke of Normandy, respectively.</w:t>
      </w:r>
    </w:p>
    <w:p w14:paraId="5646973D" w14:textId="77777777" w:rsidR="005A2860" w:rsidRPr="005A2860" w:rsidRDefault="005A2860" w:rsidP="005A2860">
      <w:pPr>
        <w:rPr>
          <w:rFonts w:asciiTheme="minorBidi" w:hAnsiTheme="minorBidi"/>
        </w:rPr>
      </w:pPr>
      <w:r w:rsidRPr="005A2860">
        <w:rPr>
          <w:rFonts w:asciiTheme="minorBidi" w:hAnsiTheme="minorBidi"/>
        </w:rPr>
        <w:t xml:space="preserve">Around the world when the British established a colony, it inherited the </w:t>
      </w:r>
      <w:proofErr w:type="spellStart"/>
      <w:r w:rsidRPr="005A2860">
        <w:rPr>
          <w:rFonts w:asciiTheme="minorBidi" w:hAnsiTheme="minorBidi"/>
        </w:rPr>
        <w:t>Englesh</w:t>
      </w:r>
      <w:proofErr w:type="spellEnd"/>
      <w:r w:rsidRPr="005A2860">
        <w:rPr>
          <w:rFonts w:asciiTheme="minorBidi" w:hAnsiTheme="minorBidi"/>
        </w:rPr>
        <w:t xml:space="preserve"> legal system as it existed at that time. Thereafter, its legal framework developed independently, unless specific legislation enacted by the London Parliament was intended to apply to the colonies.</w:t>
      </w:r>
    </w:p>
    <w:p w14:paraId="6D24E24A" w14:textId="77777777" w:rsidR="005A2860" w:rsidRPr="005A2860" w:rsidRDefault="005A2860" w:rsidP="005A2860">
      <w:pPr>
        <w:rPr>
          <w:rFonts w:asciiTheme="minorBidi" w:hAnsiTheme="minorBidi"/>
        </w:rPr>
      </w:pPr>
      <w:r w:rsidRPr="005A2860">
        <w:rPr>
          <w:rFonts w:asciiTheme="minorBidi" w:hAnsiTheme="minorBidi"/>
        </w:rPr>
        <w:t>This is why legislative provisions abolished in England have continued to exist elsewhere. For example, the Statute of Uses of 1535 was never repealed in certain North American colonies and, as a result, remains in force in some U.S. states to this day.</w:t>
      </w:r>
    </w:p>
    <w:p w14:paraId="3B0A16A3" w14:textId="77777777" w:rsidR="005A2860" w:rsidRPr="005A2860" w:rsidRDefault="005A2860" w:rsidP="005A2860">
      <w:pPr>
        <w:rPr>
          <w:rFonts w:asciiTheme="minorBidi" w:hAnsiTheme="minorBidi"/>
        </w:rPr>
      </w:pPr>
      <w:r w:rsidRPr="005A2860">
        <w:rPr>
          <w:rFonts w:asciiTheme="minorBidi" w:hAnsiTheme="minorBidi"/>
        </w:rPr>
        <w:t>Similarly, English legislative reforms not expressly extended to the colonies, leading to the preservation of earlier legal frameworks. Conversely, the colonies frequently enacted laws in areas not covered by English Law.</w:t>
      </w:r>
    </w:p>
    <w:p w14:paraId="0D133878" w14:textId="77777777" w:rsidR="005A2860" w:rsidRPr="005A2860" w:rsidRDefault="005A2860" w:rsidP="005A2860">
      <w:pPr>
        <w:rPr>
          <w:rFonts w:asciiTheme="minorBidi" w:hAnsiTheme="minorBidi"/>
        </w:rPr>
      </w:pPr>
      <w:r w:rsidRPr="005A2860">
        <w:rPr>
          <w:rFonts w:asciiTheme="minorBidi" w:hAnsiTheme="minorBidi"/>
        </w:rPr>
        <w:t>Nowadays the fourteen remaining British colonies are now known as British Overseas Territories. These include Anguilla, Bermuda, the Cayman Islands, Gibraltar, and the Turks and Caicos Islands.</w:t>
      </w:r>
    </w:p>
    <w:p w14:paraId="356A117C" w14:textId="77777777" w:rsidR="005A2860" w:rsidRPr="005A2860" w:rsidRDefault="005A2860" w:rsidP="005A2860">
      <w:pPr>
        <w:rPr>
          <w:rFonts w:asciiTheme="minorBidi" w:hAnsiTheme="minorBidi"/>
        </w:rPr>
      </w:pPr>
      <w:r w:rsidRPr="005A2860">
        <w:rPr>
          <w:rFonts w:asciiTheme="minorBidi" w:hAnsiTheme="minorBidi"/>
        </w:rPr>
        <w:t>The judicial evolution of the colonies and other Crown dependencies remained relatively limited for centuries, as they were all subject to a single final court based in London: the Privy Council. In some cases, this jurisdiction persisted for a significant period even after independence.</w:t>
      </w:r>
    </w:p>
    <w:p w14:paraId="412D9D3C" w14:textId="77777777" w:rsidR="005A2860" w:rsidRPr="005A2860" w:rsidRDefault="005A2860" w:rsidP="005A2860">
      <w:pPr>
        <w:rPr>
          <w:rFonts w:asciiTheme="minorBidi" w:hAnsiTheme="minorBidi"/>
        </w:rPr>
      </w:pPr>
      <w:r w:rsidRPr="005A2860">
        <w:rPr>
          <w:rFonts w:asciiTheme="minorBidi" w:hAnsiTheme="minorBidi"/>
        </w:rPr>
        <w:t>Technically, the Privy Council serves as an advisory body to the Queen or King and includes a Judicial Committee that issues opinions on appeals, applying the law of the country from which the case originates (The formal decision on appeals is rendered by the monarch).</w:t>
      </w:r>
    </w:p>
    <w:p w14:paraId="0DF5E2D0" w14:textId="77777777" w:rsidR="005A2860" w:rsidRPr="005A2860" w:rsidRDefault="005A2860" w:rsidP="005A2860">
      <w:pPr>
        <w:rPr>
          <w:rFonts w:asciiTheme="minorBidi" w:hAnsiTheme="minorBidi"/>
        </w:rPr>
      </w:pPr>
      <w:r w:rsidRPr="005A2860">
        <w:rPr>
          <w:rFonts w:asciiTheme="minorBidi" w:hAnsiTheme="minorBidi"/>
        </w:rPr>
        <w:t>Few examples: Canada remained under the jurisdiction of the Privy Council until 1949, Australia until 1986, and New Zealand until 2003.</w:t>
      </w:r>
    </w:p>
    <w:p w14:paraId="75E23331" w14:textId="3EBD509D" w:rsidR="004453A7" w:rsidRDefault="005A2860" w:rsidP="005A2860">
      <w:pPr>
        <w:rPr>
          <w:rFonts w:asciiTheme="minorBidi" w:hAnsiTheme="minorBidi"/>
        </w:rPr>
      </w:pPr>
      <w:r w:rsidRPr="005A2860">
        <w:rPr>
          <w:rFonts w:asciiTheme="minorBidi" w:hAnsiTheme="minorBidi"/>
        </w:rPr>
        <w:t xml:space="preserve">Since 2005, the member states of the Caribbean Community—which comprises fifteen Caribbean nations, some independent and others still British territories—have established </w:t>
      </w:r>
      <w:r w:rsidRPr="005A2860">
        <w:rPr>
          <w:rFonts w:asciiTheme="minorBidi" w:hAnsiTheme="minorBidi"/>
        </w:rPr>
        <w:lastRenderedPageBreak/>
        <w:t>their own final court of appeal, thereby abolishing the right to appeal to the Privy Council in civil matters.</w:t>
      </w:r>
      <w:r w:rsidR="004453A7" w:rsidRPr="00923D8E">
        <w:rPr>
          <w:rFonts w:asciiTheme="minorBidi" w:hAnsiTheme="minorBidi"/>
        </w:rPr>
        <w:t xml:space="preserve"> </w:t>
      </w:r>
    </w:p>
    <w:p w14:paraId="7FCA63E8" w14:textId="77777777" w:rsidR="005A2860" w:rsidRPr="00923D8E" w:rsidRDefault="005A2860" w:rsidP="005A2860">
      <w:pPr>
        <w:rPr>
          <w:rFonts w:asciiTheme="minorBidi" w:hAnsiTheme="minorBidi"/>
          <w:u w:val="single"/>
        </w:rPr>
      </w:pPr>
    </w:p>
    <w:p w14:paraId="284FF722" w14:textId="15F1BC09" w:rsidR="005A2860" w:rsidRPr="005A2860" w:rsidRDefault="005A2860" w:rsidP="005A2860">
      <w:pPr>
        <w:pStyle w:val="Paragrafoelenco"/>
        <w:numPr>
          <w:ilvl w:val="0"/>
          <w:numId w:val="30"/>
        </w:numPr>
        <w:spacing w:after="240" w:line="240" w:lineRule="auto"/>
        <w:ind w:left="357" w:hanging="357"/>
        <w:rPr>
          <w:rFonts w:ascii="Arial" w:hAnsi="Arial" w:cs="Arial"/>
          <w:b/>
          <w:bCs/>
          <w:sz w:val="24"/>
          <w:szCs w:val="24"/>
        </w:rPr>
      </w:pPr>
      <w:r w:rsidRPr="005A2860">
        <w:rPr>
          <w:rFonts w:ascii="Arial" w:hAnsi="Arial" w:cs="Arial"/>
          <w:b/>
          <w:bCs/>
          <w:sz w:val="24"/>
          <w:szCs w:val="24"/>
        </w:rPr>
        <w:t xml:space="preserve">The </w:t>
      </w:r>
      <w:r>
        <w:rPr>
          <w:rFonts w:ascii="Arial" w:hAnsi="Arial" w:cs="Arial"/>
          <w:b/>
          <w:bCs/>
          <w:sz w:val="24"/>
          <w:szCs w:val="24"/>
        </w:rPr>
        <w:t>“</w:t>
      </w:r>
      <w:r w:rsidRPr="005A2860">
        <w:rPr>
          <w:rFonts w:ascii="Arial" w:hAnsi="Arial" w:cs="Arial"/>
          <w:b/>
          <w:bCs/>
          <w:sz w:val="24"/>
          <w:szCs w:val="24"/>
        </w:rPr>
        <w:t xml:space="preserve">English </w:t>
      </w:r>
      <w:r>
        <w:rPr>
          <w:rFonts w:ascii="Arial" w:hAnsi="Arial" w:cs="Arial"/>
          <w:b/>
          <w:bCs/>
          <w:sz w:val="24"/>
          <w:szCs w:val="24"/>
        </w:rPr>
        <w:t>trust”</w:t>
      </w:r>
      <w:r w:rsidRPr="005A2860">
        <w:rPr>
          <w:rFonts w:ascii="Arial" w:hAnsi="Arial" w:cs="Arial"/>
          <w:b/>
          <w:bCs/>
          <w:sz w:val="24"/>
          <w:szCs w:val="24"/>
        </w:rPr>
        <w:t xml:space="preserve"> And The </w:t>
      </w:r>
      <w:r>
        <w:rPr>
          <w:rFonts w:ascii="Arial" w:hAnsi="Arial" w:cs="Arial"/>
          <w:b/>
          <w:bCs/>
          <w:sz w:val="24"/>
          <w:szCs w:val="24"/>
        </w:rPr>
        <w:t>“</w:t>
      </w:r>
      <w:r w:rsidRPr="005A2860">
        <w:rPr>
          <w:rFonts w:ascii="Arial" w:hAnsi="Arial" w:cs="Arial"/>
          <w:b/>
          <w:bCs/>
          <w:sz w:val="24"/>
          <w:szCs w:val="24"/>
        </w:rPr>
        <w:t xml:space="preserve">International </w:t>
      </w:r>
      <w:r>
        <w:rPr>
          <w:rFonts w:ascii="Arial" w:hAnsi="Arial" w:cs="Arial"/>
          <w:b/>
          <w:bCs/>
          <w:sz w:val="24"/>
          <w:szCs w:val="24"/>
        </w:rPr>
        <w:t>trust” or “Offshore trust”</w:t>
      </w:r>
    </w:p>
    <w:p w14:paraId="5568E079" w14:textId="04D2B9E8" w:rsidR="005A2860" w:rsidRPr="005A2860" w:rsidRDefault="005A2860" w:rsidP="005A2860">
      <w:pPr>
        <w:rPr>
          <w:rFonts w:ascii="Arial" w:hAnsi="Arial" w:cs="Arial"/>
        </w:rPr>
      </w:pPr>
      <w:r w:rsidRPr="005A2860">
        <w:rPr>
          <w:rFonts w:ascii="Arial" w:hAnsi="Arial" w:cs="Arial"/>
        </w:rPr>
        <w:t>Having considered the broader legal framework, we now turn to the law of trusts in more detail.</w:t>
      </w:r>
    </w:p>
    <w:p w14:paraId="33786B4F" w14:textId="1633E19F" w:rsidR="005A2860" w:rsidRPr="005A2860" w:rsidRDefault="005A2860" w:rsidP="005A2860">
      <w:pPr>
        <w:rPr>
          <w:rFonts w:ascii="Arial" w:hAnsi="Arial" w:cs="Arial"/>
        </w:rPr>
      </w:pPr>
      <w:r w:rsidRPr="005A2860">
        <w:rPr>
          <w:rFonts w:ascii="Arial" w:hAnsi="Arial" w:cs="Arial"/>
        </w:rPr>
        <w:t>Alongside the English law of trust, which is primarily derived from case law, there exists an ‘international model’ that is predominantly based on legislation. This international model</w:t>
      </w:r>
      <w:r>
        <w:rPr>
          <w:rFonts w:ascii="Arial" w:hAnsi="Arial" w:cs="Arial"/>
        </w:rPr>
        <w:t xml:space="preserve"> of trust (or offshore trust)</w:t>
      </w:r>
      <w:r w:rsidRPr="005A2860">
        <w:rPr>
          <w:rFonts w:ascii="Arial" w:hAnsi="Arial" w:cs="Arial"/>
        </w:rPr>
        <w:t xml:space="preserve"> is characterised by several common features and was initially designed primarily for use by foreign nationals.</w:t>
      </w:r>
    </w:p>
    <w:p w14:paraId="2DB97803" w14:textId="77777777" w:rsidR="005A2860" w:rsidRPr="005A2860" w:rsidRDefault="005A2860" w:rsidP="005A2860">
      <w:pPr>
        <w:rPr>
          <w:rFonts w:ascii="Arial" w:hAnsi="Arial" w:cs="Arial"/>
        </w:rPr>
      </w:pPr>
      <w:r w:rsidRPr="005A2860">
        <w:rPr>
          <w:rFonts w:ascii="Arial" w:hAnsi="Arial" w:cs="Arial"/>
        </w:rPr>
        <w:t>It emerged during the final two decades of the 20th century, initially taking root in colonies, former colonies, or Crown territories, many of which were actively engaged in the global phenomenon of offshore jurisdictions.</w:t>
      </w:r>
    </w:p>
    <w:p w14:paraId="3F3DDB6A" w14:textId="77777777" w:rsidR="005A2860" w:rsidRPr="005A2860" w:rsidRDefault="005A2860" w:rsidP="005A2860">
      <w:pPr>
        <w:rPr>
          <w:rFonts w:ascii="Arial" w:hAnsi="Arial" w:cs="Arial"/>
        </w:rPr>
      </w:pPr>
      <w:r w:rsidRPr="005A2860">
        <w:rPr>
          <w:rFonts w:ascii="Arial" w:hAnsi="Arial" w:cs="Arial"/>
        </w:rPr>
        <w:t>This trend later expanded and now encompasses also civil law countries, Islamic law jurisdictions, and mixed legal systems.</w:t>
      </w:r>
    </w:p>
    <w:p w14:paraId="4317408F" w14:textId="77777777" w:rsidR="005A2860" w:rsidRPr="005A2860" w:rsidRDefault="005A2860" w:rsidP="005A2860">
      <w:pPr>
        <w:rPr>
          <w:rFonts w:ascii="Arial" w:hAnsi="Arial" w:cs="Arial"/>
        </w:rPr>
      </w:pPr>
      <w:r w:rsidRPr="005A2860">
        <w:rPr>
          <w:rFonts w:ascii="Arial" w:hAnsi="Arial" w:cs="Arial"/>
        </w:rPr>
        <w:t>Among the civil law countries that have adopted this model are Malta and San Marino, while Dubai and Bahrain are examples of Islamic law jurisdictions that have integrated trusts.</w:t>
      </w:r>
    </w:p>
    <w:p w14:paraId="6E1479A0" w14:textId="77777777" w:rsidR="005A2860" w:rsidRPr="005A2860" w:rsidRDefault="005A2860" w:rsidP="005A2860">
      <w:pPr>
        <w:rPr>
          <w:rFonts w:ascii="Arial" w:hAnsi="Arial" w:cs="Arial"/>
        </w:rPr>
      </w:pPr>
      <w:r w:rsidRPr="005A2860">
        <w:rPr>
          <w:rFonts w:ascii="Arial" w:hAnsi="Arial" w:cs="Arial"/>
        </w:rPr>
        <w:t>The reasons which lead to the development of various trust laws in offshore jurisdictions are:</w:t>
      </w:r>
    </w:p>
    <w:p w14:paraId="228ADA80" w14:textId="77777777" w:rsidR="005A2860" w:rsidRPr="005A2860" w:rsidRDefault="005A2860" w:rsidP="005A2860">
      <w:pPr>
        <w:rPr>
          <w:rFonts w:ascii="Arial" w:hAnsi="Arial" w:cs="Arial"/>
        </w:rPr>
      </w:pPr>
      <w:r w:rsidRPr="005A2860">
        <w:rPr>
          <w:rFonts w:ascii="Arial" w:hAnsi="Arial" w:cs="Arial"/>
        </w:rPr>
        <w:t>•</w:t>
      </w:r>
      <w:r w:rsidRPr="005A2860">
        <w:rPr>
          <w:rFonts w:ascii="Arial" w:hAnsi="Arial" w:cs="Arial"/>
        </w:rPr>
        <w:tab/>
        <w:t>The inadequacy or lack of clarity in certain principles of English case law;</w:t>
      </w:r>
    </w:p>
    <w:p w14:paraId="43ED1F37" w14:textId="77777777" w:rsidR="005A2860" w:rsidRPr="005A2860" w:rsidRDefault="005A2860" w:rsidP="005A2860">
      <w:pPr>
        <w:rPr>
          <w:rFonts w:ascii="Arial" w:hAnsi="Arial" w:cs="Arial"/>
        </w:rPr>
      </w:pPr>
      <w:r w:rsidRPr="005A2860">
        <w:rPr>
          <w:rFonts w:ascii="Arial" w:hAnsi="Arial" w:cs="Arial"/>
        </w:rPr>
        <w:t>•</w:t>
      </w:r>
      <w:r w:rsidRPr="005A2860">
        <w:rPr>
          <w:rFonts w:ascii="Arial" w:hAnsi="Arial" w:cs="Arial"/>
        </w:rPr>
        <w:tab/>
        <w:t>Identified gaps within English law;</w:t>
      </w:r>
    </w:p>
    <w:p w14:paraId="7AD35C17" w14:textId="77777777" w:rsidR="005A2860" w:rsidRPr="005A2860" w:rsidRDefault="005A2860" w:rsidP="005A2860">
      <w:pPr>
        <w:rPr>
          <w:rFonts w:ascii="Arial" w:hAnsi="Arial" w:cs="Arial"/>
        </w:rPr>
      </w:pPr>
      <w:r w:rsidRPr="005A2860">
        <w:rPr>
          <w:rFonts w:ascii="Arial" w:hAnsi="Arial" w:cs="Arial"/>
        </w:rPr>
        <w:t>•</w:t>
      </w:r>
      <w:r w:rsidRPr="005A2860">
        <w:rPr>
          <w:rFonts w:ascii="Arial" w:hAnsi="Arial" w:cs="Arial"/>
        </w:rPr>
        <w:tab/>
        <w:t>English legal rules that had become outdated in relation to contemporary society, modern trust applications, and the needs of an international clientele.</w:t>
      </w:r>
    </w:p>
    <w:p w14:paraId="1980D9C4" w14:textId="77777777" w:rsidR="005A2860" w:rsidRPr="005A2860" w:rsidRDefault="005A2860" w:rsidP="005A2860">
      <w:pPr>
        <w:rPr>
          <w:rFonts w:ascii="Arial" w:hAnsi="Arial" w:cs="Arial"/>
        </w:rPr>
      </w:pPr>
      <w:r w:rsidRPr="005A2860">
        <w:rPr>
          <w:rFonts w:ascii="Arial" w:hAnsi="Arial" w:cs="Arial"/>
        </w:rPr>
        <w:t>The (statute) laws enacted within the framework of this ‘movement’ present numerous similar solutions. For example:</w:t>
      </w:r>
    </w:p>
    <w:p w14:paraId="7F2EEDF8" w14:textId="77777777" w:rsidR="005A2860" w:rsidRPr="005A2860" w:rsidRDefault="005A2860" w:rsidP="005A2860">
      <w:pPr>
        <w:rPr>
          <w:rFonts w:ascii="Arial" w:hAnsi="Arial" w:cs="Arial"/>
        </w:rPr>
      </w:pPr>
      <w:r w:rsidRPr="005A2860">
        <w:rPr>
          <w:rFonts w:ascii="Arial" w:hAnsi="Arial" w:cs="Arial"/>
        </w:rPr>
        <w:t>•</w:t>
      </w:r>
      <w:r w:rsidRPr="005A2860">
        <w:rPr>
          <w:rFonts w:ascii="Arial" w:hAnsi="Arial" w:cs="Arial"/>
        </w:rPr>
        <w:tab/>
        <w:t>The limitation of the trustee’s liability to the trust fund;</w:t>
      </w:r>
    </w:p>
    <w:p w14:paraId="466C4505" w14:textId="77777777" w:rsidR="005A2860" w:rsidRPr="005A2860" w:rsidRDefault="005A2860" w:rsidP="005A2860">
      <w:pPr>
        <w:rPr>
          <w:rFonts w:ascii="Arial" w:hAnsi="Arial" w:cs="Arial"/>
        </w:rPr>
      </w:pPr>
      <w:r w:rsidRPr="005A2860">
        <w:rPr>
          <w:rFonts w:ascii="Arial" w:hAnsi="Arial" w:cs="Arial"/>
        </w:rPr>
        <w:t>•</w:t>
      </w:r>
      <w:r w:rsidRPr="005A2860">
        <w:rPr>
          <w:rFonts w:ascii="Arial" w:hAnsi="Arial" w:cs="Arial"/>
        </w:rPr>
        <w:tab/>
        <w:t>The powers considered by the settlor or delegated to individuals other than the trustee;</w:t>
      </w:r>
    </w:p>
    <w:p w14:paraId="42A0A975" w14:textId="77777777" w:rsidR="005A2860" w:rsidRPr="005A2860" w:rsidRDefault="005A2860" w:rsidP="005A2860">
      <w:pPr>
        <w:rPr>
          <w:rFonts w:ascii="Arial" w:hAnsi="Arial" w:cs="Arial"/>
        </w:rPr>
      </w:pPr>
      <w:r w:rsidRPr="005A2860">
        <w:rPr>
          <w:rFonts w:ascii="Arial" w:hAnsi="Arial" w:cs="Arial"/>
        </w:rPr>
        <w:t>•</w:t>
      </w:r>
      <w:r w:rsidRPr="005A2860">
        <w:rPr>
          <w:rFonts w:ascii="Arial" w:hAnsi="Arial" w:cs="Arial"/>
        </w:rPr>
        <w:tab/>
        <w:t>The extension of the "protective trust" to the beneficiaries' rights over the trust capital;</w:t>
      </w:r>
    </w:p>
    <w:p w14:paraId="2891C2C6" w14:textId="77777777" w:rsidR="005A2860" w:rsidRPr="005A2860" w:rsidRDefault="005A2860" w:rsidP="005A2860">
      <w:pPr>
        <w:rPr>
          <w:rFonts w:ascii="Arial" w:hAnsi="Arial" w:cs="Arial"/>
        </w:rPr>
      </w:pPr>
      <w:r w:rsidRPr="005A2860">
        <w:rPr>
          <w:rFonts w:ascii="Arial" w:hAnsi="Arial" w:cs="Arial"/>
        </w:rPr>
        <w:t>•</w:t>
      </w:r>
      <w:r w:rsidRPr="005A2860">
        <w:rPr>
          <w:rFonts w:ascii="Arial" w:hAnsi="Arial" w:cs="Arial"/>
        </w:rPr>
        <w:tab/>
        <w:t>The legalization of purpose trusts;</w:t>
      </w:r>
    </w:p>
    <w:p w14:paraId="7AE9F487" w14:textId="77777777" w:rsidR="005A2860" w:rsidRPr="005A2860" w:rsidRDefault="005A2860" w:rsidP="005A2860">
      <w:pPr>
        <w:rPr>
          <w:rFonts w:ascii="Arial" w:hAnsi="Arial" w:cs="Arial"/>
        </w:rPr>
      </w:pPr>
      <w:r w:rsidRPr="005A2860">
        <w:rPr>
          <w:rFonts w:ascii="Arial" w:hAnsi="Arial" w:cs="Arial"/>
        </w:rPr>
        <w:t>•</w:t>
      </w:r>
      <w:r w:rsidRPr="005A2860">
        <w:rPr>
          <w:rFonts w:ascii="Arial" w:hAnsi="Arial" w:cs="Arial"/>
        </w:rPr>
        <w:tab/>
        <w:t>The limitations on the application of foreign laws in matters of succession and creditor protection;</w:t>
      </w:r>
    </w:p>
    <w:p w14:paraId="7C56CDA2" w14:textId="7D5B1BD3" w:rsidR="005A2860" w:rsidRPr="005A2860" w:rsidRDefault="005A2860" w:rsidP="005A2860">
      <w:pPr>
        <w:rPr>
          <w:rFonts w:ascii="Arial" w:hAnsi="Arial" w:cs="Arial"/>
        </w:rPr>
      </w:pPr>
      <w:r w:rsidRPr="005A2860">
        <w:rPr>
          <w:rFonts w:ascii="Arial" w:hAnsi="Arial" w:cs="Arial"/>
        </w:rPr>
        <w:t>•</w:t>
      </w:r>
      <w:r w:rsidRPr="005A2860">
        <w:rPr>
          <w:rFonts w:ascii="Arial" w:hAnsi="Arial" w:cs="Arial"/>
        </w:rPr>
        <w:tab/>
        <w:t>The role of ‘</w:t>
      </w:r>
      <w:r w:rsidRPr="005A2860">
        <w:rPr>
          <w:rFonts w:ascii="Arial" w:hAnsi="Arial" w:cs="Arial"/>
        </w:rPr>
        <w:t>protectors</w:t>
      </w:r>
      <w:r w:rsidRPr="005A2860">
        <w:rPr>
          <w:rFonts w:ascii="Arial" w:hAnsi="Arial" w:cs="Arial"/>
        </w:rPr>
        <w:t>’;</w:t>
      </w:r>
    </w:p>
    <w:p w14:paraId="291BC3F4" w14:textId="77777777" w:rsidR="005A2860" w:rsidRPr="005A2860" w:rsidRDefault="005A2860" w:rsidP="005A2860">
      <w:pPr>
        <w:rPr>
          <w:rFonts w:ascii="Arial" w:hAnsi="Arial" w:cs="Arial"/>
        </w:rPr>
      </w:pPr>
      <w:r w:rsidRPr="005A2860">
        <w:rPr>
          <w:rFonts w:ascii="Arial" w:hAnsi="Arial" w:cs="Arial"/>
        </w:rPr>
        <w:t>•</w:t>
      </w:r>
      <w:r w:rsidRPr="005A2860">
        <w:rPr>
          <w:rFonts w:ascii="Arial" w:hAnsi="Arial" w:cs="Arial"/>
        </w:rPr>
        <w:tab/>
        <w:t>The registration of trusts;</w:t>
      </w:r>
    </w:p>
    <w:p w14:paraId="2939241C" w14:textId="77777777" w:rsidR="005A2860" w:rsidRPr="005A2860" w:rsidRDefault="005A2860" w:rsidP="005A2860">
      <w:pPr>
        <w:rPr>
          <w:rFonts w:ascii="Arial" w:hAnsi="Arial" w:cs="Arial"/>
        </w:rPr>
      </w:pPr>
      <w:r w:rsidRPr="005A2860">
        <w:rPr>
          <w:rFonts w:ascii="Arial" w:hAnsi="Arial" w:cs="Arial"/>
        </w:rPr>
        <w:t>•</w:t>
      </w:r>
      <w:r w:rsidRPr="005A2860">
        <w:rPr>
          <w:rFonts w:ascii="Arial" w:hAnsi="Arial" w:cs="Arial"/>
        </w:rPr>
        <w:tab/>
        <w:t>The duration of trusts;</w:t>
      </w:r>
    </w:p>
    <w:p w14:paraId="102B100E" w14:textId="77777777" w:rsidR="005A2860" w:rsidRPr="005A2860" w:rsidRDefault="005A2860" w:rsidP="005A2860">
      <w:pPr>
        <w:rPr>
          <w:rFonts w:ascii="Arial" w:hAnsi="Arial" w:cs="Arial"/>
        </w:rPr>
      </w:pPr>
      <w:r w:rsidRPr="005A2860">
        <w:rPr>
          <w:rFonts w:ascii="Arial" w:hAnsi="Arial" w:cs="Arial"/>
        </w:rPr>
        <w:t>•</w:t>
      </w:r>
      <w:r w:rsidRPr="005A2860">
        <w:rPr>
          <w:rFonts w:ascii="Arial" w:hAnsi="Arial" w:cs="Arial"/>
        </w:rPr>
        <w:tab/>
        <w:t>Confidentiality;</w:t>
      </w:r>
    </w:p>
    <w:p w14:paraId="5F13A04E" w14:textId="77777777" w:rsidR="005A2860" w:rsidRPr="005A2860" w:rsidRDefault="005A2860" w:rsidP="005A2860">
      <w:pPr>
        <w:rPr>
          <w:rFonts w:ascii="Arial" w:hAnsi="Arial" w:cs="Arial"/>
        </w:rPr>
      </w:pPr>
      <w:r w:rsidRPr="005A2860">
        <w:rPr>
          <w:rFonts w:ascii="Arial" w:hAnsi="Arial" w:cs="Arial"/>
        </w:rPr>
        <w:lastRenderedPageBreak/>
        <w:t>•</w:t>
      </w:r>
      <w:r w:rsidRPr="005A2860">
        <w:rPr>
          <w:rFonts w:ascii="Arial" w:hAnsi="Arial" w:cs="Arial"/>
        </w:rPr>
        <w:tab/>
        <w:t>The residence of the trustee, or a trustee, in the jurisdiction;</w:t>
      </w:r>
    </w:p>
    <w:p w14:paraId="0EF9CB85" w14:textId="77777777" w:rsidR="005A2860" w:rsidRPr="005A2860" w:rsidRDefault="005A2860" w:rsidP="005A2860">
      <w:pPr>
        <w:rPr>
          <w:rFonts w:ascii="Arial" w:hAnsi="Arial" w:cs="Arial"/>
        </w:rPr>
      </w:pPr>
      <w:r w:rsidRPr="005A2860">
        <w:rPr>
          <w:rFonts w:ascii="Arial" w:hAnsi="Arial" w:cs="Arial"/>
        </w:rPr>
        <w:t>•</w:t>
      </w:r>
      <w:r w:rsidRPr="005A2860">
        <w:rPr>
          <w:rFonts w:ascii="Arial" w:hAnsi="Arial" w:cs="Arial"/>
        </w:rPr>
        <w:tab/>
        <w:t>The requirement for a licence to undertake the professional activity of a trustee.</w:t>
      </w:r>
    </w:p>
    <w:p w14:paraId="31D0BE21" w14:textId="1F975D10" w:rsidR="005A2860" w:rsidRPr="005A2860" w:rsidRDefault="005A2860" w:rsidP="005A2860">
      <w:pPr>
        <w:rPr>
          <w:rFonts w:asciiTheme="minorBidi" w:hAnsiTheme="minorBidi"/>
          <w:i/>
          <w:u w:val="single"/>
          <w:lang w:val="en-US"/>
        </w:rPr>
      </w:pPr>
      <w:r w:rsidRPr="005A2860">
        <w:rPr>
          <w:rFonts w:ascii="Arial" w:hAnsi="Arial" w:cs="Arial"/>
        </w:rPr>
        <w:t>English law, recently, has recognised the need to adopt certain solutions from this trend. Thus, in matters of trustee delegation, trustee remuneration, investments that the trustee may make, the duration, and the duration</w:t>
      </w:r>
      <w:r>
        <w:rPr>
          <w:rFonts w:ascii="Arial" w:hAnsi="Arial" w:cs="Arial"/>
        </w:rPr>
        <w:t xml:space="preserve"> </w:t>
      </w:r>
      <w:r w:rsidRPr="005A2860">
        <w:rPr>
          <w:rFonts w:ascii="Arial" w:hAnsi="Arial" w:cs="Arial"/>
        </w:rPr>
        <w:t>of the income accumulation period.</w:t>
      </w:r>
      <w:r>
        <w:rPr>
          <w:rStyle w:val="Rimandonotaapidipagina"/>
          <w:rFonts w:ascii="Arial" w:hAnsi="Arial" w:cs="Arial"/>
        </w:rPr>
        <w:footnoteReference w:id="2"/>
      </w:r>
    </w:p>
    <w:p w14:paraId="0EC2B145" w14:textId="77777777" w:rsidR="005A2860" w:rsidRDefault="005A2860" w:rsidP="004453A7">
      <w:pPr>
        <w:rPr>
          <w:rFonts w:asciiTheme="minorBidi" w:hAnsiTheme="minorBidi"/>
        </w:rPr>
      </w:pPr>
    </w:p>
    <w:p w14:paraId="0CD277C0" w14:textId="7112C51C" w:rsidR="005A2860" w:rsidRPr="005A2860" w:rsidRDefault="005A2860" w:rsidP="005A2860">
      <w:pPr>
        <w:pStyle w:val="Paragrafoelenco"/>
        <w:numPr>
          <w:ilvl w:val="0"/>
          <w:numId w:val="30"/>
        </w:numPr>
        <w:spacing w:after="240" w:line="240" w:lineRule="auto"/>
        <w:ind w:left="357" w:hanging="357"/>
        <w:rPr>
          <w:rFonts w:ascii="Arial" w:hAnsi="Arial" w:cs="Arial"/>
          <w:b/>
          <w:bCs/>
          <w:sz w:val="24"/>
          <w:szCs w:val="24"/>
        </w:rPr>
      </w:pPr>
      <w:r>
        <w:rPr>
          <w:rFonts w:ascii="Arial" w:hAnsi="Arial" w:cs="Arial"/>
          <w:b/>
          <w:bCs/>
          <w:sz w:val="24"/>
          <w:szCs w:val="24"/>
        </w:rPr>
        <w:t>“</w:t>
      </w:r>
      <w:r w:rsidRPr="005A2860">
        <w:rPr>
          <w:rFonts w:ascii="Arial" w:hAnsi="Arial" w:cs="Arial"/>
          <w:b/>
          <w:bCs/>
          <w:sz w:val="24"/>
          <w:szCs w:val="24"/>
        </w:rPr>
        <w:t xml:space="preserve">International </w:t>
      </w:r>
      <w:r>
        <w:rPr>
          <w:rFonts w:ascii="Arial" w:hAnsi="Arial" w:cs="Arial"/>
          <w:b/>
          <w:bCs/>
          <w:sz w:val="24"/>
          <w:szCs w:val="24"/>
        </w:rPr>
        <w:t>trust</w:t>
      </w:r>
      <w:r>
        <w:rPr>
          <w:rFonts w:ascii="Arial" w:hAnsi="Arial" w:cs="Arial"/>
          <w:b/>
          <w:bCs/>
          <w:sz w:val="24"/>
          <w:szCs w:val="24"/>
        </w:rPr>
        <w:t>s</w:t>
      </w:r>
      <w:r>
        <w:rPr>
          <w:rFonts w:ascii="Arial" w:hAnsi="Arial" w:cs="Arial"/>
          <w:b/>
          <w:bCs/>
          <w:sz w:val="24"/>
          <w:szCs w:val="24"/>
        </w:rPr>
        <w:t>”</w:t>
      </w:r>
      <w:r>
        <w:rPr>
          <w:rFonts w:ascii="Arial" w:hAnsi="Arial" w:cs="Arial"/>
          <w:b/>
          <w:bCs/>
          <w:sz w:val="24"/>
          <w:szCs w:val="24"/>
        </w:rPr>
        <w:t xml:space="preserve"> evolution</w:t>
      </w:r>
    </w:p>
    <w:p w14:paraId="42100F73" w14:textId="42CEAD5E" w:rsidR="005A2860" w:rsidRDefault="005A2860" w:rsidP="005A2860">
      <w:pPr>
        <w:rPr>
          <w:rFonts w:asciiTheme="minorBidi" w:hAnsiTheme="minorBidi"/>
        </w:rPr>
      </w:pPr>
      <w:r w:rsidRPr="005A2860">
        <w:rPr>
          <w:rFonts w:ascii="Arial" w:hAnsi="Arial" w:cs="Arial"/>
        </w:rPr>
        <w:t>Some legal systems have been more active than others in keeping up to date and, therefore, have revised their trust laws to meet the needs that emerged from practice, or more accurately, to better correspond to the demands of investors</w:t>
      </w:r>
      <w:r>
        <w:rPr>
          <w:rFonts w:ascii="Arial" w:hAnsi="Arial" w:cs="Arial"/>
        </w:rPr>
        <w:t>.</w:t>
      </w:r>
      <w:r>
        <w:rPr>
          <w:rStyle w:val="Rimandonotaapidipagina"/>
          <w:rFonts w:ascii="Arial" w:hAnsi="Arial" w:cs="Arial"/>
        </w:rPr>
        <w:footnoteReference w:id="3"/>
      </w:r>
    </w:p>
    <w:p w14:paraId="0E5E019E" w14:textId="28C048CE" w:rsidR="005A2860" w:rsidRPr="005A2860" w:rsidRDefault="005A2860" w:rsidP="005A2860">
      <w:pPr>
        <w:rPr>
          <w:rFonts w:asciiTheme="minorBidi" w:hAnsiTheme="minorBidi"/>
        </w:rPr>
      </w:pPr>
      <w:r w:rsidRPr="005A2860">
        <w:rPr>
          <w:rFonts w:asciiTheme="minorBidi" w:hAnsiTheme="minorBidi"/>
        </w:rPr>
        <w:t xml:space="preserve">This has led to a clear competition among the offshore </w:t>
      </w:r>
      <w:r w:rsidR="00221F93" w:rsidRPr="005A2860">
        <w:rPr>
          <w:rFonts w:asciiTheme="minorBidi" w:hAnsiTheme="minorBidi"/>
        </w:rPr>
        <w:t>jurisdictions</w:t>
      </w:r>
      <w:r w:rsidRPr="005A2860">
        <w:rPr>
          <w:rFonts w:asciiTheme="minorBidi" w:hAnsiTheme="minorBidi"/>
        </w:rPr>
        <w:t>.</w:t>
      </w:r>
    </w:p>
    <w:p w14:paraId="4A64F53B" w14:textId="42BA4827" w:rsidR="005A2860" w:rsidRPr="005A2860" w:rsidRDefault="005A2860" w:rsidP="005A2860">
      <w:pPr>
        <w:rPr>
          <w:rFonts w:asciiTheme="minorBidi" w:hAnsiTheme="minorBidi"/>
        </w:rPr>
      </w:pPr>
      <w:r w:rsidRPr="005A2860">
        <w:rPr>
          <w:rFonts w:asciiTheme="minorBidi" w:hAnsiTheme="minorBidi"/>
        </w:rPr>
        <w:t>The unity of the offshore trusts or the ‘international model’ has been called into question.</w:t>
      </w:r>
    </w:p>
    <w:p w14:paraId="652DB294" w14:textId="5D4372A7" w:rsidR="005A2860" w:rsidRPr="005A2860" w:rsidRDefault="005A2860" w:rsidP="005A2860">
      <w:pPr>
        <w:rPr>
          <w:rFonts w:asciiTheme="minorBidi" w:hAnsiTheme="minorBidi"/>
        </w:rPr>
      </w:pPr>
      <w:r w:rsidRPr="005A2860">
        <w:rPr>
          <w:rFonts w:asciiTheme="minorBidi" w:hAnsiTheme="minorBidi"/>
        </w:rPr>
        <w:t>The judicial evolution of legal systems within the international model has demonstrated a notable ‘dialogue’</w:t>
      </w:r>
      <w:r>
        <w:rPr>
          <w:rStyle w:val="Rimandonotaapidipagina"/>
          <w:rFonts w:asciiTheme="minorBidi" w:hAnsiTheme="minorBidi"/>
        </w:rPr>
        <w:footnoteReference w:id="4"/>
      </w:r>
      <w:r w:rsidRPr="005A2860">
        <w:rPr>
          <w:rFonts w:asciiTheme="minorBidi" w:hAnsiTheme="minorBidi"/>
        </w:rPr>
        <w:t xml:space="preserve"> with English law, with judgements from jurisdictions such as Jersey and the Cayman Islands being adopted by English case-law. Conversely, English rules have frequently been adopted by offshore jurisdictions, as the application of their laws highlighted gaps that needed to be addressed.</w:t>
      </w:r>
    </w:p>
    <w:p w14:paraId="659F1FA7" w14:textId="77777777" w:rsidR="009C2849" w:rsidRDefault="005A2860" w:rsidP="005A2860">
      <w:pPr>
        <w:rPr>
          <w:rFonts w:asciiTheme="minorBidi" w:hAnsiTheme="minorBidi"/>
        </w:rPr>
      </w:pPr>
      <w:r w:rsidRPr="005A2860">
        <w:rPr>
          <w:rFonts w:asciiTheme="minorBidi" w:hAnsiTheme="minorBidi"/>
        </w:rPr>
        <w:t>The reciprocal judicial influence is particularly strong within the Commonwealth,</w:t>
      </w:r>
      <w:r>
        <w:rPr>
          <w:rStyle w:val="Rimandonotaapidipagina"/>
          <w:rFonts w:asciiTheme="minorBidi" w:hAnsiTheme="minorBidi"/>
        </w:rPr>
        <w:footnoteReference w:id="5"/>
      </w:r>
      <w:r w:rsidRPr="005A2860">
        <w:rPr>
          <w:rFonts w:asciiTheme="minorBidi" w:hAnsiTheme="minorBidi"/>
        </w:rPr>
        <w:t xml:space="preserve"> as well as in the colonies and territories dependent on the Crown. Additionally, smaller jurisdictions often appoint judges from England, typically on a temporary basis and on trust related matters, thereby gaining access to a wealth of judicial expertise.</w:t>
      </w:r>
    </w:p>
    <w:p w14:paraId="586E7518" w14:textId="6BBA5015" w:rsidR="005A2860" w:rsidRDefault="005A2860" w:rsidP="005A2860">
      <w:pPr>
        <w:rPr>
          <w:rFonts w:asciiTheme="minorBidi" w:hAnsiTheme="minorBidi"/>
        </w:rPr>
      </w:pPr>
      <w:r w:rsidRPr="005A2860">
        <w:rPr>
          <w:rFonts w:asciiTheme="minorBidi" w:hAnsiTheme="minorBidi"/>
        </w:rPr>
        <w:t>This does not imply that the same dispute would necessarily be resolved in the same way in England and in a</w:t>
      </w:r>
      <w:r w:rsidR="00221F93">
        <w:rPr>
          <w:rFonts w:asciiTheme="minorBidi" w:hAnsiTheme="minorBidi"/>
        </w:rPr>
        <w:t>n</w:t>
      </w:r>
      <w:r w:rsidRPr="005A2860">
        <w:rPr>
          <w:rFonts w:asciiTheme="minorBidi" w:hAnsiTheme="minorBidi"/>
        </w:rPr>
        <w:t xml:space="preserve"> offshore jurisdiction, even in those closest to England. On more than one occasion, the judge in Jersey has emphasised the differences between trust law in Jersey and in England.</w:t>
      </w:r>
      <w:r>
        <w:rPr>
          <w:rStyle w:val="Rimandonotaapidipagina"/>
          <w:rFonts w:asciiTheme="minorBidi" w:hAnsiTheme="minorBidi"/>
        </w:rPr>
        <w:footnoteReference w:id="6"/>
      </w:r>
    </w:p>
    <w:p w14:paraId="1B969E81" w14:textId="77777777" w:rsidR="00221F93" w:rsidRDefault="00221F93" w:rsidP="005A2860">
      <w:pPr>
        <w:rPr>
          <w:rFonts w:asciiTheme="minorBidi" w:hAnsiTheme="minorBidi"/>
        </w:rPr>
      </w:pPr>
    </w:p>
    <w:p w14:paraId="4FFB9437" w14:textId="49EBD62A" w:rsidR="00221F93" w:rsidRPr="005A2860" w:rsidRDefault="00221F93" w:rsidP="00221F93">
      <w:pPr>
        <w:pStyle w:val="Paragrafoelenco"/>
        <w:numPr>
          <w:ilvl w:val="0"/>
          <w:numId w:val="30"/>
        </w:numPr>
        <w:spacing w:after="240" w:line="240" w:lineRule="auto"/>
        <w:ind w:left="357" w:hanging="357"/>
        <w:rPr>
          <w:rFonts w:ascii="Arial" w:hAnsi="Arial" w:cs="Arial"/>
          <w:b/>
          <w:bCs/>
          <w:sz w:val="24"/>
          <w:szCs w:val="24"/>
        </w:rPr>
      </w:pPr>
      <w:r>
        <w:rPr>
          <w:rFonts w:ascii="Arial" w:hAnsi="Arial" w:cs="Arial"/>
          <w:b/>
          <w:bCs/>
          <w:sz w:val="24"/>
          <w:szCs w:val="24"/>
        </w:rPr>
        <w:lastRenderedPageBreak/>
        <w:t>Trusts in the U.S.A.</w:t>
      </w:r>
    </w:p>
    <w:p w14:paraId="12D19D4D" w14:textId="49B26FE3" w:rsidR="00221F93" w:rsidRPr="00221F93" w:rsidRDefault="00221F93" w:rsidP="00221F93">
      <w:pPr>
        <w:rPr>
          <w:rFonts w:ascii="Arial" w:hAnsi="Arial" w:cs="Arial"/>
        </w:rPr>
      </w:pPr>
      <w:r w:rsidRPr="00221F93">
        <w:rPr>
          <w:rFonts w:ascii="Arial" w:hAnsi="Arial" w:cs="Arial"/>
        </w:rPr>
        <w:t>As previously mentioned, English trust law was brought to the early territories of the United States by the colonists and later extended to the Canadian, Australian, and New Zealand colonies.</w:t>
      </w:r>
    </w:p>
    <w:p w14:paraId="0E8C4A20" w14:textId="77777777" w:rsidR="00221F93" w:rsidRPr="00221F93" w:rsidRDefault="00221F93" w:rsidP="00221F93">
      <w:pPr>
        <w:rPr>
          <w:rFonts w:ascii="Arial" w:hAnsi="Arial" w:cs="Arial"/>
        </w:rPr>
      </w:pPr>
      <w:r w:rsidRPr="00221F93">
        <w:rPr>
          <w:rFonts w:ascii="Arial" w:hAnsi="Arial" w:cs="Arial"/>
        </w:rPr>
        <w:t>In the United States, as in Australia and Canada, trusts are not under federal jurisdiction; therefore, each state or province within these federations has its own trust law, which has developed along lines distinct from the original English system. It is also important to note that the majority of current U.S. states were not originally English colonies.</w:t>
      </w:r>
    </w:p>
    <w:p w14:paraId="3704551D" w14:textId="4BA70D76" w:rsidR="00221F93" w:rsidRPr="00221F93" w:rsidRDefault="00221F93" w:rsidP="00221F93">
      <w:pPr>
        <w:rPr>
          <w:rFonts w:ascii="Arial" w:hAnsi="Arial" w:cs="Arial"/>
        </w:rPr>
      </w:pPr>
      <w:r w:rsidRPr="00221F93">
        <w:rPr>
          <w:rFonts w:ascii="Arial" w:hAnsi="Arial" w:cs="Arial"/>
        </w:rPr>
        <w:t>In principle, it should not be assumed that a trust governed by the law of a U.S. state will be administered in the same manner as one governed by English law, as there are numerous points of difference. Furthermore, again, there is no unified "U.S. trust law" as such, since each state has its own distinct trust law.</w:t>
      </w:r>
      <w:r>
        <w:rPr>
          <w:rStyle w:val="Rimandonotaapidipagina"/>
          <w:rFonts w:ascii="Arial" w:hAnsi="Arial" w:cs="Arial"/>
        </w:rPr>
        <w:footnoteReference w:id="7"/>
      </w:r>
    </w:p>
    <w:p w14:paraId="3C4208CF" w14:textId="77777777" w:rsidR="00221F93" w:rsidRPr="00221F93" w:rsidRDefault="00221F93" w:rsidP="00221F93">
      <w:pPr>
        <w:rPr>
          <w:rFonts w:ascii="Arial" w:hAnsi="Arial" w:cs="Arial"/>
        </w:rPr>
      </w:pPr>
      <w:r w:rsidRPr="00221F93">
        <w:rPr>
          <w:rFonts w:ascii="Arial" w:hAnsi="Arial" w:cs="Arial"/>
        </w:rPr>
        <w:t>Attempts to unify trust law at the federal level in the United States have been recurrent, but very few of these proposals have achieved widespread success. Notable among them is the Uniform Trust Code (UTC). Other examples include the Restatements of the American Law Institute, such as the Restatement of Trusts and the Restatement on Restitution. However, these texts are often used by judges to fill gaps or resolve uncertainties in the trust law of individual states.</w:t>
      </w:r>
    </w:p>
    <w:p w14:paraId="5F014D33" w14:textId="4C58CDC8" w:rsidR="00221F93" w:rsidRDefault="00221F93" w:rsidP="00221F93">
      <w:pPr>
        <w:rPr>
          <w:rFonts w:asciiTheme="minorBidi" w:hAnsiTheme="minorBidi"/>
        </w:rPr>
      </w:pPr>
      <w:r w:rsidRPr="00221F93">
        <w:rPr>
          <w:rFonts w:ascii="Arial" w:hAnsi="Arial" w:cs="Arial"/>
        </w:rPr>
        <w:t>Recently, some U.S. states have introduced legislative reforms to permit solutions that were not traditionally allowed in the United States, creating competition between states to attract clients, similar to the international model. For example, "dynasty trusts," which allow trusts with unlimited duration, and protective trusts in favour of the settlor. States particularly active in proposing innovative solutions, including in the area of taxation, include Delaware, South Dakota, Alaska, and Wisconsin.</w:t>
      </w:r>
    </w:p>
    <w:p w14:paraId="2778C2BE" w14:textId="047716D9" w:rsidR="005A2860" w:rsidRDefault="005A2860" w:rsidP="004453A7">
      <w:pPr>
        <w:rPr>
          <w:rFonts w:asciiTheme="minorBidi" w:hAnsiTheme="minorBidi"/>
        </w:rPr>
      </w:pPr>
    </w:p>
    <w:bookmarkEnd w:id="0"/>
    <w:p w14:paraId="76F8521D" w14:textId="69E0CDD1" w:rsidR="00AE63D1" w:rsidRPr="00221F93" w:rsidRDefault="00221F93" w:rsidP="00A90EB1">
      <w:pPr>
        <w:pStyle w:val="Paragrafoelenco"/>
        <w:numPr>
          <w:ilvl w:val="0"/>
          <w:numId w:val="30"/>
        </w:numPr>
        <w:spacing w:after="240" w:line="240" w:lineRule="auto"/>
        <w:ind w:left="357" w:hanging="357"/>
        <w:rPr>
          <w:rFonts w:cstheme="minorHAnsi"/>
        </w:rPr>
      </w:pPr>
      <w:r w:rsidRPr="00221F93">
        <w:rPr>
          <w:rFonts w:ascii="Arial" w:hAnsi="Arial" w:cs="Arial"/>
          <w:b/>
          <w:bCs/>
          <w:sz w:val="24"/>
          <w:szCs w:val="24"/>
        </w:rPr>
        <w:t xml:space="preserve">Trusts </w:t>
      </w:r>
      <w:r>
        <w:rPr>
          <w:rFonts w:ascii="Arial" w:hAnsi="Arial" w:cs="Arial"/>
          <w:b/>
          <w:bCs/>
          <w:sz w:val="24"/>
          <w:szCs w:val="24"/>
        </w:rPr>
        <w:t>i</w:t>
      </w:r>
      <w:r w:rsidRPr="00221F93">
        <w:rPr>
          <w:rFonts w:ascii="Arial" w:hAnsi="Arial" w:cs="Arial"/>
          <w:b/>
          <w:bCs/>
          <w:sz w:val="24"/>
          <w:szCs w:val="24"/>
        </w:rPr>
        <w:t xml:space="preserve">n Jurisdictions Without Equity </w:t>
      </w:r>
      <w:r>
        <w:rPr>
          <w:rFonts w:ascii="Arial" w:hAnsi="Arial" w:cs="Arial"/>
          <w:b/>
          <w:bCs/>
          <w:sz w:val="24"/>
          <w:szCs w:val="24"/>
        </w:rPr>
        <w:t>and in</w:t>
      </w:r>
      <w:r w:rsidRPr="00221F93">
        <w:rPr>
          <w:rFonts w:ascii="Arial" w:hAnsi="Arial" w:cs="Arial"/>
          <w:b/>
          <w:bCs/>
          <w:sz w:val="24"/>
          <w:szCs w:val="24"/>
        </w:rPr>
        <w:t xml:space="preserve"> Civil Law Jurisdictions</w:t>
      </w:r>
    </w:p>
    <w:p w14:paraId="142ABD0C" w14:textId="173AA4CE" w:rsidR="00221F93" w:rsidRPr="00221F93" w:rsidRDefault="00221F93" w:rsidP="00221F93">
      <w:pPr>
        <w:spacing w:after="240" w:line="240" w:lineRule="auto"/>
        <w:rPr>
          <w:rFonts w:ascii="Arial" w:hAnsi="Arial" w:cs="Arial"/>
        </w:rPr>
      </w:pPr>
      <w:r w:rsidRPr="00221F93">
        <w:rPr>
          <w:rFonts w:ascii="Arial" w:hAnsi="Arial" w:cs="Arial"/>
        </w:rPr>
        <w:t>The widely held opinion regarding the incompatibility between trust law and civil law systems is the result of numerous misunderstandings and misinterpretations that have arisen since the late nineteenth century.</w:t>
      </w:r>
      <w:r>
        <w:rPr>
          <w:rStyle w:val="Rimandonotaapidipagina"/>
          <w:rFonts w:ascii="Arial" w:hAnsi="Arial" w:cs="Arial"/>
        </w:rPr>
        <w:footnoteReference w:id="8"/>
      </w:r>
    </w:p>
    <w:p w14:paraId="7E6D93E0" w14:textId="3FCBC1AA" w:rsidR="00221F93" w:rsidRPr="00221F93" w:rsidRDefault="00221F93" w:rsidP="00221F93">
      <w:pPr>
        <w:spacing w:after="240" w:line="240" w:lineRule="auto"/>
        <w:rPr>
          <w:rFonts w:ascii="Arial" w:hAnsi="Arial" w:cs="Arial"/>
        </w:rPr>
      </w:pPr>
      <w:r w:rsidRPr="00221F93">
        <w:rPr>
          <w:rFonts w:ascii="Arial" w:hAnsi="Arial" w:cs="Arial"/>
        </w:rPr>
        <w:t>Actually, European civil law, from the 12th century onwards, developed legal tools in the field of testamentary law that contributed to the elaboration of trust law by the Court of Chancery in England.</w:t>
      </w:r>
      <w:r>
        <w:rPr>
          <w:rStyle w:val="Rimandonotaapidipagina"/>
          <w:rFonts w:ascii="Arial" w:hAnsi="Arial" w:cs="Arial"/>
        </w:rPr>
        <w:footnoteReference w:id="9"/>
      </w:r>
      <w:r w:rsidRPr="00221F93">
        <w:rPr>
          <w:rFonts w:ascii="Arial" w:hAnsi="Arial" w:cs="Arial"/>
        </w:rPr>
        <w:t xml:space="preserve"> This influence provided the foundational principles and operational rules that shaped the development of the English trust.</w:t>
      </w:r>
    </w:p>
    <w:p w14:paraId="4CCEE2FF" w14:textId="77777777" w:rsidR="00221F93" w:rsidRPr="00221F93" w:rsidRDefault="00221F93" w:rsidP="00221F93">
      <w:pPr>
        <w:spacing w:after="240" w:line="240" w:lineRule="auto"/>
        <w:rPr>
          <w:rFonts w:ascii="Arial" w:hAnsi="Arial" w:cs="Arial"/>
        </w:rPr>
      </w:pPr>
      <w:r w:rsidRPr="00221F93">
        <w:rPr>
          <w:rFonts w:ascii="Arial" w:hAnsi="Arial" w:cs="Arial"/>
        </w:rPr>
        <w:lastRenderedPageBreak/>
        <w:t xml:space="preserve">And the civil law influence on the origin of trust is what actually help make it comprehensible even in legal systems with a </w:t>
      </w:r>
      <w:proofErr w:type="spellStart"/>
      <w:r w:rsidRPr="00221F93">
        <w:rPr>
          <w:rFonts w:ascii="Arial" w:hAnsi="Arial" w:cs="Arial"/>
        </w:rPr>
        <w:t>Romanistic</w:t>
      </w:r>
      <w:proofErr w:type="spellEnd"/>
      <w:r w:rsidRPr="00221F93">
        <w:rPr>
          <w:rFonts w:ascii="Arial" w:hAnsi="Arial" w:cs="Arial"/>
        </w:rPr>
        <w:t xml:space="preserve"> or mixed background, as well as in jurisdictions that, while part of the English legal tradition, have never had an equity system.</w:t>
      </w:r>
    </w:p>
    <w:p w14:paraId="37E73CC2" w14:textId="77777777" w:rsidR="00221F93" w:rsidRPr="00221F93" w:rsidRDefault="00221F93" w:rsidP="00221F93">
      <w:pPr>
        <w:spacing w:after="240" w:line="240" w:lineRule="auto"/>
        <w:rPr>
          <w:rFonts w:ascii="Arial" w:hAnsi="Arial" w:cs="Arial"/>
        </w:rPr>
      </w:pPr>
      <w:r w:rsidRPr="00221F93">
        <w:rPr>
          <w:rFonts w:ascii="Arial" w:hAnsi="Arial" w:cs="Arial"/>
        </w:rPr>
        <w:t>Of course, the absence of an equity system presents a significant challenge, but this issue is not insurmountable.</w:t>
      </w:r>
    </w:p>
    <w:p w14:paraId="3D12BC70" w14:textId="77777777" w:rsidR="00221F93" w:rsidRPr="00221F93" w:rsidRDefault="00221F93" w:rsidP="00221F93">
      <w:pPr>
        <w:spacing w:after="240" w:line="240" w:lineRule="auto"/>
        <w:rPr>
          <w:rFonts w:ascii="Arial" w:hAnsi="Arial" w:cs="Arial"/>
        </w:rPr>
      </w:pPr>
      <w:r w:rsidRPr="00221F93">
        <w:rPr>
          <w:rFonts w:ascii="Arial" w:hAnsi="Arial" w:cs="Arial"/>
        </w:rPr>
        <w:t>Again, although trusts originated within the legal framework created by the English Court of Chancery, they actually operate in systems that do not distinguish between common law and equity. For example, Jersey's trust law, one of the most used worldwide, does not include terms such as "equity" or "equitable." Nevertheless, Jersey's judicial precedents hold high regard in the common law world.</w:t>
      </w:r>
    </w:p>
    <w:p w14:paraId="12D3E5FD" w14:textId="0A7EE729" w:rsidR="00221F93" w:rsidRPr="00221F93" w:rsidRDefault="00221F93" w:rsidP="00221F93">
      <w:pPr>
        <w:spacing w:after="240" w:line="240" w:lineRule="auto"/>
        <w:rPr>
          <w:rFonts w:ascii="Arial" w:hAnsi="Arial" w:cs="Arial"/>
        </w:rPr>
      </w:pPr>
      <w:r w:rsidRPr="00221F93">
        <w:rPr>
          <w:rFonts w:ascii="Arial" w:hAnsi="Arial" w:cs="Arial"/>
        </w:rPr>
        <w:t>Even more in jurisdictions like Scotland</w:t>
      </w:r>
      <w:r>
        <w:rPr>
          <w:rStyle w:val="Rimandonotaapidipagina"/>
          <w:rFonts w:ascii="Arial" w:hAnsi="Arial" w:cs="Arial"/>
        </w:rPr>
        <w:footnoteReference w:id="10"/>
      </w:r>
      <w:r w:rsidRPr="00221F93">
        <w:rPr>
          <w:rFonts w:ascii="Arial" w:hAnsi="Arial" w:cs="Arial"/>
        </w:rPr>
        <w:t xml:space="preserve"> and Cyprus (that, like other former British colonies, has legislatively imported the principles of equity, adapting them into its legal framework)</w:t>
      </w:r>
      <w:r>
        <w:rPr>
          <w:rStyle w:val="Rimandonotaapidipagina"/>
          <w:rFonts w:ascii="Arial" w:hAnsi="Arial" w:cs="Arial"/>
        </w:rPr>
        <w:footnoteReference w:id="11"/>
      </w:r>
      <w:r>
        <w:rPr>
          <w:rFonts w:ascii="Arial" w:hAnsi="Arial" w:cs="Arial"/>
        </w:rPr>
        <w:t xml:space="preserve"> </w:t>
      </w:r>
      <w:r w:rsidRPr="00221F93">
        <w:rPr>
          <w:rFonts w:ascii="Arial" w:hAnsi="Arial" w:cs="Arial"/>
        </w:rPr>
        <w:t>solutions have been found to address the lack of an equity system, showing that trust law can be successfully applied in legal systems without a traditional equity framework.</w:t>
      </w:r>
    </w:p>
    <w:p w14:paraId="662AD175" w14:textId="6631A0E1" w:rsidR="00221F93" w:rsidRPr="00221F93" w:rsidRDefault="00221F93" w:rsidP="00221F93">
      <w:pPr>
        <w:spacing w:after="240" w:line="240" w:lineRule="auto"/>
        <w:rPr>
          <w:rFonts w:ascii="Arial" w:hAnsi="Arial" w:cs="Arial"/>
        </w:rPr>
      </w:pPr>
      <w:r w:rsidRPr="00221F93">
        <w:rPr>
          <w:rFonts w:ascii="Arial" w:hAnsi="Arial" w:cs="Arial"/>
        </w:rPr>
        <w:t>The Trust Law of the Republic of San Marino is an interesting example of how a civil law system, which has never had a direct connection with English law and is rooted in medieval European legal traditions, can implement trusts in its legal system. This law demonstrates the growing compatibility between civil law and common law and highlights the possibility of having trusts even in jurisdictions without equity.</w:t>
      </w:r>
      <w:r>
        <w:rPr>
          <w:rStyle w:val="Rimandonotaapidipagina"/>
          <w:rFonts w:ascii="Arial" w:hAnsi="Arial" w:cs="Arial"/>
        </w:rPr>
        <w:footnoteReference w:id="12"/>
      </w:r>
    </w:p>
    <w:p w14:paraId="0084ADD7" w14:textId="2C39C29C" w:rsidR="00221F93" w:rsidRDefault="00221F93" w:rsidP="00221F93">
      <w:pPr>
        <w:spacing w:after="240" w:line="240" w:lineRule="auto"/>
        <w:rPr>
          <w:rFonts w:ascii="Arial" w:hAnsi="Arial" w:cs="Arial"/>
        </w:rPr>
      </w:pPr>
      <w:r w:rsidRPr="00221F93">
        <w:rPr>
          <w:rFonts w:ascii="Arial" w:hAnsi="Arial" w:cs="Arial"/>
        </w:rPr>
        <w:t>San Marino, maintaining its civil law tradition,</w:t>
      </w:r>
      <w:r>
        <w:rPr>
          <w:rStyle w:val="Rimandonotaapidipagina"/>
          <w:rFonts w:ascii="Arial" w:hAnsi="Arial" w:cs="Arial"/>
        </w:rPr>
        <w:footnoteReference w:id="13"/>
      </w:r>
      <w:r w:rsidRPr="00221F93">
        <w:rPr>
          <w:rFonts w:ascii="Arial" w:hAnsi="Arial" w:cs="Arial"/>
        </w:rPr>
        <w:t xml:space="preserve"> has introduced the trust while preserving its foundational civil law principles. Although it lacks a formal equity system, the law adapts the trust to fit within the civil law framework, making it functional without the need for a proper equitable system.</w:t>
      </w:r>
    </w:p>
    <w:p w14:paraId="3EEBB2A3" w14:textId="77777777" w:rsidR="00221F93" w:rsidRDefault="00221F93" w:rsidP="00221F93">
      <w:pPr>
        <w:spacing w:after="240" w:line="240" w:lineRule="auto"/>
        <w:rPr>
          <w:rFonts w:ascii="Arial" w:hAnsi="Arial" w:cs="Arial"/>
        </w:rPr>
      </w:pPr>
    </w:p>
    <w:p w14:paraId="7BDB9AF7" w14:textId="52D0A72A" w:rsidR="00221F93" w:rsidRPr="00221F93" w:rsidRDefault="00221F93" w:rsidP="00221F93">
      <w:pPr>
        <w:pStyle w:val="Paragrafoelenco"/>
        <w:numPr>
          <w:ilvl w:val="0"/>
          <w:numId w:val="30"/>
        </w:numPr>
        <w:spacing w:after="240" w:line="240" w:lineRule="auto"/>
        <w:ind w:left="357" w:hanging="357"/>
        <w:rPr>
          <w:rFonts w:cstheme="minorHAnsi"/>
        </w:rPr>
      </w:pPr>
      <w:r w:rsidRPr="00221F93">
        <w:rPr>
          <w:rFonts w:ascii="Arial" w:hAnsi="Arial" w:cs="Arial"/>
          <w:b/>
          <w:bCs/>
          <w:sz w:val="24"/>
          <w:szCs w:val="24"/>
        </w:rPr>
        <w:t>The Hague Convention Of 1985</w:t>
      </w:r>
    </w:p>
    <w:p w14:paraId="6DD522BF" w14:textId="7D2E8852" w:rsidR="00221F93" w:rsidRPr="00221F93" w:rsidRDefault="00221F93" w:rsidP="00221F93">
      <w:pPr>
        <w:spacing w:after="240" w:line="240" w:lineRule="auto"/>
        <w:rPr>
          <w:rFonts w:ascii="Arial" w:hAnsi="Arial" w:cs="Arial"/>
        </w:rPr>
      </w:pPr>
      <w:r w:rsidRPr="00221F93">
        <w:rPr>
          <w:rFonts w:ascii="Arial" w:hAnsi="Arial" w:cs="Arial"/>
        </w:rPr>
        <w:t>The Convention, signed in The Hague on 1 July 1985 and titled the "Convention on the Law Applicable to Trusts and their Recognition”.</w:t>
      </w:r>
      <w:r w:rsidR="00B220F8">
        <w:rPr>
          <w:rStyle w:val="Rimandonotaapidipagina"/>
          <w:rFonts w:ascii="Arial" w:hAnsi="Arial" w:cs="Arial"/>
        </w:rPr>
        <w:footnoteReference w:id="14"/>
      </w:r>
      <w:r w:rsidRPr="00221F93">
        <w:rPr>
          <w:rFonts w:ascii="Arial" w:hAnsi="Arial" w:cs="Arial"/>
        </w:rPr>
        <w:t xml:space="preserve"> </w:t>
      </w:r>
    </w:p>
    <w:p w14:paraId="24A2F09A" w14:textId="77777777" w:rsidR="00221F93" w:rsidRPr="00221F93" w:rsidRDefault="00221F93" w:rsidP="00221F93">
      <w:pPr>
        <w:spacing w:after="240" w:line="240" w:lineRule="auto"/>
        <w:rPr>
          <w:rFonts w:ascii="Arial" w:hAnsi="Arial" w:cs="Arial"/>
        </w:rPr>
      </w:pPr>
      <w:r w:rsidRPr="00221F93">
        <w:rPr>
          <w:rFonts w:ascii="Arial" w:hAnsi="Arial" w:cs="Arial"/>
        </w:rPr>
        <w:t>The primary objective of the Convention is to determine the law applicable to a trust in situations of conflict of laws. This was of particular interest to common law systems, which typically lacked legislative provisions on the matter and had no judicial precedents on many aspects of private international law.</w:t>
      </w:r>
    </w:p>
    <w:p w14:paraId="19F4F720" w14:textId="77777777" w:rsidR="00221F93" w:rsidRPr="00221F93" w:rsidRDefault="00221F93" w:rsidP="00221F93">
      <w:pPr>
        <w:spacing w:after="240" w:line="240" w:lineRule="auto"/>
        <w:rPr>
          <w:rFonts w:ascii="Arial" w:hAnsi="Arial" w:cs="Arial"/>
        </w:rPr>
      </w:pPr>
      <w:r w:rsidRPr="00221F93">
        <w:rPr>
          <w:rFonts w:ascii="Arial" w:hAnsi="Arial" w:cs="Arial"/>
        </w:rPr>
        <w:lastRenderedPageBreak/>
        <w:t>The second objective of the Convention, which is very important, is to achieve the "recognition" of trusts in legal systems different from the one whose law governs them. Indeed, the Convention obliges the contracting states to recognise trusts governed by a foreign law (Article 11).</w:t>
      </w:r>
    </w:p>
    <w:p w14:paraId="65B93C6C" w14:textId="1FE169A8" w:rsidR="00221F93" w:rsidRPr="00221F93" w:rsidRDefault="00221F93" w:rsidP="00221F93">
      <w:pPr>
        <w:spacing w:after="240" w:line="240" w:lineRule="auto"/>
        <w:rPr>
          <w:rFonts w:ascii="Arial" w:hAnsi="Arial" w:cs="Arial"/>
        </w:rPr>
      </w:pPr>
      <w:r w:rsidRPr="00221F93">
        <w:rPr>
          <w:rFonts w:ascii="Arial" w:hAnsi="Arial" w:cs="Arial"/>
        </w:rPr>
        <w:t>S</w:t>
      </w:r>
      <w:r w:rsidR="00B220F8">
        <w:rPr>
          <w:rFonts w:ascii="Arial" w:hAnsi="Arial" w:cs="Arial"/>
        </w:rPr>
        <w:t>o</w:t>
      </w:r>
      <w:r w:rsidRPr="00221F93">
        <w:rPr>
          <w:rFonts w:ascii="Arial" w:hAnsi="Arial" w:cs="Arial"/>
        </w:rPr>
        <w:t>, even if a country doesn't have its own domestic trust law or framework, it is still required to recognise trusts that are governed by the law of another country. For example, a country that does not have specific legal provisions on trusts must accept and give effect to a trust that is established under the law of a different country that does have a trust system. This is particularly important in cases of cross-border legal issues, where assets or parties involved in the trust might be in different countries.</w:t>
      </w:r>
    </w:p>
    <w:p w14:paraId="71F9165B" w14:textId="01C9C3C2" w:rsidR="00221F93" w:rsidRDefault="00221F93" w:rsidP="00221F93">
      <w:pPr>
        <w:spacing w:after="240" w:line="240" w:lineRule="auto"/>
        <w:rPr>
          <w:rFonts w:ascii="Arial" w:hAnsi="Arial" w:cs="Arial"/>
        </w:rPr>
      </w:pPr>
      <w:r w:rsidRPr="00221F93">
        <w:rPr>
          <w:rFonts w:ascii="Arial" w:hAnsi="Arial" w:cs="Arial"/>
        </w:rPr>
        <w:t>This is why, in each of the contracting states, we can have trusts governed by the law of another country. For instance, in England, we can have trusts governed by the law of Jersey. Paradoxically, even in countries like Italy, which do not have a domestic trust law, we can still have trusts governed by a foreign law.</w:t>
      </w:r>
    </w:p>
    <w:p w14:paraId="34679A42" w14:textId="059592F9" w:rsidR="00B220F8" w:rsidRDefault="00B220F8" w:rsidP="00221F93">
      <w:pPr>
        <w:spacing w:after="240" w:line="240" w:lineRule="auto"/>
        <w:rPr>
          <w:rFonts w:cstheme="minorHAnsi"/>
        </w:rPr>
      </w:pPr>
    </w:p>
    <w:p w14:paraId="28A51D5D" w14:textId="34FBB8F2" w:rsidR="00B220F8" w:rsidRPr="00221F93" w:rsidRDefault="00B220F8" w:rsidP="00B220F8">
      <w:pPr>
        <w:pStyle w:val="Paragrafoelenco"/>
        <w:numPr>
          <w:ilvl w:val="0"/>
          <w:numId w:val="30"/>
        </w:numPr>
        <w:spacing w:after="240" w:line="240" w:lineRule="auto"/>
        <w:ind w:left="357" w:hanging="357"/>
        <w:rPr>
          <w:rFonts w:cstheme="minorHAnsi"/>
        </w:rPr>
      </w:pPr>
      <w:r w:rsidRPr="00221F93">
        <w:rPr>
          <w:rFonts w:ascii="Arial" w:hAnsi="Arial" w:cs="Arial"/>
          <w:b/>
          <w:bCs/>
          <w:sz w:val="24"/>
          <w:szCs w:val="24"/>
        </w:rPr>
        <w:t xml:space="preserve">The </w:t>
      </w:r>
      <w:r>
        <w:rPr>
          <w:rFonts w:ascii="Arial" w:hAnsi="Arial" w:cs="Arial"/>
          <w:b/>
          <w:bCs/>
          <w:sz w:val="24"/>
          <w:szCs w:val="24"/>
        </w:rPr>
        <w:t xml:space="preserve">Italian “trust </w:t>
      </w:r>
      <w:proofErr w:type="spellStart"/>
      <w:r>
        <w:rPr>
          <w:rFonts w:ascii="Arial" w:hAnsi="Arial" w:cs="Arial"/>
          <w:b/>
          <w:bCs/>
          <w:sz w:val="24"/>
          <w:szCs w:val="24"/>
        </w:rPr>
        <w:t>interno</w:t>
      </w:r>
      <w:proofErr w:type="spellEnd"/>
      <w:r>
        <w:rPr>
          <w:rFonts w:ascii="Arial" w:hAnsi="Arial" w:cs="Arial"/>
          <w:b/>
          <w:bCs/>
          <w:sz w:val="24"/>
          <w:szCs w:val="24"/>
        </w:rPr>
        <w:t>”</w:t>
      </w:r>
    </w:p>
    <w:p w14:paraId="496AB3A5" w14:textId="66D3B2E8" w:rsidR="00B220F8" w:rsidRPr="00B220F8" w:rsidRDefault="00B220F8" w:rsidP="00B220F8">
      <w:pPr>
        <w:spacing w:after="240" w:line="240" w:lineRule="auto"/>
        <w:rPr>
          <w:rFonts w:ascii="Arial" w:hAnsi="Arial" w:cs="Arial"/>
        </w:rPr>
      </w:pPr>
      <w:r w:rsidRPr="00B220F8">
        <w:rPr>
          <w:rFonts w:ascii="Arial" w:hAnsi="Arial" w:cs="Arial"/>
        </w:rPr>
        <w:t>When the Italian Parliament decided to ratify the Hague Convention of 1985 on the Law Applicable to Trusts and their Recognition in 1989, no one could have predicted the profound changes it would bring to the Italian legal landscape in the years that followed.</w:t>
      </w:r>
      <w:r>
        <w:rPr>
          <w:rStyle w:val="Rimandonotaapidipagina"/>
          <w:rFonts w:ascii="Arial" w:hAnsi="Arial" w:cs="Arial"/>
        </w:rPr>
        <w:footnoteReference w:id="15"/>
      </w:r>
    </w:p>
    <w:p w14:paraId="1D7A8F48" w14:textId="68EE5C1F" w:rsidR="00B220F8" w:rsidRPr="00B220F8" w:rsidRDefault="00B220F8" w:rsidP="00B220F8">
      <w:pPr>
        <w:spacing w:after="240" w:line="240" w:lineRule="auto"/>
        <w:rPr>
          <w:rFonts w:ascii="Arial" w:hAnsi="Arial" w:cs="Arial"/>
        </w:rPr>
      </w:pPr>
      <w:r w:rsidRPr="00B220F8">
        <w:rPr>
          <w:rFonts w:ascii="Arial" w:hAnsi="Arial" w:cs="Arial"/>
        </w:rPr>
        <w:t xml:space="preserve">Like we stated above, in Italy, we have witnessed the phenomenon of the </w:t>
      </w:r>
      <w:r>
        <w:rPr>
          <w:rFonts w:ascii="Arial" w:hAnsi="Arial" w:cs="Arial"/>
        </w:rPr>
        <w:t>‘</w:t>
      </w:r>
      <w:r w:rsidRPr="00B220F8">
        <w:rPr>
          <w:rFonts w:ascii="Arial" w:hAnsi="Arial" w:cs="Arial"/>
        </w:rPr>
        <w:t xml:space="preserve">trust </w:t>
      </w:r>
      <w:proofErr w:type="spellStart"/>
      <w:r w:rsidRPr="00B220F8">
        <w:rPr>
          <w:rFonts w:ascii="Arial" w:hAnsi="Arial" w:cs="Arial"/>
        </w:rPr>
        <w:t>interno</w:t>
      </w:r>
      <w:proofErr w:type="spellEnd"/>
      <w:r>
        <w:rPr>
          <w:rFonts w:ascii="Arial" w:hAnsi="Arial" w:cs="Arial"/>
        </w:rPr>
        <w:t>’</w:t>
      </w:r>
      <w:r w:rsidRPr="00B220F8">
        <w:rPr>
          <w:rFonts w:ascii="Arial" w:hAnsi="Arial" w:cs="Arial"/>
        </w:rPr>
        <w:t>: trusts that involve assets in Italy and are created by Italians within Italy, yet governed by the law of a foreign jurisdiction (which, of course, recognises trusts). This development is significant because, even though Italy does not have its own domestic law on trusts, the recognition of foreign trust law, as established by the Hague Convention, allows for the creation and functioning of trusts in Italy governed by the laws of other jurisdictions. These trusts are considered “internal” because the assets are located in Italy and the creators are Italian, but the governing law is foreign. The acceptance of such trusts has allowed Italian legal practice to adapt and incorporate a concept that was previously unfamiliar.</w:t>
      </w:r>
    </w:p>
    <w:p w14:paraId="01D78E88" w14:textId="77777777" w:rsidR="00B220F8" w:rsidRPr="00B220F8" w:rsidRDefault="00B220F8" w:rsidP="00B220F8">
      <w:pPr>
        <w:spacing w:after="240" w:line="240" w:lineRule="auto"/>
        <w:rPr>
          <w:rFonts w:ascii="Arial" w:hAnsi="Arial" w:cs="Arial"/>
        </w:rPr>
      </w:pPr>
      <w:r w:rsidRPr="00B220F8">
        <w:rPr>
          <w:rFonts w:ascii="Arial" w:hAnsi="Arial" w:cs="Arial"/>
        </w:rPr>
        <w:t>Within just a few years, the trust became a widely used institution in Italian legal practice, and the term ‘trust’ became familiar to Italian academics, lawyers, notaries, and judges alike.</w:t>
      </w:r>
    </w:p>
    <w:p w14:paraId="4583B4EC" w14:textId="77777777" w:rsidR="00B220F8" w:rsidRPr="00B220F8" w:rsidRDefault="00B220F8" w:rsidP="00B220F8">
      <w:pPr>
        <w:spacing w:after="240" w:line="240" w:lineRule="auto"/>
        <w:rPr>
          <w:rFonts w:ascii="Arial" w:hAnsi="Arial" w:cs="Arial"/>
        </w:rPr>
      </w:pPr>
      <w:r w:rsidRPr="00B220F8">
        <w:rPr>
          <w:rFonts w:ascii="Arial" w:hAnsi="Arial" w:cs="Arial"/>
        </w:rPr>
        <w:t>The interplay between foreign trust law and Italian law is as complex as the interaction between established foreign practices and the evolving Italian trust practice. This is why most Italians prefer to use the laws of civil law jurisdictions, such as San Marino, or mixed jurisdictions, like Jersey, which integrate trust law with their existing legal traditions.</w:t>
      </w:r>
    </w:p>
    <w:p w14:paraId="2CF05EA2" w14:textId="77777777" w:rsidR="009C2849" w:rsidRDefault="00B220F8" w:rsidP="00B220F8">
      <w:pPr>
        <w:spacing w:after="240" w:line="240" w:lineRule="auto"/>
        <w:rPr>
          <w:rFonts w:ascii="Arial" w:hAnsi="Arial" w:cs="Arial"/>
        </w:rPr>
      </w:pPr>
      <w:r w:rsidRPr="00B220F8">
        <w:rPr>
          <w:rFonts w:ascii="Arial" w:hAnsi="Arial" w:cs="Arial"/>
        </w:rPr>
        <w:t>However, at the same time, issues that foreign lawyers have seldom explored in depth have emerged as prominent concerns.</w:t>
      </w:r>
    </w:p>
    <w:p w14:paraId="56341F64" w14:textId="47B614DC" w:rsidR="00B220F8" w:rsidRDefault="009C2849" w:rsidP="00B220F8">
      <w:pPr>
        <w:spacing w:after="240" w:line="240" w:lineRule="auto"/>
        <w:rPr>
          <w:rFonts w:asciiTheme="minorBidi" w:hAnsiTheme="minorBidi"/>
        </w:rPr>
      </w:pPr>
      <w:r>
        <w:rPr>
          <w:rFonts w:ascii="Arial" w:hAnsi="Arial" w:cs="Arial"/>
        </w:rPr>
        <w:t>Also, t</w:t>
      </w:r>
      <w:r w:rsidR="00B220F8" w:rsidRPr="00B220F8">
        <w:rPr>
          <w:rFonts w:ascii="Arial" w:hAnsi="Arial" w:cs="Arial"/>
        </w:rPr>
        <w:t>he '</w:t>
      </w:r>
      <w:r w:rsidR="00B220F8">
        <w:rPr>
          <w:rFonts w:ascii="Arial" w:hAnsi="Arial" w:cs="Arial"/>
        </w:rPr>
        <w:t>t</w:t>
      </w:r>
      <w:r w:rsidR="00B220F8" w:rsidRPr="00B220F8">
        <w:rPr>
          <w:rFonts w:ascii="Arial" w:hAnsi="Arial" w:cs="Arial"/>
        </w:rPr>
        <w:t xml:space="preserve">rust </w:t>
      </w:r>
      <w:proofErr w:type="spellStart"/>
      <w:r w:rsidR="00B220F8" w:rsidRPr="00B220F8">
        <w:rPr>
          <w:rFonts w:ascii="Arial" w:hAnsi="Arial" w:cs="Arial"/>
        </w:rPr>
        <w:t>interno</w:t>
      </w:r>
      <w:proofErr w:type="spellEnd"/>
      <w:r w:rsidR="00B220F8" w:rsidRPr="00B220F8">
        <w:rPr>
          <w:rFonts w:ascii="Arial" w:hAnsi="Arial" w:cs="Arial"/>
        </w:rPr>
        <w:t xml:space="preserve">' </w:t>
      </w:r>
      <w:r>
        <w:rPr>
          <w:rFonts w:ascii="Arial" w:hAnsi="Arial" w:cs="Arial"/>
        </w:rPr>
        <w:t xml:space="preserve">is an interesting field of studies even for English (and Comparative) lawyers, because it </w:t>
      </w:r>
      <w:r w:rsidR="00C74EC0" w:rsidRPr="00B220F8">
        <w:rPr>
          <w:rFonts w:ascii="Arial" w:hAnsi="Arial" w:cs="Arial"/>
        </w:rPr>
        <w:t>serves</w:t>
      </w:r>
      <w:r w:rsidR="00B220F8" w:rsidRPr="00B220F8">
        <w:rPr>
          <w:rFonts w:ascii="Arial" w:hAnsi="Arial" w:cs="Arial"/>
        </w:rPr>
        <w:t xml:space="preserve"> as a living comparative law laboratory, providing </w:t>
      </w:r>
      <w:r w:rsidR="00B220F8" w:rsidRPr="004D30C6">
        <w:rPr>
          <w:rFonts w:asciiTheme="minorBidi" w:hAnsiTheme="minorBidi"/>
        </w:rPr>
        <w:t>valuable insights into how trust law evolves and adapts within different legal frameworks.</w:t>
      </w:r>
    </w:p>
    <w:p w14:paraId="3BA667E8" w14:textId="77777777" w:rsidR="00CE3077" w:rsidRPr="004D30C6" w:rsidRDefault="00CE3077" w:rsidP="00B220F8">
      <w:pPr>
        <w:spacing w:after="240" w:line="240" w:lineRule="auto"/>
        <w:rPr>
          <w:rFonts w:asciiTheme="minorBidi" w:hAnsiTheme="minorBidi"/>
        </w:rPr>
      </w:pPr>
    </w:p>
    <w:p w14:paraId="50CE243B" w14:textId="06844486" w:rsidR="009C2849" w:rsidRPr="009C2849" w:rsidRDefault="00CE3077" w:rsidP="009C2849">
      <w:pPr>
        <w:pStyle w:val="Paragrafoelenco"/>
        <w:numPr>
          <w:ilvl w:val="0"/>
          <w:numId w:val="30"/>
        </w:numPr>
        <w:spacing w:after="240" w:line="240" w:lineRule="auto"/>
        <w:ind w:left="357" w:hanging="357"/>
        <w:rPr>
          <w:rFonts w:cstheme="minorHAnsi"/>
        </w:rPr>
      </w:pPr>
      <w:r>
        <w:rPr>
          <w:rFonts w:ascii="Arial" w:hAnsi="Arial" w:cs="Arial"/>
          <w:b/>
          <w:bCs/>
          <w:sz w:val="24"/>
          <w:szCs w:val="24"/>
        </w:rPr>
        <w:lastRenderedPageBreak/>
        <w:t xml:space="preserve">Trust-like </w:t>
      </w:r>
      <w:r w:rsidR="00FE593F">
        <w:rPr>
          <w:rFonts w:ascii="Arial" w:hAnsi="Arial" w:cs="Arial"/>
          <w:b/>
          <w:bCs/>
          <w:sz w:val="24"/>
          <w:szCs w:val="24"/>
        </w:rPr>
        <w:t>tools</w:t>
      </w:r>
    </w:p>
    <w:p w14:paraId="107B6995" w14:textId="77777777" w:rsidR="009C2849" w:rsidRDefault="009C2849" w:rsidP="009C2849">
      <w:pPr>
        <w:spacing w:after="240" w:line="240" w:lineRule="auto"/>
        <w:rPr>
          <w:rFonts w:ascii="Arial" w:hAnsi="Arial" w:cs="Arial"/>
        </w:rPr>
      </w:pPr>
      <w:r w:rsidRPr="009C2849">
        <w:rPr>
          <w:rFonts w:ascii="Arial" w:hAnsi="Arial" w:cs="Arial"/>
        </w:rPr>
        <w:t xml:space="preserve">Trust-like tools, shaped by both historical and modern legal principles, provide mechanisms for the management, protection, and distribution of assets or rights in a manner similar to the trust, particularly in jurisdictions without </w:t>
      </w:r>
      <w:r>
        <w:rPr>
          <w:rFonts w:ascii="Arial" w:hAnsi="Arial" w:cs="Arial"/>
        </w:rPr>
        <w:t xml:space="preserve">a proper law of </w:t>
      </w:r>
      <w:r w:rsidRPr="009C2849">
        <w:rPr>
          <w:rFonts w:ascii="Arial" w:hAnsi="Arial" w:cs="Arial"/>
        </w:rPr>
        <w:t>trust.</w:t>
      </w:r>
    </w:p>
    <w:p w14:paraId="7B39D5BF" w14:textId="35343F5B" w:rsidR="00FE593F" w:rsidRPr="009C2849" w:rsidRDefault="009C2849" w:rsidP="009C2849">
      <w:pPr>
        <w:spacing w:after="240" w:line="240" w:lineRule="auto"/>
        <w:rPr>
          <w:rFonts w:ascii="Arial" w:hAnsi="Arial" w:cs="Arial"/>
        </w:rPr>
      </w:pPr>
      <w:r w:rsidRPr="009C2849">
        <w:rPr>
          <w:rFonts w:ascii="Arial" w:hAnsi="Arial" w:cs="Arial"/>
        </w:rPr>
        <w:t xml:space="preserve">Although these tools may not fully replicate </w:t>
      </w:r>
      <w:r>
        <w:rPr>
          <w:rFonts w:ascii="Arial" w:hAnsi="Arial" w:cs="Arial"/>
        </w:rPr>
        <w:t>all the elements of a</w:t>
      </w:r>
      <w:r w:rsidRPr="009C2849">
        <w:rPr>
          <w:rFonts w:ascii="Arial" w:hAnsi="Arial" w:cs="Arial"/>
        </w:rPr>
        <w:t xml:space="preserve"> trust—often due to the absence of equity in those jurisdictions—they can serve similar functions, offering flexibility and security in asset management across. In this context, many legal systems have developed their own variations, reflecting some of the underlying principles of trust-based arrangements.</w:t>
      </w:r>
    </w:p>
    <w:p w14:paraId="061500B4" w14:textId="43713313" w:rsidR="00FE593F" w:rsidRPr="0082100E" w:rsidRDefault="00FE593F" w:rsidP="00034FFB">
      <w:pPr>
        <w:pStyle w:val="Paragrafoelenco"/>
        <w:spacing w:after="240" w:line="240" w:lineRule="auto"/>
        <w:ind w:left="357"/>
        <w:contextualSpacing w:val="0"/>
        <w:rPr>
          <w:rFonts w:ascii="Arial" w:hAnsi="Arial" w:cs="Arial"/>
          <w:b/>
          <w:bCs/>
        </w:rPr>
      </w:pPr>
      <w:r w:rsidRPr="0082100E">
        <w:rPr>
          <w:rFonts w:cstheme="minorHAnsi"/>
          <w:b/>
          <w:bCs/>
        </w:rPr>
        <w:t>a</w:t>
      </w:r>
      <w:r w:rsidRPr="0082100E">
        <w:rPr>
          <w:rFonts w:ascii="Arial" w:hAnsi="Arial" w:cs="Arial"/>
          <w:b/>
          <w:bCs/>
        </w:rPr>
        <w:t>)</w:t>
      </w:r>
      <w:r w:rsidR="0082100E" w:rsidRPr="0082100E">
        <w:rPr>
          <w:rFonts w:ascii="Arial" w:hAnsi="Arial" w:cs="Arial"/>
          <w:b/>
          <w:bCs/>
        </w:rPr>
        <w:t xml:space="preserve"> Civil Law Jurisdictions</w:t>
      </w:r>
    </w:p>
    <w:p w14:paraId="1AB3FCF9" w14:textId="2624CAD3" w:rsidR="00034FFB" w:rsidRPr="00034FFB" w:rsidRDefault="001A7372" w:rsidP="00034FFB">
      <w:pPr>
        <w:pStyle w:val="Paragrafoelenco"/>
        <w:spacing w:after="240" w:line="240" w:lineRule="auto"/>
        <w:ind w:left="357"/>
        <w:contextualSpacing w:val="0"/>
        <w:rPr>
          <w:rFonts w:ascii="Arial" w:hAnsi="Arial" w:cs="Arial"/>
        </w:rPr>
      </w:pPr>
      <w:r>
        <w:rPr>
          <w:rFonts w:ascii="Arial" w:hAnsi="Arial" w:cs="Arial"/>
        </w:rPr>
        <w:t>In continental Europe few legal tools</w:t>
      </w:r>
      <w:r w:rsidR="0082100E" w:rsidRPr="0082100E">
        <w:rPr>
          <w:rFonts w:ascii="Arial" w:hAnsi="Arial" w:cs="Arial"/>
        </w:rPr>
        <w:t xml:space="preserve">, which were </w:t>
      </w:r>
      <w:r>
        <w:rPr>
          <w:rFonts w:ascii="Arial" w:hAnsi="Arial" w:cs="Arial"/>
        </w:rPr>
        <w:t>used</w:t>
      </w:r>
      <w:r w:rsidR="0082100E" w:rsidRPr="0082100E">
        <w:rPr>
          <w:rFonts w:ascii="Arial" w:hAnsi="Arial" w:cs="Arial"/>
        </w:rPr>
        <w:t xml:space="preserve"> prior to the codifications across the continent, remain relevant in some contemporary </w:t>
      </w:r>
      <w:r>
        <w:rPr>
          <w:rFonts w:ascii="Arial" w:hAnsi="Arial" w:cs="Arial"/>
        </w:rPr>
        <w:t>legal systems</w:t>
      </w:r>
      <w:r w:rsidR="0082100E" w:rsidRPr="0082100E">
        <w:rPr>
          <w:rFonts w:ascii="Arial" w:hAnsi="Arial" w:cs="Arial"/>
        </w:rPr>
        <w:t>.</w:t>
      </w:r>
    </w:p>
    <w:p w14:paraId="66C4B2EE" w14:textId="2879FCBF" w:rsidR="0082100E" w:rsidRPr="00034FFB" w:rsidRDefault="0082100E" w:rsidP="00034FFB">
      <w:pPr>
        <w:pStyle w:val="Paragrafoelenco"/>
        <w:spacing w:after="240" w:line="240" w:lineRule="auto"/>
        <w:ind w:left="357"/>
        <w:contextualSpacing w:val="0"/>
        <w:rPr>
          <w:rFonts w:ascii="Arial" w:hAnsi="Arial" w:cs="Arial"/>
        </w:rPr>
      </w:pPr>
      <w:r w:rsidRPr="0082100E">
        <w:rPr>
          <w:rFonts w:ascii="Arial" w:hAnsi="Arial" w:cs="Arial"/>
        </w:rPr>
        <w:t xml:space="preserve">Examples include the </w:t>
      </w:r>
      <w:proofErr w:type="spellStart"/>
      <w:r w:rsidRPr="001A7372">
        <w:rPr>
          <w:rFonts w:ascii="Arial" w:hAnsi="Arial" w:cs="Arial"/>
          <w:i/>
          <w:iCs/>
        </w:rPr>
        <w:t>hereus</w:t>
      </w:r>
      <w:proofErr w:type="spellEnd"/>
      <w:r w:rsidRPr="001A7372">
        <w:rPr>
          <w:rFonts w:ascii="Arial" w:hAnsi="Arial" w:cs="Arial"/>
          <w:i/>
          <w:iCs/>
        </w:rPr>
        <w:t xml:space="preserve"> or </w:t>
      </w:r>
      <w:proofErr w:type="spellStart"/>
      <w:r w:rsidRPr="001A7372">
        <w:rPr>
          <w:rFonts w:ascii="Arial" w:hAnsi="Arial" w:cs="Arial"/>
          <w:i/>
          <w:iCs/>
        </w:rPr>
        <w:t>legatari</w:t>
      </w:r>
      <w:proofErr w:type="spellEnd"/>
      <w:r w:rsidRPr="001A7372">
        <w:rPr>
          <w:rFonts w:ascii="Arial" w:hAnsi="Arial" w:cs="Arial"/>
          <w:i/>
          <w:iCs/>
        </w:rPr>
        <w:t xml:space="preserve"> de </w:t>
      </w:r>
      <w:proofErr w:type="spellStart"/>
      <w:r w:rsidRPr="001A7372">
        <w:rPr>
          <w:rFonts w:ascii="Arial" w:hAnsi="Arial" w:cs="Arial"/>
          <w:i/>
          <w:iCs/>
        </w:rPr>
        <w:t>confianza</w:t>
      </w:r>
      <w:proofErr w:type="spellEnd"/>
      <w:r w:rsidRPr="0082100E">
        <w:rPr>
          <w:rFonts w:ascii="Arial" w:hAnsi="Arial" w:cs="Arial"/>
        </w:rPr>
        <w:t xml:space="preserve"> in Catalan succession law (Law No. 40 of 30 December 1991), the </w:t>
      </w:r>
      <w:proofErr w:type="spellStart"/>
      <w:r w:rsidRPr="001A7372">
        <w:rPr>
          <w:rFonts w:ascii="Arial" w:hAnsi="Arial" w:cs="Arial"/>
          <w:i/>
          <w:iCs/>
        </w:rPr>
        <w:t>Compilación</w:t>
      </w:r>
      <w:proofErr w:type="spellEnd"/>
      <w:r w:rsidRPr="001A7372">
        <w:rPr>
          <w:rFonts w:ascii="Arial" w:hAnsi="Arial" w:cs="Arial"/>
          <w:i/>
          <w:iCs/>
        </w:rPr>
        <w:t xml:space="preserve"> de Navarra</w:t>
      </w:r>
      <w:r w:rsidRPr="0082100E">
        <w:rPr>
          <w:rFonts w:ascii="Arial" w:hAnsi="Arial" w:cs="Arial"/>
        </w:rPr>
        <w:t xml:space="preserve">, and the </w:t>
      </w:r>
      <w:proofErr w:type="spellStart"/>
      <w:r w:rsidRPr="001A7372">
        <w:rPr>
          <w:rFonts w:ascii="Arial" w:hAnsi="Arial" w:cs="Arial"/>
          <w:i/>
          <w:iCs/>
        </w:rPr>
        <w:t>fiducia</w:t>
      </w:r>
      <w:proofErr w:type="spellEnd"/>
      <w:r w:rsidRPr="001A7372">
        <w:rPr>
          <w:rFonts w:ascii="Arial" w:hAnsi="Arial" w:cs="Arial"/>
          <w:i/>
          <w:iCs/>
        </w:rPr>
        <w:t xml:space="preserve"> </w:t>
      </w:r>
      <w:proofErr w:type="spellStart"/>
      <w:r w:rsidRPr="001A7372">
        <w:rPr>
          <w:rFonts w:ascii="Arial" w:hAnsi="Arial" w:cs="Arial"/>
          <w:i/>
          <w:iCs/>
        </w:rPr>
        <w:t>successoria</w:t>
      </w:r>
      <w:proofErr w:type="spellEnd"/>
      <w:r w:rsidRPr="0082100E">
        <w:rPr>
          <w:rFonts w:ascii="Arial" w:hAnsi="Arial" w:cs="Arial"/>
        </w:rPr>
        <w:t xml:space="preserve"> in Aragón (Law No. 1 of 1999),</w:t>
      </w:r>
      <w:r w:rsidR="00034FFB">
        <w:rPr>
          <w:rStyle w:val="Rimandonotaapidipagina"/>
          <w:rFonts w:ascii="Arial" w:hAnsi="Arial" w:cs="Arial"/>
        </w:rPr>
        <w:footnoteReference w:id="16"/>
      </w:r>
      <w:r w:rsidRPr="0082100E">
        <w:rPr>
          <w:rFonts w:ascii="Arial" w:hAnsi="Arial" w:cs="Arial"/>
        </w:rPr>
        <w:t xml:space="preserve"> the provisions on </w:t>
      </w:r>
      <w:proofErr w:type="spellStart"/>
      <w:r w:rsidRPr="001A7372">
        <w:rPr>
          <w:rFonts w:ascii="Arial" w:hAnsi="Arial" w:cs="Arial"/>
          <w:i/>
          <w:iCs/>
        </w:rPr>
        <w:t>fideicomiso</w:t>
      </w:r>
      <w:proofErr w:type="spellEnd"/>
      <w:r w:rsidRPr="0082100E">
        <w:rPr>
          <w:rFonts w:ascii="Arial" w:hAnsi="Arial" w:cs="Arial"/>
        </w:rPr>
        <w:t xml:space="preserve"> in Latin American </w:t>
      </w:r>
      <w:r w:rsidR="001A7372">
        <w:rPr>
          <w:rFonts w:ascii="Arial" w:hAnsi="Arial" w:cs="Arial"/>
        </w:rPr>
        <w:t>jurisdictions</w:t>
      </w:r>
      <w:r w:rsidRPr="0082100E">
        <w:rPr>
          <w:rFonts w:ascii="Arial" w:hAnsi="Arial" w:cs="Arial"/>
        </w:rPr>
        <w:t>,</w:t>
      </w:r>
      <w:r w:rsidR="00034FFB">
        <w:rPr>
          <w:rStyle w:val="Rimandonotaapidipagina"/>
          <w:rFonts w:ascii="Arial" w:hAnsi="Arial" w:cs="Arial"/>
        </w:rPr>
        <w:footnoteReference w:id="17"/>
      </w:r>
      <w:r w:rsidRPr="0082100E">
        <w:rPr>
          <w:rFonts w:ascii="Arial" w:hAnsi="Arial" w:cs="Arial"/>
        </w:rPr>
        <w:t xml:space="preserve"> and the recent laws enacted in Argentina, Uruguay, Catalonia, Luxembourg, Romania, Hungary, and the Czech Republic.</w:t>
      </w:r>
    </w:p>
    <w:p w14:paraId="1C7169DD" w14:textId="77777777" w:rsidR="00034FFB" w:rsidRDefault="001A7372" w:rsidP="00034FFB">
      <w:pPr>
        <w:pStyle w:val="Paragrafoelenco"/>
        <w:spacing w:after="240" w:line="240" w:lineRule="auto"/>
        <w:ind w:left="357"/>
        <w:contextualSpacing w:val="0"/>
        <w:rPr>
          <w:rFonts w:ascii="Arial" w:hAnsi="Arial" w:cs="Arial"/>
        </w:rPr>
      </w:pPr>
      <w:r>
        <w:rPr>
          <w:rFonts w:ascii="Arial" w:hAnsi="Arial" w:cs="Arial"/>
        </w:rPr>
        <w:t>Also</w:t>
      </w:r>
      <w:r w:rsidR="00034FFB">
        <w:rPr>
          <w:rFonts w:ascii="Arial" w:hAnsi="Arial" w:cs="Arial"/>
        </w:rPr>
        <w:t>,</w:t>
      </w:r>
      <w:r>
        <w:rPr>
          <w:rFonts w:ascii="Arial" w:hAnsi="Arial" w:cs="Arial"/>
        </w:rPr>
        <w:t xml:space="preserve"> r</w:t>
      </w:r>
      <w:r w:rsidR="0082100E" w:rsidRPr="0082100E">
        <w:rPr>
          <w:rFonts w:ascii="Arial" w:hAnsi="Arial" w:cs="Arial"/>
        </w:rPr>
        <w:t>ecent</w:t>
      </w:r>
      <w:r>
        <w:rPr>
          <w:rFonts w:ascii="Arial" w:hAnsi="Arial" w:cs="Arial"/>
        </w:rPr>
        <w:t>ly,</w:t>
      </w:r>
      <w:r w:rsidR="0082100E" w:rsidRPr="0082100E">
        <w:rPr>
          <w:rFonts w:ascii="Arial" w:hAnsi="Arial" w:cs="Arial"/>
        </w:rPr>
        <w:t xml:space="preserve"> </w:t>
      </w:r>
      <w:r>
        <w:rPr>
          <w:rFonts w:ascii="Arial" w:hAnsi="Arial" w:cs="Arial"/>
        </w:rPr>
        <w:t xml:space="preserve">in few </w:t>
      </w:r>
      <w:r w:rsidR="0082100E" w:rsidRPr="0082100E">
        <w:rPr>
          <w:rFonts w:ascii="Arial" w:hAnsi="Arial" w:cs="Arial"/>
        </w:rPr>
        <w:t xml:space="preserve">civil law </w:t>
      </w:r>
      <w:r>
        <w:rPr>
          <w:rFonts w:ascii="Arial" w:hAnsi="Arial" w:cs="Arial"/>
        </w:rPr>
        <w:t xml:space="preserve">jurisdictions </w:t>
      </w:r>
      <w:r w:rsidR="0082100E" w:rsidRPr="0082100E">
        <w:rPr>
          <w:rFonts w:ascii="Arial" w:hAnsi="Arial" w:cs="Arial"/>
        </w:rPr>
        <w:t>attempt</w:t>
      </w:r>
      <w:r>
        <w:rPr>
          <w:rFonts w:ascii="Arial" w:hAnsi="Arial" w:cs="Arial"/>
        </w:rPr>
        <w:t>ed</w:t>
      </w:r>
      <w:r w:rsidR="0082100E" w:rsidRPr="0082100E">
        <w:rPr>
          <w:rFonts w:ascii="Arial" w:hAnsi="Arial" w:cs="Arial"/>
        </w:rPr>
        <w:t xml:space="preserve"> to provide a national alternative for those who might otherwise </w:t>
      </w:r>
      <w:r w:rsidR="00034FFB">
        <w:rPr>
          <w:rFonts w:ascii="Arial" w:hAnsi="Arial" w:cs="Arial"/>
        </w:rPr>
        <w:t>use</w:t>
      </w:r>
      <w:r w:rsidR="0082100E" w:rsidRPr="0082100E">
        <w:rPr>
          <w:rFonts w:ascii="Arial" w:hAnsi="Arial" w:cs="Arial"/>
        </w:rPr>
        <w:t xml:space="preserve"> trust</w:t>
      </w:r>
      <w:r w:rsidR="00034FFB">
        <w:rPr>
          <w:rFonts w:ascii="Arial" w:hAnsi="Arial" w:cs="Arial"/>
        </w:rPr>
        <w:t>s</w:t>
      </w:r>
      <w:r w:rsidR="0082100E" w:rsidRPr="0082100E">
        <w:rPr>
          <w:rFonts w:ascii="Arial" w:hAnsi="Arial" w:cs="Arial"/>
        </w:rPr>
        <w:t xml:space="preserve"> </w:t>
      </w:r>
      <w:r w:rsidR="00034FFB">
        <w:rPr>
          <w:rFonts w:ascii="Arial" w:hAnsi="Arial" w:cs="Arial"/>
        </w:rPr>
        <w:t>governed</w:t>
      </w:r>
      <w:r w:rsidR="0082100E" w:rsidRPr="0082100E">
        <w:rPr>
          <w:rFonts w:ascii="Arial" w:hAnsi="Arial" w:cs="Arial"/>
        </w:rPr>
        <w:t xml:space="preserve"> on foreign law</w:t>
      </w:r>
      <w:r w:rsidR="00034FFB">
        <w:rPr>
          <w:rFonts w:ascii="Arial" w:hAnsi="Arial" w:cs="Arial"/>
        </w:rPr>
        <w:t xml:space="preserve"> (with all the problems above)</w:t>
      </w:r>
      <w:r w:rsidR="0082100E" w:rsidRPr="0082100E">
        <w:rPr>
          <w:rFonts w:ascii="Arial" w:hAnsi="Arial" w:cs="Arial"/>
        </w:rPr>
        <w:t>.</w:t>
      </w:r>
    </w:p>
    <w:p w14:paraId="6E01F438" w14:textId="3BA6CFCA" w:rsidR="00034FFB" w:rsidRPr="00034FFB" w:rsidRDefault="00034FFB" w:rsidP="00034FFB">
      <w:pPr>
        <w:pStyle w:val="Paragrafoelenco"/>
        <w:spacing w:after="240" w:line="240" w:lineRule="auto"/>
        <w:ind w:left="357"/>
        <w:contextualSpacing w:val="0"/>
        <w:rPr>
          <w:rFonts w:ascii="Arial" w:hAnsi="Arial" w:cs="Arial"/>
        </w:rPr>
      </w:pPr>
      <w:r>
        <w:rPr>
          <w:rFonts w:ascii="Arial" w:hAnsi="Arial" w:cs="Arial"/>
        </w:rPr>
        <w:t>For example, i</w:t>
      </w:r>
      <w:r w:rsidRPr="00034FFB">
        <w:rPr>
          <w:rFonts w:ascii="Arial" w:hAnsi="Arial" w:cs="Arial"/>
        </w:rPr>
        <w:t xml:space="preserve">n France, </w:t>
      </w:r>
      <w:r w:rsidRPr="00034FFB">
        <w:rPr>
          <w:rFonts w:ascii="Arial" w:hAnsi="Arial" w:cs="Arial"/>
        </w:rPr>
        <w:t>with the 2007 reform of the Civil Code</w:t>
      </w:r>
      <w:r w:rsidRPr="00034FFB">
        <w:rPr>
          <w:rFonts w:ascii="Arial" w:hAnsi="Arial" w:cs="Arial"/>
        </w:rPr>
        <w:t xml:space="preserve"> the</w:t>
      </w:r>
      <w:r>
        <w:rPr>
          <w:rFonts w:ascii="Arial" w:hAnsi="Arial" w:cs="Arial"/>
        </w:rPr>
        <w:t>y introduced the</w:t>
      </w:r>
      <w:r w:rsidRPr="00034FFB">
        <w:rPr>
          <w:rFonts w:ascii="Arial" w:hAnsi="Arial" w:cs="Arial"/>
        </w:rPr>
        <w:t xml:space="preserve"> concept of </w:t>
      </w:r>
      <w:r>
        <w:rPr>
          <w:rFonts w:ascii="Arial" w:hAnsi="Arial" w:cs="Arial"/>
        </w:rPr>
        <w:t>‘</w:t>
      </w:r>
      <w:proofErr w:type="spellStart"/>
      <w:r w:rsidRPr="00034FFB">
        <w:rPr>
          <w:rFonts w:ascii="Arial" w:hAnsi="Arial" w:cs="Arial"/>
          <w:i/>
          <w:iCs/>
        </w:rPr>
        <w:t>fiducie</w:t>
      </w:r>
      <w:proofErr w:type="spellEnd"/>
      <w:r w:rsidRPr="00034FFB">
        <w:rPr>
          <w:rFonts w:ascii="Arial" w:hAnsi="Arial" w:cs="Arial"/>
          <w:i/>
          <w:iCs/>
        </w:rPr>
        <w:t>’</w:t>
      </w:r>
      <w:r w:rsidRPr="00034FFB">
        <w:rPr>
          <w:rFonts w:ascii="Arial" w:hAnsi="Arial" w:cs="Arial"/>
        </w:rPr>
        <w:t xml:space="preserve">. The </w:t>
      </w:r>
      <w:proofErr w:type="spellStart"/>
      <w:r w:rsidRPr="00034FFB">
        <w:rPr>
          <w:rFonts w:ascii="Arial" w:hAnsi="Arial" w:cs="Arial"/>
        </w:rPr>
        <w:t>fiducie</w:t>
      </w:r>
      <w:proofErr w:type="spellEnd"/>
      <w:r w:rsidRPr="00034FFB">
        <w:rPr>
          <w:rFonts w:ascii="Arial" w:hAnsi="Arial" w:cs="Arial"/>
        </w:rPr>
        <w:t xml:space="preserve"> allows a person (the </w:t>
      </w:r>
      <w:r>
        <w:rPr>
          <w:rFonts w:ascii="Arial" w:hAnsi="Arial" w:cs="Arial"/>
        </w:rPr>
        <w:t>‘</w:t>
      </w:r>
      <w:proofErr w:type="spellStart"/>
      <w:r w:rsidRPr="00034FFB">
        <w:rPr>
          <w:rFonts w:ascii="Arial" w:hAnsi="Arial" w:cs="Arial"/>
          <w:i/>
          <w:iCs/>
        </w:rPr>
        <w:t>constituant</w:t>
      </w:r>
      <w:proofErr w:type="spellEnd"/>
      <w:r>
        <w:rPr>
          <w:rFonts w:ascii="Arial" w:hAnsi="Arial" w:cs="Arial"/>
          <w:i/>
          <w:iCs/>
        </w:rPr>
        <w:t>’</w:t>
      </w:r>
      <w:r w:rsidRPr="00034FFB">
        <w:rPr>
          <w:rFonts w:ascii="Arial" w:hAnsi="Arial" w:cs="Arial"/>
        </w:rPr>
        <w:t xml:space="preserve">) to transfer assets to a fiduciary (the </w:t>
      </w:r>
      <w:r>
        <w:rPr>
          <w:rFonts w:ascii="Arial" w:hAnsi="Arial" w:cs="Arial"/>
        </w:rPr>
        <w:t>‘</w:t>
      </w:r>
      <w:proofErr w:type="spellStart"/>
      <w:r w:rsidRPr="00034FFB">
        <w:rPr>
          <w:rFonts w:ascii="Arial" w:hAnsi="Arial" w:cs="Arial"/>
          <w:i/>
          <w:iCs/>
        </w:rPr>
        <w:t>fiduciaire</w:t>
      </w:r>
      <w:proofErr w:type="spellEnd"/>
      <w:r w:rsidRPr="00034FFB">
        <w:rPr>
          <w:rFonts w:ascii="Arial" w:hAnsi="Arial" w:cs="Arial"/>
          <w:i/>
          <w:iCs/>
        </w:rPr>
        <w:t>’</w:t>
      </w:r>
      <w:r w:rsidRPr="00034FFB">
        <w:rPr>
          <w:rFonts w:ascii="Arial" w:hAnsi="Arial" w:cs="Arial"/>
        </w:rPr>
        <w:t xml:space="preserve">) for the benefit of a third party (the </w:t>
      </w:r>
      <w:r>
        <w:rPr>
          <w:rFonts w:ascii="Arial" w:hAnsi="Arial" w:cs="Arial"/>
        </w:rPr>
        <w:t>‘</w:t>
      </w:r>
      <w:proofErr w:type="spellStart"/>
      <w:r w:rsidRPr="00034FFB">
        <w:rPr>
          <w:rFonts w:ascii="Arial" w:hAnsi="Arial" w:cs="Arial"/>
          <w:i/>
          <w:iCs/>
        </w:rPr>
        <w:t>bénéficiaire</w:t>
      </w:r>
      <w:proofErr w:type="spellEnd"/>
      <w:r w:rsidRPr="00034FFB">
        <w:rPr>
          <w:rFonts w:ascii="Arial" w:hAnsi="Arial" w:cs="Arial"/>
          <w:i/>
          <w:iCs/>
        </w:rPr>
        <w:t>’</w:t>
      </w:r>
      <w:r w:rsidRPr="00034FFB">
        <w:rPr>
          <w:rFonts w:ascii="Arial" w:hAnsi="Arial" w:cs="Arial"/>
        </w:rPr>
        <w:t xml:space="preserve">), with the fiduciary having legal ownership of the assets while acting under the instructions of the </w:t>
      </w:r>
      <w:proofErr w:type="spellStart"/>
      <w:r w:rsidRPr="00034FFB">
        <w:rPr>
          <w:rFonts w:ascii="Arial" w:hAnsi="Arial" w:cs="Arial"/>
          <w:i/>
          <w:iCs/>
        </w:rPr>
        <w:t>constituant</w:t>
      </w:r>
      <w:proofErr w:type="spellEnd"/>
      <w:r w:rsidRPr="00034FFB">
        <w:rPr>
          <w:rFonts w:ascii="Arial" w:hAnsi="Arial" w:cs="Arial"/>
        </w:rPr>
        <w:t xml:space="preserve">. This mechanism, though </w:t>
      </w:r>
      <w:r>
        <w:rPr>
          <w:rFonts w:ascii="Arial" w:hAnsi="Arial" w:cs="Arial"/>
        </w:rPr>
        <w:t>similar to</w:t>
      </w:r>
      <w:r w:rsidRPr="00034FFB">
        <w:rPr>
          <w:rFonts w:ascii="Arial" w:hAnsi="Arial" w:cs="Arial"/>
        </w:rPr>
        <w:t xml:space="preserve"> trust, is distinct in its structure and scope. It aligns with the French legal tradition, which traditionally focused on the separation of ownership and enjoyment, and has provided a legal framework for fiduciary relationships, especially in areas such as asset management and charitable purposes.</w:t>
      </w:r>
      <w:r w:rsidR="009C2849">
        <w:rPr>
          <w:rStyle w:val="Rimandonotaapidipagina"/>
          <w:rFonts w:ascii="Arial" w:hAnsi="Arial" w:cs="Arial"/>
        </w:rPr>
        <w:footnoteReference w:id="18"/>
      </w:r>
    </w:p>
    <w:p w14:paraId="68C1291B" w14:textId="1D7ABD0B" w:rsidR="0082100E" w:rsidRDefault="0082100E" w:rsidP="00034FFB">
      <w:pPr>
        <w:pStyle w:val="Paragrafoelenco"/>
        <w:spacing w:after="240" w:line="240" w:lineRule="auto"/>
        <w:ind w:left="357"/>
        <w:contextualSpacing w:val="0"/>
        <w:rPr>
          <w:rFonts w:ascii="Arial" w:hAnsi="Arial" w:cs="Arial"/>
        </w:rPr>
      </w:pPr>
      <w:r w:rsidRPr="0082100E">
        <w:rPr>
          <w:rFonts w:ascii="Arial" w:hAnsi="Arial" w:cs="Arial"/>
        </w:rPr>
        <w:t xml:space="preserve">An </w:t>
      </w:r>
      <w:r w:rsidR="00034FFB">
        <w:rPr>
          <w:rFonts w:ascii="Arial" w:hAnsi="Arial" w:cs="Arial"/>
        </w:rPr>
        <w:t>interesting example</w:t>
      </w:r>
      <w:r w:rsidRPr="0082100E">
        <w:rPr>
          <w:rFonts w:ascii="Arial" w:hAnsi="Arial" w:cs="Arial"/>
        </w:rPr>
        <w:t xml:space="preserve"> is Québec</w:t>
      </w:r>
      <w:r w:rsidR="00034FFB">
        <w:rPr>
          <w:rFonts w:ascii="Arial" w:hAnsi="Arial" w:cs="Arial"/>
        </w:rPr>
        <w:t xml:space="preserve"> (a </w:t>
      </w:r>
      <w:proofErr w:type="spellStart"/>
      <w:r w:rsidR="00034FFB">
        <w:rPr>
          <w:rFonts w:ascii="Arial" w:hAnsi="Arial" w:cs="Arial"/>
        </w:rPr>
        <w:t>canadian</w:t>
      </w:r>
      <w:proofErr w:type="spellEnd"/>
      <w:r w:rsidR="00034FFB">
        <w:rPr>
          <w:rFonts w:ascii="Arial" w:hAnsi="Arial" w:cs="Arial"/>
        </w:rPr>
        <w:t xml:space="preserve"> province </w:t>
      </w:r>
      <w:proofErr w:type="spellStart"/>
      <w:r w:rsidR="00034FFB">
        <w:rPr>
          <w:rFonts w:ascii="Arial" w:hAnsi="Arial" w:cs="Arial"/>
        </w:rPr>
        <w:t>wich</w:t>
      </w:r>
      <w:proofErr w:type="spellEnd"/>
      <w:r w:rsidR="00034FFB">
        <w:rPr>
          <w:rFonts w:ascii="Arial" w:hAnsi="Arial" w:cs="Arial"/>
        </w:rPr>
        <w:t xml:space="preserve"> is a mixed-</w:t>
      </w:r>
      <w:proofErr w:type="spellStart"/>
      <w:r w:rsidR="00034FFB">
        <w:rPr>
          <w:rFonts w:ascii="Arial" w:hAnsi="Arial" w:cs="Arial"/>
        </w:rPr>
        <w:t>jurisdiciton</w:t>
      </w:r>
      <w:proofErr w:type="spellEnd"/>
      <w:r w:rsidR="00034FFB">
        <w:rPr>
          <w:rFonts w:ascii="Arial" w:hAnsi="Arial" w:cs="Arial"/>
        </w:rPr>
        <w:t>)</w:t>
      </w:r>
      <w:r w:rsidRPr="0082100E">
        <w:rPr>
          <w:rFonts w:ascii="Arial" w:hAnsi="Arial" w:cs="Arial"/>
        </w:rPr>
        <w:t xml:space="preserve">, which </w:t>
      </w:r>
      <w:r w:rsidR="00034FFB">
        <w:rPr>
          <w:rFonts w:ascii="Arial" w:hAnsi="Arial" w:cs="Arial"/>
        </w:rPr>
        <w:t>tried</w:t>
      </w:r>
      <w:r w:rsidRPr="0082100E">
        <w:rPr>
          <w:rFonts w:ascii="Arial" w:hAnsi="Arial" w:cs="Arial"/>
        </w:rPr>
        <w:t xml:space="preserve"> to adapt the concept of trust</w:t>
      </w:r>
      <w:r w:rsidR="00034FFB">
        <w:rPr>
          <w:rFonts w:ascii="Arial" w:hAnsi="Arial" w:cs="Arial"/>
        </w:rPr>
        <w:t xml:space="preserve"> into a – partially – civil law system (</w:t>
      </w:r>
      <w:r w:rsidR="00034FFB" w:rsidRPr="0082100E">
        <w:rPr>
          <w:rFonts w:ascii="Arial" w:hAnsi="Arial" w:cs="Arial"/>
        </w:rPr>
        <w:t>Québec</w:t>
      </w:r>
      <w:r w:rsidR="00034FFB">
        <w:rPr>
          <w:rFonts w:ascii="Arial" w:hAnsi="Arial" w:cs="Arial"/>
        </w:rPr>
        <w:t xml:space="preserve"> </w:t>
      </w:r>
      <w:r w:rsidR="00034FFB">
        <w:rPr>
          <w:rFonts w:ascii="Arial" w:hAnsi="Arial" w:cs="Arial"/>
        </w:rPr>
        <w:t xml:space="preserve">has a Civil code based on the </w:t>
      </w:r>
      <w:proofErr w:type="spellStart"/>
      <w:r w:rsidR="00034FFB">
        <w:rPr>
          <w:rFonts w:ascii="Arial" w:hAnsi="Arial" w:cs="Arial"/>
        </w:rPr>
        <w:t>Franch</w:t>
      </w:r>
      <w:proofErr w:type="spellEnd"/>
      <w:r w:rsidR="00034FFB">
        <w:rPr>
          <w:rFonts w:ascii="Arial" w:hAnsi="Arial" w:cs="Arial"/>
        </w:rPr>
        <w:t xml:space="preserve"> one)</w:t>
      </w:r>
      <w:r w:rsidRPr="0082100E">
        <w:rPr>
          <w:rFonts w:ascii="Arial" w:hAnsi="Arial" w:cs="Arial"/>
        </w:rPr>
        <w:t xml:space="preserve">. </w:t>
      </w:r>
      <w:r w:rsidR="00034FFB">
        <w:rPr>
          <w:rFonts w:ascii="Arial" w:hAnsi="Arial" w:cs="Arial"/>
        </w:rPr>
        <w:t>The Quebec law</w:t>
      </w:r>
      <w:r w:rsidRPr="0082100E">
        <w:rPr>
          <w:rFonts w:ascii="Arial" w:hAnsi="Arial" w:cs="Arial"/>
        </w:rPr>
        <w:t xml:space="preserve"> did so by departing significantly from the foundations of English law and instead adopting a view of the trust fund as an autonomous estate</w:t>
      </w:r>
      <w:r w:rsidR="00034FFB">
        <w:rPr>
          <w:rFonts w:ascii="Arial" w:hAnsi="Arial" w:cs="Arial"/>
        </w:rPr>
        <w:t xml:space="preserve"> (a sort of legal person)</w:t>
      </w:r>
      <w:r w:rsidRPr="0082100E">
        <w:rPr>
          <w:rFonts w:ascii="Arial" w:hAnsi="Arial" w:cs="Arial"/>
        </w:rPr>
        <w:t>, rather than a collection of assets belonging to the trustee.</w:t>
      </w:r>
      <w:r w:rsidR="00034FFB">
        <w:rPr>
          <w:rStyle w:val="Rimandonotaapidipagina"/>
          <w:rFonts w:ascii="Arial" w:hAnsi="Arial" w:cs="Arial"/>
        </w:rPr>
        <w:footnoteReference w:id="19"/>
      </w:r>
    </w:p>
    <w:p w14:paraId="500DA404" w14:textId="77777777" w:rsidR="00034FFB" w:rsidRPr="0082100E" w:rsidRDefault="00034FFB" w:rsidP="0082100E">
      <w:pPr>
        <w:pStyle w:val="Paragrafoelenco"/>
        <w:spacing w:after="240" w:line="240" w:lineRule="auto"/>
        <w:ind w:left="357"/>
        <w:rPr>
          <w:rFonts w:ascii="Arial" w:hAnsi="Arial" w:cs="Arial"/>
        </w:rPr>
      </w:pPr>
    </w:p>
    <w:p w14:paraId="316900DE" w14:textId="77777777" w:rsidR="0082100E" w:rsidRDefault="0082100E" w:rsidP="00FE593F">
      <w:pPr>
        <w:pStyle w:val="Paragrafoelenco"/>
        <w:spacing w:after="240" w:line="240" w:lineRule="auto"/>
        <w:ind w:left="357"/>
        <w:rPr>
          <w:rFonts w:cstheme="minorHAnsi"/>
        </w:rPr>
      </w:pPr>
    </w:p>
    <w:p w14:paraId="1486402B" w14:textId="4CA465D7" w:rsidR="00FE593F" w:rsidRPr="00FE593F" w:rsidRDefault="00FE593F" w:rsidP="00FE593F">
      <w:pPr>
        <w:pStyle w:val="Paragrafoelenco"/>
        <w:spacing w:after="240" w:line="240" w:lineRule="auto"/>
        <w:ind w:left="357"/>
        <w:contextualSpacing w:val="0"/>
        <w:rPr>
          <w:rFonts w:ascii="Arial" w:hAnsi="Arial" w:cs="Arial"/>
          <w:b/>
          <w:bCs/>
        </w:rPr>
      </w:pPr>
      <w:r w:rsidRPr="00FE593F">
        <w:rPr>
          <w:rFonts w:ascii="Arial" w:hAnsi="Arial" w:cs="Arial"/>
          <w:b/>
          <w:bCs/>
        </w:rPr>
        <w:lastRenderedPageBreak/>
        <w:t xml:space="preserve">b) </w:t>
      </w:r>
      <w:r w:rsidRPr="00FE593F">
        <w:rPr>
          <w:rFonts w:ascii="Arial" w:hAnsi="Arial" w:cs="Arial"/>
          <w:b/>
          <w:bCs/>
        </w:rPr>
        <w:t>Waqf</w:t>
      </w:r>
    </w:p>
    <w:p w14:paraId="5E0D18C4" w14:textId="77777777" w:rsidR="00FE593F" w:rsidRDefault="00FE593F" w:rsidP="00FE593F">
      <w:pPr>
        <w:pStyle w:val="Paragrafoelenco"/>
        <w:spacing w:after="240" w:line="240" w:lineRule="auto"/>
        <w:ind w:left="357"/>
        <w:contextualSpacing w:val="0"/>
        <w:rPr>
          <w:rFonts w:ascii="Arial" w:hAnsi="Arial" w:cs="Arial"/>
        </w:rPr>
      </w:pPr>
      <w:r w:rsidRPr="00FE593F">
        <w:rPr>
          <w:rFonts w:ascii="Arial" w:hAnsi="Arial" w:cs="Arial"/>
        </w:rPr>
        <w:t>Waqf is a concept in Islamic law where property is dedicated for religious, charitable, or educational purposes, and its benefits are used for these purposes rather than for individual ownership.</w:t>
      </w:r>
    </w:p>
    <w:p w14:paraId="0D84B323" w14:textId="6B4F58C3" w:rsidR="00FE593F" w:rsidRPr="00FE593F" w:rsidRDefault="00FE593F" w:rsidP="00FE593F">
      <w:pPr>
        <w:pStyle w:val="Paragrafoelenco"/>
        <w:spacing w:after="240" w:line="240" w:lineRule="auto"/>
        <w:ind w:left="357"/>
        <w:contextualSpacing w:val="0"/>
        <w:rPr>
          <w:rFonts w:ascii="Arial" w:hAnsi="Arial" w:cs="Arial"/>
        </w:rPr>
      </w:pPr>
      <w:r w:rsidRPr="00FE593F">
        <w:rPr>
          <w:rFonts w:ascii="Arial" w:hAnsi="Arial" w:cs="Arial"/>
        </w:rPr>
        <w:t>In a waqf, the property’s ownership is permanently transferred, often to an institution or cause, and the income or use of the property is meant to support its intended charitable goals, such as building mosques, supporting schools, or providing for the poor. The property involved in a waqf is often land or real estate, and it is managed by a custodian or trustee who ensures that the property is used according to the founder's wishes.</w:t>
      </w:r>
    </w:p>
    <w:p w14:paraId="72897779" w14:textId="7800FFD5" w:rsidR="00FE593F" w:rsidRPr="00FE593F" w:rsidRDefault="00FE593F" w:rsidP="00FE593F">
      <w:pPr>
        <w:pStyle w:val="Paragrafoelenco"/>
        <w:spacing w:after="240" w:line="240" w:lineRule="auto"/>
        <w:ind w:left="357"/>
        <w:contextualSpacing w:val="0"/>
        <w:rPr>
          <w:rFonts w:ascii="Arial" w:hAnsi="Arial" w:cs="Arial"/>
        </w:rPr>
      </w:pPr>
      <w:r w:rsidRPr="00FE593F">
        <w:rPr>
          <w:rFonts w:ascii="Arial" w:hAnsi="Arial" w:cs="Arial"/>
        </w:rPr>
        <w:t xml:space="preserve">This concept has had a significant historical impact, especially in regions as the Middle East and parts of South Asia. It is likely that the practice of waqf influenced the development of the modern concept of trusts in the </w:t>
      </w:r>
      <w:r>
        <w:rPr>
          <w:rFonts w:ascii="Arial" w:hAnsi="Arial" w:cs="Arial"/>
        </w:rPr>
        <w:t>England</w:t>
      </w:r>
      <w:r w:rsidRPr="00FE593F">
        <w:rPr>
          <w:rFonts w:ascii="Arial" w:hAnsi="Arial" w:cs="Arial"/>
        </w:rPr>
        <w:t>, particularly following the Crusades.</w:t>
      </w:r>
      <w:r>
        <w:rPr>
          <w:rStyle w:val="Rimandonotaapidipagina"/>
          <w:rFonts w:ascii="Arial" w:hAnsi="Arial" w:cs="Arial"/>
        </w:rPr>
        <w:footnoteReference w:id="20"/>
      </w:r>
      <w:r w:rsidRPr="00FE593F">
        <w:rPr>
          <w:rFonts w:ascii="Arial" w:hAnsi="Arial" w:cs="Arial"/>
        </w:rPr>
        <w:t xml:space="preserve"> During this period, there was increased interaction between Islamic and Christian legal systems, and scholars and merchants in the Crusader states may have encountered waqf and adapted some of its features to the Western legal tradition, particularly regarding the management of property for charitable purposes. While the waqf differs from Western trust law in key ways, such as its focus on perpetual charity rather than individual beneficiaries, it is clear that the cross-cultural exchanges during this period contributed to the evolution of modern trust concepts.</w:t>
      </w:r>
    </w:p>
    <w:p w14:paraId="5FB6DE0F" w14:textId="77777777" w:rsidR="004D30C6" w:rsidRDefault="004D30C6" w:rsidP="004D30C6">
      <w:pPr>
        <w:spacing w:after="240" w:line="240" w:lineRule="auto"/>
        <w:rPr>
          <w:rFonts w:cstheme="minorHAnsi"/>
        </w:rPr>
      </w:pPr>
    </w:p>
    <w:p w14:paraId="770A42F0" w14:textId="024E25C1" w:rsidR="004D30C6" w:rsidRPr="004D30C6" w:rsidRDefault="004D30C6" w:rsidP="004D30C6">
      <w:pPr>
        <w:pStyle w:val="Paragrafoelenco"/>
        <w:numPr>
          <w:ilvl w:val="0"/>
          <w:numId w:val="30"/>
        </w:numPr>
        <w:spacing w:after="240" w:line="240" w:lineRule="auto"/>
        <w:ind w:left="357" w:hanging="357"/>
        <w:rPr>
          <w:rFonts w:cstheme="minorHAnsi"/>
        </w:rPr>
      </w:pPr>
      <w:r>
        <w:rPr>
          <w:rFonts w:ascii="Arial" w:hAnsi="Arial" w:cs="Arial"/>
          <w:b/>
          <w:bCs/>
          <w:sz w:val="24"/>
          <w:szCs w:val="24"/>
        </w:rPr>
        <w:t>Conclusion</w:t>
      </w:r>
    </w:p>
    <w:p w14:paraId="1500770B" w14:textId="23B1CCCB" w:rsidR="004D30C6" w:rsidRDefault="004D30C6" w:rsidP="00B220F8">
      <w:pPr>
        <w:spacing w:after="240" w:line="240" w:lineRule="auto"/>
        <w:rPr>
          <w:rFonts w:asciiTheme="minorBidi" w:hAnsiTheme="minorBidi"/>
        </w:rPr>
      </w:pPr>
      <w:r w:rsidRPr="004D30C6">
        <w:rPr>
          <w:rFonts w:asciiTheme="minorBidi" w:hAnsiTheme="minorBidi"/>
        </w:rPr>
        <w:t>While English law has historically been the dominant influence in trust law, its paramount status is no longer absolute.</w:t>
      </w:r>
    </w:p>
    <w:p w14:paraId="553064CA" w14:textId="77777777" w:rsidR="004D30C6" w:rsidRDefault="004D30C6" w:rsidP="00B220F8">
      <w:pPr>
        <w:spacing w:after="240" w:line="240" w:lineRule="auto"/>
        <w:rPr>
          <w:rFonts w:asciiTheme="minorBidi" w:hAnsiTheme="minorBidi"/>
        </w:rPr>
      </w:pPr>
      <w:r w:rsidRPr="004D30C6">
        <w:rPr>
          <w:rFonts w:asciiTheme="minorBidi" w:hAnsiTheme="minorBidi"/>
        </w:rPr>
        <w:t xml:space="preserve">Jurisdictions such as Jersey, the Cayman Islands, </w:t>
      </w:r>
      <w:r>
        <w:rPr>
          <w:rFonts w:asciiTheme="minorBidi" w:hAnsiTheme="minorBidi"/>
        </w:rPr>
        <w:t>etc.</w:t>
      </w:r>
      <w:r w:rsidRPr="004D30C6">
        <w:rPr>
          <w:rFonts w:asciiTheme="minorBidi" w:hAnsiTheme="minorBidi"/>
        </w:rPr>
        <w:t xml:space="preserve"> have emerged as influential players, particularly as litigation hubs for complex trust disputes. Their courts are increasingly shaping trust jurisprudence, offering innovative legal solutions and attracting high-value cases.</w:t>
      </w:r>
    </w:p>
    <w:p w14:paraId="08406541" w14:textId="5BA14712" w:rsidR="004D30C6" w:rsidRPr="004D30C6" w:rsidRDefault="004D30C6" w:rsidP="00B220F8">
      <w:pPr>
        <w:spacing w:after="240" w:line="240" w:lineRule="auto"/>
        <w:rPr>
          <w:rFonts w:asciiTheme="minorBidi" w:hAnsiTheme="minorBidi"/>
        </w:rPr>
      </w:pPr>
      <w:r w:rsidRPr="004D30C6">
        <w:rPr>
          <w:rFonts w:asciiTheme="minorBidi" w:hAnsiTheme="minorBidi"/>
        </w:rPr>
        <w:t>As a result, understanding trust law today requires looking beyond England to these global centres of trust litigation and development.</w:t>
      </w:r>
    </w:p>
    <w:sectPr w:rsidR="004D30C6" w:rsidRPr="004D30C6" w:rsidSect="00923D8E">
      <w:headerReference w:type="default" r:id="rId17"/>
      <w:footerReference w:type="even" r:id="rId18"/>
      <w:footerReference w:type="default" r:id="rId19"/>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4CFB0E" w14:textId="77777777" w:rsidR="00453613" w:rsidRDefault="00453613">
      <w:pPr>
        <w:spacing w:after="0" w:line="240" w:lineRule="auto"/>
      </w:pPr>
      <w:r>
        <w:separator/>
      </w:r>
    </w:p>
  </w:endnote>
  <w:endnote w:type="continuationSeparator" w:id="0">
    <w:p w14:paraId="41FA2D69" w14:textId="77777777" w:rsidR="00453613" w:rsidRDefault="004536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AE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AdvTimes-i">
    <w:panose1 w:val="020B0604020202020204"/>
    <w:charset w:val="00"/>
    <w:family w:val="roman"/>
    <w:pitch w:val="default"/>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Garamond">
    <w:panose1 w:val="020204040303010108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3829A3" w14:textId="77777777" w:rsidR="00923D8E" w:rsidRDefault="00923D8E">
    <w:pPr>
      <w:pStyle w:val="Pidipagina"/>
      <w:framePr w:w="576" w:wrap="around" w:vAnchor="page" w:hAnchor="page" w:x="10610" w:y="16118"/>
      <w:jc w:val="right"/>
      <w:rPr>
        <w:rStyle w:val="Numeropagina"/>
        <w:rFonts w:eastAsiaTheme="majorEastAsia"/>
      </w:rPr>
    </w:pPr>
    <w:r>
      <w:rPr>
        <w:rStyle w:val="Numeropagina"/>
        <w:rFonts w:eastAsiaTheme="majorEastAsia"/>
      </w:rPr>
      <w:fldChar w:fldCharType="begin"/>
    </w:r>
    <w:r>
      <w:rPr>
        <w:rStyle w:val="Numeropagina"/>
        <w:rFonts w:eastAsiaTheme="majorEastAsia"/>
      </w:rPr>
      <w:instrText xml:space="preserve">PAGE  </w:instrText>
    </w:r>
    <w:r>
      <w:rPr>
        <w:rStyle w:val="Numeropagina"/>
        <w:rFonts w:eastAsiaTheme="majorEastAsia"/>
      </w:rPr>
      <w:fldChar w:fldCharType="end"/>
    </w:r>
  </w:p>
  <w:p w14:paraId="03A20758" w14:textId="77777777" w:rsidR="00923D8E" w:rsidRDefault="00923D8E">
    <w:pPr>
      <w:pStyle w:val="Pidipa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C5ACB70" w14:textId="77777777" w:rsidR="00923D8E" w:rsidRDefault="00923D8E">
    <w:pPr>
      <w:pStyle w:val="Pidipagina"/>
      <w:framePr w:w="576" w:wrap="around" w:vAnchor="page" w:hAnchor="page" w:x="10610" w:y="16118"/>
      <w:jc w:val="right"/>
      <w:rPr>
        <w:rStyle w:val="Numeropagina"/>
        <w:rFonts w:eastAsiaTheme="majorEastAsia"/>
      </w:rPr>
    </w:pPr>
    <w:r>
      <w:rPr>
        <w:rStyle w:val="Numeropagina"/>
        <w:rFonts w:eastAsiaTheme="majorEastAsia"/>
      </w:rPr>
      <w:fldChar w:fldCharType="begin"/>
    </w:r>
    <w:r>
      <w:rPr>
        <w:rStyle w:val="Numeropagina"/>
        <w:rFonts w:eastAsiaTheme="majorEastAsia"/>
      </w:rPr>
      <w:instrText xml:space="preserve">PAGE  </w:instrText>
    </w:r>
    <w:r>
      <w:rPr>
        <w:rStyle w:val="Numeropagina"/>
        <w:rFonts w:eastAsiaTheme="majorEastAsia"/>
      </w:rPr>
      <w:fldChar w:fldCharType="separate"/>
    </w:r>
    <w:r>
      <w:rPr>
        <w:rStyle w:val="Numeropagina"/>
        <w:rFonts w:eastAsiaTheme="majorEastAsia"/>
        <w:noProof/>
      </w:rPr>
      <w:t>35</w:t>
    </w:r>
    <w:r>
      <w:rPr>
        <w:rStyle w:val="Numeropagina"/>
        <w:rFonts w:eastAsiaTheme="majorEastAsia"/>
      </w:rPr>
      <w:fldChar w:fldCharType="end"/>
    </w:r>
  </w:p>
  <w:p w14:paraId="423B8498" w14:textId="77777777" w:rsidR="00923D8E" w:rsidRDefault="00923D8E">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4449821" w14:textId="77777777" w:rsidR="00453613" w:rsidRDefault="00453613">
      <w:pPr>
        <w:spacing w:after="0" w:line="240" w:lineRule="auto"/>
      </w:pPr>
      <w:r>
        <w:separator/>
      </w:r>
    </w:p>
  </w:footnote>
  <w:footnote w:type="continuationSeparator" w:id="0">
    <w:p w14:paraId="15554D30" w14:textId="77777777" w:rsidR="00453613" w:rsidRDefault="00453613">
      <w:pPr>
        <w:spacing w:after="0" w:line="240" w:lineRule="auto"/>
      </w:pPr>
      <w:r>
        <w:continuationSeparator/>
      </w:r>
    </w:p>
  </w:footnote>
  <w:footnote w:id="1">
    <w:p w14:paraId="59632CA4" w14:textId="52FFE7BD" w:rsidR="005A2860" w:rsidRPr="005A2860" w:rsidRDefault="005A2860" w:rsidP="00221F93">
      <w:pPr>
        <w:pStyle w:val="Testonotaapidipagina"/>
        <w:spacing w:after="200"/>
        <w:rPr>
          <w:lang w:val="en-US"/>
        </w:rPr>
      </w:pPr>
      <w:r>
        <w:rPr>
          <w:rStyle w:val="Rimandonotaapidipagina"/>
        </w:rPr>
        <w:footnoteRef/>
      </w:r>
      <w:r>
        <w:t xml:space="preserve"> </w:t>
      </w:r>
      <w:r w:rsidRPr="005A2860">
        <w:t xml:space="preserve">L. Marshal-Smith, </w:t>
      </w:r>
      <w:r w:rsidRPr="005A2860">
        <w:rPr>
          <w:i/>
          <w:iCs/>
        </w:rPr>
        <w:t>The production of legislation in the Crown Dependencies</w:t>
      </w:r>
      <w:r w:rsidRPr="005A2860">
        <w:t xml:space="preserve"> </w:t>
      </w:r>
      <w:r>
        <w:t>,</w:t>
      </w:r>
      <w:r w:rsidRPr="005A2860">
        <w:t>14 Jersey and Guernsey Law Review 70 (2010).</w:t>
      </w:r>
    </w:p>
  </w:footnote>
  <w:footnote w:id="2">
    <w:p w14:paraId="56E5ABA9" w14:textId="53E2920C" w:rsidR="005A2860" w:rsidRPr="005A2860" w:rsidRDefault="005A2860" w:rsidP="00221F93">
      <w:pPr>
        <w:pStyle w:val="Testonotaapidipagina"/>
        <w:spacing w:after="200"/>
        <w:rPr>
          <w:lang w:val="it-IT"/>
        </w:rPr>
      </w:pPr>
      <w:r>
        <w:rPr>
          <w:rStyle w:val="Rimandonotaapidipagina"/>
        </w:rPr>
        <w:footnoteRef/>
      </w:r>
      <w:r>
        <w:t xml:space="preserve"> </w:t>
      </w:r>
      <w:proofErr w:type="spellStart"/>
      <w:r w:rsidRPr="00C74EC0">
        <w:rPr>
          <w:i/>
          <w:iCs/>
          <w:lang w:val="it-IT"/>
        </w:rPr>
        <w:t>Perpetuities</w:t>
      </w:r>
      <w:proofErr w:type="spellEnd"/>
      <w:r w:rsidRPr="00C74EC0">
        <w:rPr>
          <w:i/>
          <w:iCs/>
          <w:lang w:val="it-IT"/>
        </w:rPr>
        <w:t xml:space="preserve"> and </w:t>
      </w:r>
      <w:proofErr w:type="spellStart"/>
      <w:r w:rsidRPr="00C74EC0">
        <w:rPr>
          <w:i/>
          <w:iCs/>
          <w:lang w:val="it-IT"/>
        </w:rPr>
        <w:t>Accumaltion</w:t>
      </w:r>
      <w:proofErr w:type="spellEnd"/>
      <w:r w:rsidRPr="00C74EC0">
        <w:rPr>
          <w:i/>
          <w:iCs/>
          <w:lang w:val="it-IT"/>
        </w:rPr>
        <w:t xml:space="preserve"> </w:t>
      </w:r>
      <w:proofErr w:type="spellStart"/>
      <w:r w:rsidRPr="00C74EC0">
        <w:rPr>
          <w:i/>
          <w:iCs/>
          <w:lang w:val="it-IT"/>
        </w:rPr>
        <w:t>Act</w:t>
      </w:r>
      <w:proofErr w:type="spellEnd"/>
      <w:r w:rsidRPr="00C74EC0">
        <w:rPr>
          <w:i/>
          <w:iCs/>
          <w:lang w:val="it-IT"/>
        </w:rPr>
        <w:t xml:space="preserve"> 2009</w:t>
      </w:r>
      <w:r>
        <w:rPr>
          <w:lang w:val="it-IT"/>
        </w:rPr>
        <w:t>.</w:t>
      </w:r>
    </w:p>
  </w:footnote>
  <w:footnote w:id="3">
    <w:p w14:paraId="0DDDBB5B" w14:textId="6FE2B975" w:rsidR="005A2860" w:rsidRPr="005A2860" w:rsidRDefault="005A2860" w:rsidP="00221F93">
      <w:pPr>
        <w:pStyle w:val="Testonotaapidipagina"/>
        <w:spacing w:after="200"/>
        <w:rPr>
          <w:lang w:val="en-US"/>
        </w:rPr>
      </w:pPr>
      <w:r>
        <w:rPr>
          <w:rStyle w:val="Rimandonotaapidipagina"/>
        </w:rPr>
        <w:footnoteRef/>
      </w:r>
      <w:r>
        <w:t xml:space="preserve"> </w:t>
      </w:r>
      <w:r w:rsidRPr="005A2860">
        <w:t>Among the most active jurisdictions: Bahamas, Bermuda, Cayman Islands, Guernsey, Jersey, Malta.</w:t>
      </w:r>
    </w:p>
  </w:footnote>
  <w:footnote w:id="4">
    <w:p w14:paraId="7F92554B" w14:textId="687FBA7E" w:rsidR="005A2860" w:rsidRPr="00221F93" w:rsidRDefault="005A2860" w:rsidP="00221F93">
      <w:pPr>
        <w:pStyle w:val="Testonotaapidipagina"/>
        <w:spacing w:after="200"/>
        <w:rPr>
          <w:lang w:val="en-US"/>
        </w:rPr>
      </w:pPr>
      <w:r>
        <w:rPr>
          <w:rStyle w:val="Rimandonotaapidipagina"/>
        </w:rPr>
        <w:footnoteRef/>
      </w:r>
      <w:r>
        <w:t xml:space="preserve"> </w:t>
      </w:r>
      <w:r w:rsidR="00221F93" w:rsidRPr="00221F93">
        <w:t xml:space="preserve">For a clear example see </w:t>
      </w:r>
      <w:r w:rsidR="00221F93" w:rsidRPr="00C74EC0">
        <w:rPr>
          <w:i/>
          <w:iCs/>
        </w:rPr>
        <w:t xml:space="preserve">Representation of Friedman and </w:t>
      </w:r>
      <w:proofErr w:type="spellStart"/>
      <w:r w:rsidR="00221F93" w:rsidRPr="00C74EC0">
        <w:rPr>
          <w:i/>
          <w:iCs/>
        </w:rPr>
        <w:t>Asiatrust</w:t>
      </w:r>
      <w:proofErr w:type="spellEnd"/>
      <w:r w:rsidR="00221F93" w:rsidRPr="00C74EC0">
        <w:rPr>
          <w:i/>
          <w:iCs/>
        </w:rPr>
        <w:t xml:space="preserve"> Limited as trustees of the RAS I Trust</w:t>
      </w:r>
      <w:r w:rsidR="00221F93" w:rsidRPr="00221F93">
        <w:t xml:space="preserve"> (2007) T&amp;AF, 2007, 442, 9 ITELR 798 (Jersey).</w:t>
      </w:r>
    </w:p>
  </w:footnote>
  <w:footnote w:id="5">
    <w:p w14:paraId="4CFCAA5D" w14:textId="655915C1" w:rsidR="005A2860" w:rsidRPr="00221F93" w:rsidRDefault="005A2860" w:rsidP="00221F93">
      <w:pPr>
        <w:pStyle w:val="Testonotaapidipagina"/>
        <w:spacing w:after="200"/>
        <w:rPr>
          <w:lang w:val="en-US"/>
        </w:rPr>
      </w:pPr>
      <w:r>
        <w:rPr>
          <w:rStyle w:val="Rimandonotaapidipagina"/>
        </w:rPr>
        <w:footnoteRef/>
      </w:r>
      <w:r>
        <w:t xml:space="preserve"> </w:t>
      </w:r>
      <w:r w:rsidR="00221F93" w:rsidRPr="00221F93">
        <w:t>The Commonwealth is a free association of countries, with varying relationships to the British monarchy. These range from republican systems (such as India) to local monarchies (rare, like Brunei, Malaysia, and Tonga), to countries that recognise the King of England as head of state but are otherwise completely independent (such as Canada, Australia, New Zealand, and many others).</w:t>
      </w:r>
    </w:p>
  </w:footnote>
  <w:footnote w:id="6">
    <w:p w14:paraId="278F6C08" w14:textId="5CAE4F5B" w:rsidR="005A2860" w:rsidRPr="00CC5CAA" w:rsidRDefault="005A2860" w:rsidP="00CC5CAA">
      <w:pPr>
        <w:pStyle w:val="Testonotaapidipagina"/>
        <w:spacing w:after="200"/>
        <w:rPr>
          <w:lang w:val="en-US"/>
        </w:rPr>
      </w:pPr>
      <w:r>
        <w:rPr>
          <w:rStyle w:val="Rimandonotaapidipagina"/>
        </w:rPr>
        <w:footnoteRef/>
      </w:r>
      <w:r w:rsidRPr="00221F93">
        <w:rPr>
          <w:lang w:val="sv-SE"/>
        </w:rPr>
        <w:t xml:space="preserve"> </w:t>
      </w:r>
      <w:proofErr w:type="spellStart"/>
      <w:r w:rsidR="00221F93" w:rsidRPr="00221F93">
        <w:rPr>
          <w:lang w:val="sv-SE"/>
        </w:rPr>
        <w:t>E.g</w:t>
      </w:r>
      <w:proofErr w:type="spellEnd"/>
      <w:r w:rsidR="00221F93" w:rsidRPr="00221F93">
        <w:rPr>
          <w:lang w:val="sv-SE"/>
        </w:rPr>
        <w:t xml:space="preserve">. </w:t>
      </w:r>
      <w:r w:rsidR="00221F93" w:rsidRPr="00C74EC0">
        <w:rPr>
          <w:i/>
          <w:iCs/>
          <w:lang w:val="sv-SE"/>
        </w:rPr>
        <w:t>Heinrichs &amp; Ors v Pantrust International SA &amp; Ors</w:t>
      </w:r>
      <w:r w:rsidR="00221F93" w:rsidRPr="00221F93">
        <w:rPr>
          <w:lang w:val="sv-SE"/>
        </w:rPr>
        <w:t xml:space="preserve"> [2018] JRC081A.</w:t>
      </w:r>
      <w:r w:rsidR="00CC5CAA">
        <w:rPr>
          <w:lang w:val="sv-SE"/>
        </w:rPr>
        <w:t xml:space="preserve"> </w:t>
      </w:r>
      <w:r w:rsidR="00CC5CAA" w:rsidRPr="00CC5CAA">
        <w:rPr>
          <w:lang w:val="en-US"/>
        </w:rPr>
        <w:t xml:space="preserve">See also M. Patrone, </w:t>
      </w:r>
      <w:r w:rsidR="00CC5CAA" w:rsidRPr="00CC5CAA">
        <w:rPr>
          <w:i/>
          <w:iCs/>
          <w:lang w:val="en-US"/>
        </w:rPr>
        <w:t xml:space="preserve">Cohen and Crooks v </w:t>
      </w:r>
      <w:proofErr w:type="spellStart"/>
      <w:r w:rsidR="00CC5CAA" w:rsidRPr="00CC5CAA">
        <w:rPr>
          <w:i/>
          <w:iCs/>
          <w:lang w:val="en-US"/>
        </w:rPr>
        <w:t>Arbitage</w:t>
      </w:r>
      <w:proofErr w:type="spellEnd"/>
      <w:r w:rsidR="00CC5CAA" w:rsidRPr="00CC5CAA">
        <w:rPr>
          <w:i/>
          <w:iCs/>
          <w:lang w:val="en-US"/>
        </w:rPr>
        <w:t xml:space="preserve"> Research Trading Ltd: sham trust and the intention to mislead third parties)</w:t>
      </w:r>
      <w:r w:rsidR="00CC5CAA" w:rsidRPr="00CC5CAA">
        <w:rPr>
          <w:lang w:val="en-US"/>
        </w:rPr>
        <w:t>, T&amp;</w:t>
      </w:r>
      <w:r w:rsidR="00CC5CAA">
        <w:rPr>
          <w:lang w:val="en-US"/>
        </w:rPr>
        <w:t>AF</w:t>
      </w:r>
      <w:r w:rsidR="00CC5CAA" w:rsidRPr="00CC5CAA">
        <w:rPr>
          <w:lang w:val="en-US"/>
        </w:rPr>
        <w:t xml:space="preserve">, </w:t>
      </w:r>
      <w:bookmarkStart w:id="2" w:name="_GoBack"/>
      <w:r w:rsidR="00CC5CAA" w:rsidRPr="00CC5CAA">
        <w:rPr>
          <w:lang w:val="en-US"/>
        </w:rPr>
        <w:t>2022, 6</w:t>
      </w:r>
      <w:r w:rsidR="00CC5CAA">
        <w:rPr>
          <w:lang w:val="en-US"/>
        </w:rPr>
        <w:t>.</w:t>
      </w:r>
      <w:bookmarkEnd w:id="2"/>
    </w:p>
  </w:footnote>
  <w:footnote w:id="7">
    <w:p w14:paraId="62BC3438" w14:textId="4AFEBB3F" w:rsidR="00221F93" w:rsidRPr="00221F93" w:rsidRDefault="00221F93" w:rsidP="00221F93">
      <w:pPr>
        <w:pStyle w:val="Testonotaapidipagina"/>
        <w:spacing w:after="200"/>
        <w:rPr>
          <w:lang w:val="en-US"/>
        </w:rPr>
      </w:pPr>
      <w:r>
        <w:rPr>
          <w:rStyle w:val="Rimandonotaapidipagina"/>
        </w:rPr>
        <w:footnoteRef/>
      </w:r>
      <w:r>
        <w:t xml:space="preserve"> </w:t>
      </w:r>
      <w:r w:rsidR="00C74EC0" w:rsidRPr="00221F93">
        <w:t>H</w:t>
      </w:r>
      <w:r w:rsidR="00C74EC0">
        <w:t>.</w:t>
      </w:r>
      <w:r w:rsidR="00C74EC0" w:rsidRPr="00221F93">
        <w:t xml:space="preserve"> </w:t>
      </w:r>
      <w:proofErr w:type="spellStart"/>
      <w:r w:rsidR="00C74EC0" w:rsidRPr="00221F93">
        <w:t>Hansmann</w:t>
      </w:r>
      <w:proofErr w:type="spellEnd"/>
      <w:r w:rsidR="00C74EC0">
        <w:t xml:space="preserve"> and U.</w:t>
      </w:r>
      <w:r w:rsidRPr="00221F93">
        <w:t xml:space="preserve"> </w:t>
      </w:r>
      <w:proofErr w:type="spellStart"/>
      <w:r w:rsidRPr="00221F93">
        <w:t>Mattei</w:t>
      </w:r>
      <w:proofErr w:type="spellEnd"/>
      <w:r w:rsidRPr="00221F93">
        <w:t xml:space="preserve">, </w:t>
      </w:r>
      <w:r w:rsidRPr="00C74EC0">
        <w:rPr>
          <w:i/>
          <w:iCs/>
        </w:rPr>
        <w:t>Trust Law in the United States. A Basic Study of Its Special Contribution</w:t>
      </w:r>
      <w:r w:rsidRPr="00221F93">
        <w:t>, 46 Am. J. Comp. L. Supp. 133</w:t>
      </w:r>
      <w:r>
        <w:t>.</w:t>
      </w:r>
    </w:p>
  </w:footnote>
  <w:footnote w:id="8">
    <w:p w14:paraId="3FD133CD" w14:textId="502F402A" w:rsidR="00221F93" w:rsidRPr="00221F93" w:rsidRDefault="00221F93" w:rsidP="00221F93">
      <w:pPr>
        <w:pStyle w:val="Testonotaapidipagina"/>
        <w:spacing w:after="200"/>
        <w:rPr>
          <w:lang w:val="en-US"/>
        </w:rPr>
      </w:pPr>
      <w:r>
        <w:rPr>
          <w:rStyle w:val="Rimandonotaapidipagina"/>
        </w:rPr>
        <w:footnoteRef/>
      </w:r>
      <w:r>
        <w:t xml:space="preserve"> </w:t>
      </w:r>
      <w:r w:rsidRPr="00221F93">
        <w:t xml:space="preserve">M. Lupoi, </w:t>
      </w:r>
      <w:r w:rsidRPr="00C74EC0">
        <w:rPr>
          <w:i/>
          <w:iCs/>
        </w:rPr>
        <w:t>Trust and Confidence</w:t>
      </w:r>
      <w:r w:rsidRPr="00221F93">
        <w:t>, 125 LQR 253 (2009).</w:t>
      </w:r>
    </w:p>
  </w:footnote>
  <w:footnote w:id="9">
    <w:p w14:paraId="4C66383A" w14:textId="70DDD609" w:rsidR="00221F93" w:rsidRPr="00221F93" w:rsidRDefault="00221F93" w:rsidP="00221F93">
      <w:pPr>
        <w:pStyle w:val="Testonotaapidipagina"/>
        <w:spacing w:after="200"/>
        <w:rPr>
          <w:lang w:val="it-IT"/>
        </w:rPr>
      </w:pPr>
      <w:r>
        <w:rPr>
          <w:rStyle w:val="Rimandonotaapidipagina"/>
        </w:rPr>
        <w:footnoteRef/>
      </w:r>
      <w:r w:rsidRPr="00221F93">
        <w:rPr>
          <w:lang w:val="it-IT"/>
        </w:rPr>
        <w:t xml:space="preserve"> F. </w:t>
      </w:r>
      <w:proofErr w:type="spellStart"/>
      <w:r w:rsidRPr="00221F93">
        <w:rPr>
          <w:lang w:val="it-IT"/>
        </w:rPr>
        <w:t>Treggiari</w:t>
      </w:r>
      <w:proofErr w:type="spellEnd"/>
      <w:r w:rsidRPr="00221F93">
        <w:rPr>
          <w:lang w:val="it-IT"/>
        </w:rPr>
        <w:t xml:space="preserve">, </w:t>
      </w:r>
      <w:proofErr w:type="spellStart"/>
      <w:r w:rsidRPr="00C74EC0">
        <w:rPr>
          <w:i/>
          <w:iCs/>
          <w:lang w:val="it-IT"/>
        </w:rPr>
        <w:t>Minister</w:t>
      </w:r>
      <w:proofErr w:type="spellEnd"/>
      <w:r w:rsidRPr="00C74EC0">
        <w:rPr>
          <w:i/>
          <w:iCs/>
          <w:lang w:val="it-IT"/>
        </w:rPr>
        <w:t xml:space="preserve"> </w:t>
      </w:r>
      <w:proofErr w:type="spellStart"/>
      <w:r w:rsidRPr="00C74EC0">
        <w:rPr>
          <w:i/>
          <w:iCs/>
          <w:lang w:val="it-IT"/>
        </w:rPr>
        <w:t>ultimae</w:t>
      </w:r>
      <w:proofErr w:type="spellEnd"/>
      <w:r w:rsidRPr="00C74EC0">
        <w:rPr>
          <w:i/>
          <w:iCs/>
          <w:lang w:val="it-IT"/>
        </w:rPr>
        <w:t xml:space="preserve"> </w:t>
      </w:r>
      <w:proofErr w:type="spellStart"/>
      <w:r w:rsidRPr="00C74EC0">
        <w:rPr>
          <w:i/>
          <w:iCs/>
          <w:lang w:val="it-IT"/>
        </w:rPr>
        <w:t>voluntatis</w:t>
      </w:r>
      <w:proofErr w:type="spellEnd"/>
      <w:r w:rsidRPr="00C74EC0">
        <w:rPr>
          <w:i/>
          <w:iCs/>
          <w:lang w:val="it-IT"/>
        </w:rPr>
        <w:t>. Esegesi e sistema nella formazione del testamento fiduciario</w:t>
      </w:r>
      <w:r w:rsidRPr="00221F93">
        <w:rPr>
          <w:lang w:val="it-IT"/>
        </w:rPr>
        <w:t>, I, Napoli: ESI, 2002</w:t>
      </w:r>
      <w:r>
        <w:rPr>
          <w:lang w:val="it-IT"/>
        </w:rPr>
        <w:t>.</w:t>
      </w:r>
    </w:p>
  </w:footnote>
  <w:footnote w:id="10">
    <w:p w14:paraId="2F48BA1C" w14:textId="76CD86E9" w:rsidR="00221F93" w:rsidRPr="00221F93" w:rsidRDefault="00221F93" w:rsidP="00221F93">
      <w:pPr>
        <w:pStyle w:val="Testonotaapidipagina"/>
        <w:spacing w:after="200"/>
        <w:rPr>
          <w:lang w:val="en-US"/>
        </w:rPr>
      </w:pPr>
      <w:r>
        <w:rPr>
          <w:rStyle w:val="Rimandonotaapidipagina"/>
        </w:rPr>
        <w:footnoteRef/>
      </w:r>
      <w:r>
        <w:t xml:space="preserve"> </w:t>
      </w:r>
      <w:r w:rsidRPr="00221F93">
        <w:t xml:space="preserve">G.L. </w:t>
      </w:r>
      <w:proofErr w:type="spellStart"/>
      <w:r w:rsidRPr="00221F93">
        <w:t>Gretton</w:t>
      </w:r>
      <w:proofErr w:type="spellEnd"/>
      <w:r w:rsidRPr="00221F93">
        <w:t xml:space="preserve">, </w:t>
      </w:r>
      <w:r w:rsidRPr="00C74EC0">
        <w:rPr>
          <w:i/>
          <w:iCs/>
        </w:rPr>
        <w:t>Trusts without Equity</w:t>
      </w:r>
      <w:r w:rsidRPr="00221F93">
        <w:t xml:space="preserve"> (2000) 49 ICLR 501</w:t>
      </w:r>
      <w:r>
        <w:t>.</w:t>
      </w:r>
    </w:p>
  </w:footnote>
  <w:footnote w:id="11">
    <w:p w14:paraId="4176C458" w14:textId="0AA70123" w:rsidR="00221F93" w:rsidRPr="00221F93" w:rsidRDefault="00221F93" w:rsidP="00221F93">
      <w:pPr>
        <w:pStyle w:val="Testonotaapidipagina"/>
        <w:spacing w:after="200"/>
        <w:rPr>
          <w:lang w:val="it-IT"/>
        </w:rPr>
      </w:pPr>
      <w:r>
        <w:rPr>
          <w:rStyle w:val="Rimandonotaapidipagina"/>
        </w:rPr>
        <w:footnoteRef/>
      </w:r>
      <w:r w:rsidRPr="00221F93">
        <w:rPr>
          <w:lang w:val="it-IT"/>
        </w:rPr>
        <w:t xml:space="preserve"> </w:t>
      </w:r>
      <w:proofErr w:type="spellStart"/>
      <w:r w:rsidRPr="00C74EC0">
        <w:rPr>
          <w:i/>
          <w:iCs/>
          <w:lang w:val="it-IT"/>
        </w:rPr>
        <w:t>Courts</w:t>
      </w:r>
      <w:proofErr w:type="spellEnd"/>
      <w:r w:rsidRPr="00C74EC0">
        <w:rPr>
          <w:i/>
          <w:iCs/>
          <w:lang w:val="it-IT"/>
        </w:rPr>
        <w:t xml:space="preserve"> of </w:t>
      </w:r>
      <w:proofErr w:type="spellStart"/>
      <w:r w:rsidRPr="00C74EC0">
        <w:rPr>
          <w:i/>
          <w:iCs/>
          <w:lang w:val="it-IT"/>
        </w:rPr>
        <w:t>Justice</w:t>
      </w:r>
      <w:proofErr w:type="spellEnd"/>
      <w:r w:rsidRPr="00C74EC0">
        <w:rPr>
          <w:i/>
          <w:iCs/>
          <w:lang w:val="it-IT"/>
        </w:rPr>
        <w:t xml:space="preserve"> Law 1960</w:t>
      </w:r>
      <w:r w:rsidRPr="00221F93">
        <w:rPr>
          <w:lang w:val="it-IT"/>
        </w:rPr>
        <w:t>.</w:t>
      </w:r>
    </w:p>
  </w:footnote>
  <w:footnote w:id="12">
    <w:p w14:paraId="273556CA" w14:textId="7582B85A" w:rsidR="00221F93" w:rsidRPr="00221F93" w:rsidRDefault="00221F93" w:rsidP="00221F93">
      <w:pPr>
        <w:pStyle w:val="Testonotaapidipagina"/>
        <w:spacing w:after="200"/>
        <w:rPr>
          <w:lang w:val="it-IT"/>
        </w:rPr>
      </w:pPr>
      <w:r>
        <w:rPr>
          <w:rStyle w:val="Rimandonotaapidipagina"/>
        </w:rPr>
        <w:footnoteRef/>
      </w:r>
      <w:r w:rsidRPr="00221F93">
        <w:rPr>
          <w:lang w:val="it-IT"/>
        </w:rPr>
        <w:t xml:space="preserve"> F. </w:t>
      </w:r>
      <w:proofErr w:type="spellStart"/>
      <w:r w:rsidRPr="00221F93">
        <w:rPr>
          <w:lang w:val="it-IT"/>
        </w:rPr>
        <w:t>Treggiari</w:t>
      </w:r>
      <w:proofErr w:type="spellEnd"/>
      <w:r w:rsidRPr="00221F93">
        <w:rPr>
          <w:lang w:val="it-IT"/>
        </w:rPr>
        <w:t xml:space="preserve">, </w:t>
      </w:r>
      <w:r w:rsidRPr="00C74EC0">
        <w:rPr>
          <w:i/>
          <w:iCs/>
          <w:lang w:val="it-IT"/>
        </w:rPr>
        <w:t>Trust e diritto comune a San Marino, Il trust nella nuova legislazione di San Marino</w:t>
      </w:r>
      <w:r w:rsidRPr="00221F93">
        <w:rPr>
          <w:lang w:val="it-IT"/>
        </w:rPr>
        <w:t>, Maggioli, 2005</w:t>
      </w:r>
      <w:r>
        <w:rPr>
          <w:lang w:val="it-IT"/>
        </w:rPr>
        <w:t>.</w:t>
      </w:r>
    </w:p>
  </w:footnote>
  <w:footnote w:id="13">
    <w:p w14:paraId="1DA6357F" w14:textId="1FAEB0E6" w:rsidR="00221F93" w:rsidRPr="00221F93" w:rsidRDefault="00221F93" w:rsidP="00221F93">
      <w:pPr>
        <w:pStyle w:val="Testonotaapidipagina"/>
        <w:spacing w:after="200"/>
        <w:rPr>
          <w:lang w:val="en-US"/>
        </w:rPr>
      </w:pPr>
      <w:r>
        <w:rPr>
          <w:rStyle w:val="Rimandonotaapidipagina"/>
        </w:rPr>
        <w:footnoteRef/>
      </w:r>
      <w:r w:rsidRPr="00221F93">
        <w:rPr>
          <w:lang w:val="en-US"/>
        </w:rPr>
        <w:t xml:space="preserve"> See P. Matthews, </w:t>
      </w:r>
      <w:r w:rsidRPr="00C74EC0">
        <w:rPr>
          <w:i/>
          <w:iCs/>
          <w:lang w:val="en-US"/>
        </w:rPr>
        <w:t>The compatibility of the trust with the civil law notion of property</w:t>
      </w:r>
      <w:r w:rsidRPr="00221F93">
        <w:rPr>
          <w:lang w:val="en-US"/>
        </w:rPr>
        <w:t>, CUP, 2013.</w:t>
      </w:r>
    </w:p>
  </w:footnote>
  <w:footnote w:id="14">
    <w:p w14:paraId="7D309D4F" w14:textId="45D05C86" w:rsidR="00B220F8" w:rsidRPr="00B220F8" w:rsidRDefault="00B220F8">
      <w:pPr>
        <w:pStyle w:val="Testonotaapidipagina"/>
        <w:rPr>
          <w:lang w:val="en-US"/>
        </w:rPr>
      </w:pPr>
      <w:r>
        <w:rPr>
          <w:rStyle w:val="Rimandonotaapidipagina"/>
        </w:rPr>
        <w:footnoteRef/>
      </w:r>
      <w:r>
        <w:t xml:space="preserve"> </w:t>
      </w:r>
      <w:r w:rsidRPr="00B220F8">
        <w:t xml:space="preserve">The countries where the Convention is in force are: Australia, Canada (most provinces), Guernsey (excluding the islands of Alderney and </w:t>
      </w:r>
      <w:proofErr w:type="spellStart"/>
      <w:r w:rsidRPr="00B220F8">
        <w:t>Sark</w:t>
      </w:r>
      <w:proofErr w:type="spellEnd"/>
      <w:r w:rsidRPr="00B220F8">
        <w:t>), Hong Kong (China), Italy, Jersey, Liechtenstein, Luxembourg, Malta, Monaco, the Netherlands, the United Kingdom (and British Overseas Territories, except the Bahamas and the Cayman Islands), San Marino, and Switzerland.</w:t>
      </w:r>
    </w:p>
  </w:footnote>
  <w:footnote w:id="15">
    <w:p w14:paraId="62836424" w14:textId="7719E2E3" w:rsidR="00B220F8" w:rsidRPr="00B220F8" w:rsidRDefault="00B220F8">
      <w:pPr>
        <w:pStyle w:val="Testonotaapidipagina"/>
        <w:rPr>
          <w:lang w:val="en-US"/>
        </w:rPr>
      </w:pPr>
      <w:r>
        <w:rPr>
          <w:rStyle w:val="Rimandonotaapidipagina"/>
        </w:rPr>
        <w:footnoteRef/>
      </w:r>
      <w:r>
        <w:t xml:space="preserve"> </w:t>
      </w:r>
      <w:r w:rsidRPr="00B220F8">
        <w:t xml:space="preserve">A. Braun, </w:t>
      </w:r>
      <w:r w:rsidRPr="00C74EC0">
        <w:rPr>
          <w:i/>
          <w:iCs/>
        </w:rPr>
        <w:t xml:space="preserve">Italy: The Trust </w:t>
      </w:r>
      <w:proofErr w:type="spellStart"/>
      <w:r w:rsidRPr="00C74EC0">
        <w:rPr>
          <w:i/>
          <w:iCs/>
        </w:rPr>
        <w:t>Interno</w:t>
      </w:r>
      <w:proofErr w:type="spellEnd"/>
      <w:r w:rsidRPr="00C74EC0">
        <w:rPr>
          <w:i/>
          <w:iCs/>
        </w:rPr>
        <w:t>,</w:t>
      </w:r>
      <w:r w:rsidR="00CE3077" w:rsidRPr="00C74EC0">
        <w:rPr>
          <w:i/>
          <w:iCs/>
        </w:rPr>
        <w:t xml:space="preserve"> </w:t>
      </w:r>
      <w:r w:rsidRPr="00C74EC0">
        <w:rPr>
          <w:i/>
          <w:iCs/>
        </w:rPr>
        <w:t>The International Trust</w:t>
      </w:r>
      <w:r w:rsidRPr="00B220F8">
        <w:t>, Third Edition, 787-817.</w:t>
      </w:r>
    </w:p>
  </w:footnote>
  <w:footnote w:id="16">
    <w:p w14:paraId="5D6EB0A9" w14:textId="1E150BFF" w:rsidR="00034FFB" w:rsidRPr="00034FFB" w:rsidRDefault="00034FFB" w:rsidP="009C2849">
      <w:pPr>
        <w:pStyle w:val="Testonotaapidipagina"/>
        <w:spacing w:after="200"/>
      </w:pPr>
      <w:r>
        <w:rPr>
          <w:rStyle w:val="Rimandonotaapidipagina"/>
        </w:rPr>
        <w:footnoteRef/>
      </w:r>
      <w:r>
        <w:t xml:space="preserve"> </w:t>
      </w:r>
      <w:r w:rsidRPr="00034FFB">
        <w:t xml:space="preserve">S. </w:t>
      </w:r>
      <w:proofErr w:type="spellStart"/>
      <w:r w:rsidRPr="00034FFB">
        <w:t>Cámara</w:t>
      </w:r>
      <w:proofErr w:type="spellEnd"/>
      <w:r w:rsidRPr="00034FFB">
        <w:t xml:space="preserve"> </w:t>
      </w:r>
      <w:proofErr w:type="spellStart"/>
      <w:r w:rsidRPr="00034FFB">
        <w:t>Lapuente</w:t>
      </w:r>
      <w:proofErr w:type="spellEnd"/>
      <w:r w:rsidRPr="00034FFB">
        <w:t xml:space="preserve">, </w:t>
      </w:r>
      <w:r w:rsidRPr="00C74EC0">
        <w:rPr>
          <w:i/>
          <w:iCs/>
        </w:rPr>
        <w:t xml:space="preserve">La </w:t>
      </w:r>
      <w:proofErr w:type="spellStart"/>
      <w:r w:rsidRPr="00C74EC0">
        <w:rPr>
          <w:i/>
          <w:iCs/>
        </w:rPr>
        <w:t>fiducia</w:t>
      </w:r>
      <w:proofErr w:type="spellEnd"/>
      <w:r w:rsidRPr="00C74EC0">
        <w:rPr>
          <w:i/>
          <w:iCs/>
        </w:rPr>
        <w:t xml:space="preserve"> </w:t>
      </w:r>
      <w:proofErr w:type="spellStart"/>
      <w:r w:rsidRPr="00C74EC0">
        <w:rPr>
          <w:i/>
          <w:iCs/>
        </w:rPr>
        <w:t>sucesoria</w:t>
      </w:r>
      <w:proofErr w:type="spellEnd"/>
      <w:r w:rsidRPr="00C74EC0">
        <w:rPr>
          <w:i/>
          <w:iCs/>
        </w:rPr>
        <w:t xml:space="preserve"> </w:t>
      </w:r>
      <w:proofErr w:type="spellStart"/>
      <w:r w:rsidRPr="00C74EC0">
        <w:rPr>
          <w:i/>
          <w:iCs/>
        </w:rPr>
        <w:t>secreta</w:t>
      </w:r>
      <w:proofErr w:type="spellEnd"/>
      <w:r w:rsidRPr="00034FFB">
        <w:t xml:space="preserve">, Madrid: </w:t>
      </w:r>
      <w:proofErr w:type="spellStart"/>
      <w:r w:rsidRPr="00034FFB">
        <w:t>Dykinson</w:t>
      </w:r>
      <w:proofErr w:type="spellEnd"/>
      <w:r w:rsidRPr="00034FFB">
        <w:t>, 1996 e</w:t>
      </w:r>
      <w:r>
        <w:t>nd</w:t>
      </w:r>
      <w:r w:rsidRPr="00034FFB">
        <w:t xml:space="preserve"> A. </w:t>
      </w:r>
      <w:proofErr w:type="spellStart"/>
      <w:r w:rsidRPr="00034FFB">
        <w:t>Iglesia</w:t>
      </w:r>
      <w:proofErr w:type="spellEnd"/>
      <w:r w:rsidRPr="00034FFB">
        <w:t xml:space="preserve"> </w:t>
      </w:r>
      <w:proofErr w:type="spellStart"/>
      <w:r w:rsidRPr="00034FFB">
        <w:t>Ferreirós</w:t>
      </w:r>
      <w:proofErr w:type="spellEnd"/>
      <w:r w:rsidRPr="00034FFB">
        <w:t xml:space="preserve">, </w:t>
      </w:r>
      <w:r w:rsidRPr="00C74EC0">
        <w:rPr>
          <w:i/>
          <w:iCs/>
        </w:rPr>
        <w:t xml:space="preserve">Fides, </w:t>
      </w:r>
      <w:proofErr w:type="spellStart"/>
      <w:r w:rsidRPr="00C74EC0">
        <w:rPr>
          <w:i/>
          <w:iCs/>
        </w:rPr>
        <w:t>heres</w:t>
      </w:r>
      <w:proofErr w:type="spellEnd"/>
      <w:r w:rsidRPr="00C74EC0">
        <w:rPr>
          <w:i/>
          <w:iCs/>
        </w:rPr>
        <w:t xml:space="preserve"> </w:t>
      </w:r>
      <w:proofErr w:type="spellStart"/>
      <w:r w:rsidRPr="00C74EC0">
        <w:rPr>
          <w:i/>
          <w:iCs/>
        </w:rPr>
        <w:t>fiduciarius</w:t>
      </w:r>
      <w:proofErr w:type="spellEnd"/>
      <w:r w:rsidRPr="00C74EC0">
        <w:rPr>
          <w:i/>
          <w:iCs/>
        </w:rPr>
        <w:t xml:space="preserve">, </w:t>
      </w:r>
      <w:proofErr w:type="spellStart"/>
      <w:r w:rsidRPr="00C74EC0">
        <w:rPr>
          <w:i/>
          <w:iCs/>
        </w:rPr>
        <w:t>helemosinarii</w:t>
      </w:r>
      <w:proofErr w:type="spellEnd"/>
      <w:r w:rsidRPr="00C74EC0">
        <w:rPr>
          <w:i/>
          <w:iCs/>
        </w:rPr>
        <w:t xml:space="preserve">, </w:t>
      </w:r>
      <w:proofErr w:type="spellStart"/>
      <w:r w:rsidRPr="00C74EC0">
        <w:rPr>
          <w:i/>
          <w:iCs/>
        </w:rPr>
        <w:t>marmesores</w:t>
      </w:r>
      <w:proofErr w:type="spellEnd"/>
      <w:r w:rsidRPr="00C74EC0">
        <w:rPr>
          <w:i/>
          <w:iCs/>
        </w:rPr>
        <w:t xml:space="preserve">. Historia del </w:t>
      </w:r>
      <w:proofErr w:type="spellStart"/>
      <w:r w:rsidRPr="00C74EC0">
        <w:rPr>
          <w:i/>
          <w:iCs/>
        </w:rPr>
        <w:t>derecho</w:t>
      </w:r>
      <w:proofErr w:type="spellEnd"/>
      <w:r w:rsidRPr="00C74EC0">
        <w:rPr>
          <w:i/>
          <w:iCs/>
        </w:rPr>
        <w:t xml:space="preserve"> y </w:t>
      </w:r>
      <w:proofErr w:type="spellStart"/>
      <w:r w:rsidRPr="00C74EC0">
        <w:rPr>
          <w:i/>
          <w:iCs/>
        </w:rPr>
        <w:t>derecho</w:t>
      </w:r>
      <w:proofErr w:type="spellEnd"/>
      <w:r w:rsidRPr="00C74EC0">
        <w:rPr>
          <w:i/>
          <w:iCs/>
        </w:rPr>
        <w:t xml:space="preserve"> </w:t>
      </w:r>
      <w:proofErr w:type="spellStart"/>
      <w:r w:rsidRPr="00C74EC0">
        <w:rPr>
          <w:i/>
          <w:iCs/>
        </w:rPr>
        <w:t>comparado</w:t>
      </w:r>
      <w:proofErr w:type="spellEnd"/>
      <w:r w:rsidRPr="00034FFB">
        <w:t>, T&amp;AF, 2003</w:t>
      </w:r>
      <w:r>
        <w:t>.</w:t>
      </w:r>
    </w:p>
  </w:footnote>
  <w:footnote w:id="17">
    <w:p w14:paraId="6AE1ED52" w14:textId="03DE6CA0" w:rsidR="00034FFB" w:rsidRPr="00034FFB" w:rsidRDefault="00034FFB" w:rsidP="009C2849">
      <w:pPr>
        <w:pStyle w:val="Testonotaapidipagina"/>
        <w:spacing w:after="200"/>
      </w:pPr>
      <w:r>
        <w:rPr>
          <w:rStyle w:val="Rimandonotaapidipagina"/>
        </w:rPr>
        <w:footnoteRef/>
      </w:r>
      <w:r>
        <w:t xml:space="preserve"> </w:t>
      </w:r>
      <w:r w:rsidRPr="00034FFB">
        <w:t xml:space="preserve">S. </w:t>
      </w:r>
      <w:proofErr w:type="spellStart"/>
      <w:r w:rsidRPr="00034FFB">
        <w:t>Rodríguez</w:t>
      </w:r>
      <w:proofErr w:type="spellEnd"/>
      <w:r w:rsidRPr="00034FFB">
        <w:t xml:space="preserve"> </w:t>
      </w:r>
      <w:proofErr w:type="spellStart"/>
      <w:r w:rsidRPr="00034FFB">
        <w:t>Azuero</w:t>
      </w:r>
      <w:proofErr w:type="spellEnd"/>
      <w:r w:rsidRPr="00034FFB">
        <w:t xml:space="preserve">, </w:t>
      </w:r>
      <w:proofErr w:type="spellStart"/>
      <w:r w:rsidRPr="00C74EC0">
        <w:rPr>
          <w:i/>
          <w:iCs/>
        </w:rPr>
        <w:t>Negocios</w:t>
      </w:r>
      <w:proofErr w:type="spellEnd"/>
      <w:r w:rsidRPr="00C74EC0">
        <w:rPr>
          <w:i/>
          <w:iCs/>
        </w:rPr>
        <w:t xml:space="preserve"> </w:t>
      </w:r>
      <w:proofErr w:type="spellStart"/>
      <w:r w:rsidRPr="00C74EC0">
        <w:rPr>
          <w:i/>
          <w:iCs/>
        </w:rPr>
        <w:t>fiduciarios</w:t>
      </w:r>
      <w:proofErr w:type="spellEnd"/>
      <w:r w:rsidRPr="00C74EC0">
        <w:rPr>
          <w:i/>
          <w:iCs/>
        </w:rPr>
        <w:t xml:space="preserve">, </w:t>
      </w:r>
      <w:proofErr w:type="spellStart"/>
      <w:r w:rsidRPr="00C74EC0">
        <w:rPr>
          <w:i/>
          <w:iCs/>
        </w:rPr>
        <w:t>Legis</w:t>
      </w:r>
      <w:proofErr w:type="spellEnd"/>
      <w:r w:rsidRPr="00C74EC0">
        <w:rPr>
          <w:i/>
          <w:iCs/>
        </w:rPr>
        <w:t xml:space="preserve"> </w:t>
      </w:r>
      <w:proofErr w:type="spellStart"/>
      <w:r w:rsidRPr="00C74EC0">
        <w:rPr>
          <w:i/>
          <w:iCs/>
        </w:rPr>
        <w:t>editores</w:t>
      </w:r>
      <w:proofErr w:type="spellEnd"/>
      <w:r w:rsidRPr="00034FFB">
        <w:t>, 2005</w:t>
      </w:r>
      <w:r w:rsidR="00C74EC0">
        <w:t xml:space="preserve"> and </w:t>
      </w:r>
      <w:r w:rsidRPr="00034FFB">
        <w:t xml:space="preserve">N. </w:t>
      </w:r>
      <w:proofErr w:type="spellStart"/>
      <w:r w:rsidRPr="00034FFB">
        <w:t>Malumian</w:t>
      </w:r>
      <w:proofErr w:type="spellEnd"/>
      <w:r w:rsidRPr="00034FFB">
        <w:t xml:space="preserve">, </w:t>
      </w:r>
      <w:r w:rsidRPr="00C74EC0">
        <w:rPr>
          <w:i/>
          <w:iCs/>
        </w:rPr>
        <w:t>Trusts in Latin America</w:t>
      </w:r>
      <w:r w:rsidRPr="00034FFB">
        <w:t>, Oxford University Press USA, 2009</w:t>
      </w:r>
      <w:r>
        <w:t>.</w:t>
      </w:r>
    </w:p>
  </w:footnote>
  <w:footnote w:id="18">
    <w:p w14:paraId="097E4005" w14:textId="73C127CB" w:rsidR="009C2849" w:rsidRPr="009C2849" w:rsidRDefault="009C2849" w:rsidP="009C2849">
      <w:pPr>
        <w:pStyle w:val="Testonotaapidipagina"/>
        <w:spacing w:after="200"/>
      </w:pPr>
      <w:r>
        <w:rPr>
          <w:rStyle w:val="Rimandonotaapidipagina"/>
        </w:rPr>
        <w:footnoteRef/>
      </w:r>
      <w:r>
        <w:t xml:space="preserve"> </w:t>
      </w:r>
      <w:r>
        <w:t>F</w:t>
      </w:r>
      <w:r>
        <w:t>.</w:t>
      </w:r>
      <w:r>
        <w:t xml:space="preserve"> </w:t>
      </w:r>
      <w:proofErr w:type="spellStart"/>
      <w:r>
        <w:t>Barrière</w:t>
      </w:r>
      <w:proofErr w:type="spellEnd"/>
      <w:r>
        <w:t xml:space="preserve">, </w:t>
      </w:r>
      <w:r w:rsidRPr="00C74EC0">
        <w:rPr>
          <w:i/>
          <w:iCs/>
        </w:rPr>
        <w:t xml:space="preserve">The French </w:t>
      </w:r>
      <w:proofErr w:type="spellStart"/>
      <w:r w:rsidRPr="00C74EC0">
        <w:rPr>
          <w:i/>
          <w:iCs/>
        </w:rPr>
        <w:t>fiducie</w:t>
      </w:r>
      <w:proofErr w:type="spellEnd"/>
      <w:r w:rsidRPr="00C74EC0">
        <w:rPr>
          <w:i/>
          <w:iCs/>
        </w:rPr>
        <w:t>, or the chaotic awakening of a sleeping beauty</w:t>
      </w:r>
      <w:r>
        <w:t xml:space="preserve">, </w:t>
      </w:r>
      <w:r>
        <w:t>Cambridge University Press</w:t>
      </w:r>
      <w:r>
        <w:t>,</w:t>
      </w:r>
      <w:r>
        <w:t xml:space="preserve"> 2012</w:t>
      </w:r>
      <w:r>
        <w:t>.</w:t>
      </w:r>
    </w:p>
  </w:footnote>
  <w:footnote w:id="19">
    <w:p w14:paraId="08B32192" w14:textId="764192A9" w:rsidR="00034FFB" w:rsidRPr="00034FFB" w:rsidRDefault="00034FFB" w:rsidP="009C2849">
      <w:pPr>
        <w:pStyle w:val="Testonotaapidipagina"/>
        <w:spacing w:after="200"/>
        <w:rPr>
          <w:lang w:val="fr-FR"/>
        </w:rPr>
      </w:pPr>
      <w:r>
        <w:rPr>
          <w:rStyle w:val="Rimandonotaapidipagina"/>
        </w:rPr>
        <w:footnoteRef/>
      </w:r>
      <w:r w:rsidRPr="00034FFB">
        <w:rPr>
          <w:lang w:val="fr-FR"/>
        </w:rPr>
        <w:t xml:space="preserve"> </w:t>
      </w:r>
      <w:r w:rsidRPr="00C74EC0">
        <w:rPr>
          <w:i/>
          <w:iCs/>
          <w:lang w:val="fr-FR"/>
        </w:rPr>
        <w:t xml:space="preserve">Code civil du </w:t>
      </w:r>
      <w:proofErr w:type="spellStart"/>
      <w:r w:rsidRPr="00C74EC0">
        <w:rPr>
          <w:i/>
          <w:iCs/>
          <w:lang w:val="fr-FR"/>
        </w:rPr>
        <w:t>Québec</w:t>
      </w:r>
      <w:proofErr w:type="spellEnd"/>
      <w:r w:rsidRPr="00034FFB">
        <w:rPr>
          <w:lang w:val="fr-FR"/>
        </w:rPr>
        <w:t>, art. 1261</w:t>
      </w:r>
      <w:r>
        <w:rPr>
          <w:lang w:val="fr-FR"/>
        </w:rPr>
        <w:t> : « </w:t>
      </w:r>
      <w:r w:rsidRPr="009C2849">
        <w:rPr>
          <w:i/>
          <w:iCs/>
          <w:lang w:val="fr-FR"/>
        </w:rPr>
        <w:t>Le patrimoine fiduciaire (...) constitue un patrimoine d'affectation autonome et distinct de celui du constituant, du fiduciaire ou</w:t>
      </w:r>
      <w:r w:rsidRPr="009C2849">
        <w:rPr>
          <w:i/>
          <w:iCs/>
          <w:lang w:val="fr-FR"/>
        </w:rPr>
        <w:t xml:space="preserve"> </w:t>
      </w:r>
      <w:r w:rsidRPr="009C2849">
        <w:rPr>
          <w:i/>
          <w:iCs/>
          <w:lang w:val="fr-FR"/>
        </w:rPr>
        <w:t xml:space="preserve">du </w:t>
      </w:r>
      <w:proofErr w:type="spellStart"/>
      <w:r w:rsidRPr="009C2849">
        <w:rPr>
          <w:i/>
          <w:iCs/>
          <w:lang w:val="fr-FR"/>
        </w:rPr>
        <w:t>bénéficiaire</w:t>
      </w:r>
      <w:proofErr w:type="spellEnd"/>
      <w:r w:rsidRPr="009C2849">
        <w:rPr>
          <w:i/>
          <w:iCs/>
          <w:lang w:val="fr-FR"/>
        </w:rPr>
        <w:t xml:space="preserve">, sur lequel aucun d'entre eux n'a de droit </w:t>
      </w:r>
      <w:proofErr w:type="spellStart"/>
      <w:r w:rsidRPr="009C2849">
        <w:rPr>
          <w:i/>
          <w:iCs/>
          <w:lang w:val="fr-FR"/>
        </w:rPr>
        <w:t>réel</w:t>
      </w:r>
      <w:proofErr w:type="spellEnd"/>
      <w:r>
        <w:rPr>
          <w:lang w:val="fr-FR"/>
        </w:rPr>
        <w:t> ».</w:t>
      </w:r>
    </w:p>
  </w:footnote>
  <w:footnote w:id="20">
    <w:p w14:paraId="5963794D" w14:textId="75CF2AE5" w:rsidR="00FE593F" w:rsidRPr="00FE593F" w:rsidRDefault="00FE593F" w:rsidP="00FE593F">
      <w:pPr>
        <w:pStyle w:val="Testonotaapidipagina"/>
        <w:spacing w:after="200"/>
      </w:pPr>
      <w:r>
        <w:rPr>
          <w:rStyle w:val="Rimandonotaapidipagina"/>
        </w:rPr>
        <w:footnoteRef/>
      </w:r>
      <w:r>
        <w:t xml:space="preserve"> </w:t>
      </w:r>
      <w:r>
        <w:t xml:space="preserve">M. </w:t>
      </w:r>
      <w:proofErr w:type="spellStart"/>
      <w:r>
        <w:t>Gaudiosi</w:t>
      </w:r>
      <w:proofErr w:type="spellEnd"/>
      <w:r>
        <w:t xml:space="preserve">, </w:t>
      </w:r>
      <w:r w:rsidRPr="00FB6425">
        <w:rPr>
          <w:i/>
          <w:iCs/>
        </w:rPr>
        <w:t>The Influence of the Islamic Law of Waqf on the Development of the Trust in England: The Case of Merton College</w:t>
      </w:r>
      <w:r>
        <w:t xml:space="preserve">, </w:t>
      </w:r>
      <w:r>
        <w:t>University of Pennsylvania Law Review</w:t>
      </w:r>
      <w:r>
        <w:t>, 1988.</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FA5A223" w14:textId="038BDB66" w:rsidR="00923D8E" w:rsidRPr="00FB760A" w:rsidRDefault="00923D8E" w:rsidP="00923D8E">
    <w:pPr>
      <w:pStyle w:val="Intestazione"/>
      <w:jc w:val="right"/>
      <w:rPr>
        <w:rFonts w:ascii="Arial" w:hAnsi="Arial" w:cs="Arial"/>
      </w:rPr>
    </w:pPr>
    <w:r>
      <w:rPr>
        <w:rFonts w:ascii="Arial" w:hAnsi="Arial" w:cs="Arial"/>
      </w:rPr>
      <w:t xml:space="preserve">Trusts Law Week </w:t>
    </w:r>
    <w:r w:rsidR="009A1039">
      <w:rPr>
        <w:rFonts w:ascii="Arial" w:hAnsi="Arial" w:cs="Arial"/>
      </w:rPr>
      <w:t>20</w:t>
    </w:r>
  </w:p>
  <w:p w14:paraId="36C8CF23" w14:textId="77777777" w:rsidR="00923D8E" w:rsidRDefault="00923D8E">
    <w:pPr>
      <w:pStyle w:val="Intestazion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1C6E92"/>
    <w:multiLevelType w:val="hybridMultilevel"/>
    <w:tmpl w:val="38C4185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7F020D7"/>
    <w:multiLevelType w:val="hybridMultilevel"/>
    <w:tmpl w:val="7A66FBE4"/>
    <w:lvl w:ilvl="0" w:tplc="C7D0ECA8">
      <w:start w:val="1"/>
      <w:numFmt w:val="upperRoman"/>
      <w:lvlText w:val="%1."/>
      <w:lvlJc w:val="left"/>
      <w:pPr>
        <w:ind w:left="1080" w:hanging="72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119C53A0"/>
    <w:multiLevelType w:val="hybridMultilevel"/>
    <w:tmpl w:val="710C63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3E72E2B"/>
    <w:multiLevelType w:val="hybridMultilevel"/>
    <w:tmpl w:val="DF707C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144A095D"/>
    <w:multiLevelType w:val="hybridMultilevel"/>
    <w:tmpl w:val="5AEA5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BAD60E2"/>
    <w:multiLevelType w:val="hybridMultilevel"/>
    <w:tmpl w:val="1D664FD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CF471D7"/>
    <w:multiLevelType w:val="hybridMultilevel"/>
    <w:tmpl w:val="95EAD936"/>
    <w:lvl w:ilvl="0" w:tplc="1A00F9E4">
      <w:numFmt w:val="bullet"/>
      <w:lvlText w:val="-"/>
      <w:lvlJc w:val="left"/>
      <w:pPr>
        <w:tabs>
          <w:tab w:val="num" w:pos="420"/>
        </w:tabs>
        <w:ind w:left="420" w:hanging="360"/>
      </w:pPr>
      <w:rPr>
        <w:rFonts w:ascii="Calibri" w:eastAsia="Batang" w:hAnsi="Calibri" w:cs="AdvTimes-i"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055020F"/>
    <w:multiLevelType w:val="hybridMultilevel"/>
    <w:tmpl w:val="A0D6D734"/>
    <w:lvl w:ilvl="0" w:tplc="4F700CCC">
      <w:start w:val="1"/>
      <w:numFmt w:val="decimal"/>
      <w:lvlText w:val="%1."/>
      <w:lvlJc w:val="left"/>
      <w:pPr>
        <w:ind w:left="360" w:hanging="360"/>
      </w:pPr>
      <w:rPr>
        <w:rFonts w:hint="default"/>
        <w:b/>
        <w:bCs w:val="0"/>
      </w:rPr>
    </w:lvl>
    <w:lvl w:ilvl="1" w:tplc="6F825C4E">
      <w:start w:val="1"/>
      <w:numFmt w:val="upperLetter"/>
      <w:lvlText w:val="%2."/>
      <w:lvlJc w:val="left"/>
      <w:pPr>
        <w:ind w:left="1080" w:hanging="360"/>
      </w:pPr>
      <w:rPr>
        <w:rFonts w:hint="default"/>
      </w:r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8" w15:restartNumberingAfterBreak="0">
    <w:nsid w:val="22107F75"/>
    <w:multiLevelType w:val="hybridMultilevel"/>
    <w:tmpl w:val="94A8852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5980180"/>
    <w:multiLevelType w:val="hybridMultilevel"/>
    <w:tmpl w:val="679C2722"/>
    <w:lvl w:ilvl="0" w:tplc="1A00F9E4">
      <w:numFmt w:val="bullet"/>
      <w:lvlText w:val="-"/>
      <w:lvlJc w:val="left"/>
      <w:pPr>
        <w:ind w:left="1080" w:hanging="360"/>
      </w:pPr>
      <w:rPr>
        <w:rFonts w:ascii="Calibri" w:eastAsia="Batang" w:hAnsi="Calibri" w:cs="AdvTimes-i"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15:restartNumberingAfterBreak="0">
    <w:nsid w:val="27EE0A2E"/>
    <w:multiLevelType w:val="hybridMultilevel"/>
    <w:tmpl w:val="66F8C858"/>
    <w:lvl w:ilvl="0" w:tplc="08090001">
      <w:start w:val="1"/>
      <w:numFmt w:val="bullet"/>
      <w:lvlText w:val=""/>
      <w:lvlJc w:val="left"/>
      <w:pPr>
        <w:ind w:left="720" w:hanging="360"/>
      </w:pPr>
      <w:rPr>
        <w:rFonts w:ascii="Symbol" w:hAnsi="Symbol" w:hint="default"/>
      </w:rPr>
    </w:lvl>
    <w:lvl w:ilvl="1" w:tplc="1A00F9E4">
      <w:numFmt w:val="bullet"/>
      <w:lvlText w:val="-"/>
      <w:lvlJc w:val="left"/>
      <w:pPr>
        <w:ind w:left="720" w:hanging="360"/>
      </w:pPr>
      <w:rPr>
        <w:rFonts w:ascii="Calibri" w:eastAsia="Batang" w:hAnsi="Calibri" w:cs="AdvTimes-i"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9F41DB7"/>
    <w:multiLevelType w:val="hybridMultilevel"/>
    <w:tmpl w:val="30C0BEAE"/>
    <w:lvl w:ilvl="0" w:tplc="08090001">
      <w:start w:val="1"/>
      <w:numFmt w:val="bullet"/>
      <w:lvlText w:val=""/>
      <w:lvlJc w:val="left"/>
      <w:pPr>
        <w:ind w:left="720" w:hanging="360"/>
      </w:pPr>
      <w:rPr>
        <w:rFonts w:ascii="Symbol" w:hAnsi="Symbol" w:hint="default"/>
      </w:rPr>
    </w:lvl>
    <w:lvl w:ilvl="1" w:tplc="1A00F9E4">
      <w:numFmt w:val="bullet"/>
      <w:lvlText w:val="-"/>
      <w:lvlJc w:val="left"/>
      <w:pPr>
        <w:ind w:left="1080" w:hanging="360"/>
      </w:pPr>
      <w:rPr>
        <w:rFonts w:ascii="Calibri" w:eastAsia="Batang" w:hAnsi="Calibri" w:cs="AdvTimes-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2B756E73"/>
    <w:multiLevelType w:val="hybridMultilevel"/>
    <w:tmpl w:val="2E249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2D3764A9"/>
    <w:multiLevelType w:val="hybridMultilevel"/>
    <w:tmpl w:val="DE12E3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2E884EBA"/>
    <w:multiLevelType w:val="hybridMultilevel"/>
    <w:tmpl w:val="E9DC1BF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5" w15:restartNumberingAfterBreak="0">
    <w:nsid w:val="2F8379EF"/>
    <w:multiLevelType w:val="hybridMultilevel"/>
    <w:tmpl w:val="2C400BC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6" w15:restartNumberingAfterBreak="0">
    <w:nsid w:val="2FE349E9"/>
    <w:multiLevelType w:val="hybridMultilevel"/>
    <w:tmpl w:val="8020CC9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30F60AA3"/>
    <w:multiLevelType w:val="hybridMultilevel"/>
    <w:tmpl w:val="60C62B0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3ACA122C"/>
    <w:multiLevelType w:val="hybridMultilevel"/>
    <w:tmpl w:val="A55061C6"/>
    <w:lvl w:ilvl="0" w:tplc="08090001">
      <w:start w:val="1"/>
      <w:numFmt w:val="bullet"/>
      <w:lvlText w:val=""/>
      <w:lvlJc w:val="left"/>
      <w:pPr>
        <w:ind w:left="720" w:hanging="360"/>
      </w:pPr>
      <w:rPr>
        <w:rFonts w:ascii="Symbol" w:hAnsi="Symbol" w:hint="default"/>
      </w:rPr>
    </w:lvl>
    <w:lvl w:ilvl="1" w:tplc="1A00F9E4">
      <w:numFmt w:val="bullet"/>
      <w:lvlText w:val="-"/>
      <w:lvlJc w:val="left"/>
      <w:pPr>
        <w:ind w:left="1080" w:hanging="360"/>
      </w:pPr>
      <w:rPr>
        <w:rFonts w:ascii="Calibri" w:eastAsia="Batang" w:hAnsi="Calibri" w:cs="AdvTimes-i"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9" w15:restartNumberingAfterBreak="0">
    <w:nsid w:val="465331FF"/>
    <w:multiLevelType w:val="hybridMultilevel"/>
    <w:tmpl w:val="95160E06"/>
    <w:lvl w:ilvl="0" w:tplc="1A00F9E4">
      <w:numFmt w:val="bullet"/>
      <w:lvlText w:val="-"/>
      <w:lvlJc w:val="left"/>
      <w:pPr>
        <w:ind w:left="720" w:hanging="360"/>
      </w:pPr>
      <w:rPr>
        <w:rFonts w:ascii="Calibri" w:eastAsia="Batang" w:hAnsi="Calibri" w:cs="AdvTimes-i" w:hint="default"/>
      </w:rPr>
    </w:lvl>
    <w:lvl w:ilvl="1" w:tplc="04100003">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0" w15:restartNumberingAfterBreak="0">
    <w:nsid w:val="46DA6977"/>
    <w:multiLevelType w:val="hybridMultilevel"/>
    <w:tmpl w:val="A1B4E3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7C51E22"/>
    <w:multiLevelType w:val="hybridMultilevel"/>
    <w:tmpl w:val="04D824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4CAD5B7A"/>
    <w:multiLevelType w:val="hybridMultilevel"/>
    <w:tmpl w:val="AFFE381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517A09CB"/>
    <w:multiLevelType w:val="hybridMultilevel"/>
    <w:tmpl w:val="87D0D7EA"/>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53E40CD7"/>
    <w:multiLevelType w:val="hybridMultilevel"/>
    <w:tmpl w:val="76807276"/>
    <w:lvl w:ilvl="0" w:tplc="B060F672">
      <w:start w:val="1"/>
      <w:numFmt w:val="lowerLetter"/>
      <w:lvlText w:val="(%1)"/>
      <w:lvlJc w:val="left"/>
      <w:pPr>
        <w:ind w:left="720" w:hanging="360"/>
      </w:pPr>
      <w:rPr>
        <w:rFonts w:hint="default"/>
      </w:rPr>
    </w:lvl>
    <w:lvl w:ilvl="1" w:tplc="7F508280">
      <w:start w:val="1"/>
      <w:numFmt w:val="upperLetter"/>
      <w:lvlText w:val="%2."/>
      <w:lvlJc w:val="left"/>
      <w:pPr>
        <w:ind w:left="1440" w:hanging="360"/>
      </w:pPr>
      <w:rPr>
        <w:rFonts w:hint="default"/>
      </w:r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561C2940"/>
    <w:multiLevelType w:val="hybridMultilevel"/>
    <w:tmpl w:val="ACDAA28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6" w15:restartNumberingAfterBreak="0">
    <w:nsid w:val="56274D27"/>
    <w:multiLevelType w:val="hybridMultilevel"/>
    <w:tmpl w:val="3B64C572"/>
    <w:lvl w:ilvl="0" w:tplc="04090001">
      <w:start w:val="1"/>
      <w:numFmt w:val="bullet"/>
      <w:lvlText w:val=""/>
      <w:lvlJc w:val="left"/>
      <w:pPr>
        <w:tabs>
          <w:tab w:val="num" w:pos="420"/>
        </w:tabs>
        <w:ind w:left="4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588D5ABC"/>
    <w:multiLevelType w:val="hybridMultilevel"/>
    <w:tmpl w:val="6FACBB1A"/>
    <w:lvl w:ilvl="0" w:tplc="1A00F9E4">
      <w:numFmt w:val="bullet"/>
      <w:lvlText w:val="-"/>
      <w:lvlJc w:val="left"/>
      <w:pPr>
        <w:ind w:left="1069" w:hanging="360"/>
      </w:pPr>
      <w:rPr>
        <w:rFonts w:ascii="Calibri" w:eastAsia="Batang" w:hAnsi="Calibri" w:cs="AdvTimes-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8" w15:restartNumberingAfterBreak="0">
    <w:nsid w:val="66290824"/>
    <w:multiLevelType w:val="hybridMultilevel"/>
    <w:tmpl w:val="1F403D0C"/>
    <w:lvl w:ilvl="0" w:tplc="08090001">
      <w:start w:val="1"/>
      <w:numFmt w:val="bullet"/>
      <w:lvlText w:val=""/>
      <w:lvlJc w:val="left"/>
      <w:pPr>
        <w:ind w:left="720" w:hanging="360"/>
      </w:pPr>
      <w:rPr>
        <w:rFonts w:ascii="Symbol" w:hAnsi="Symbol" w:hint="default"/>
      </w:rPr>
    </w:lvl>
    <w:lvl w:ilvl="1" w:tplc="1A00F9E4">
      <w:numFmt w:val="bullet"/>
      <w:lvlText w:val="-"/>
      <w:lvlJc w:val="left"/>
      <w:pPr>
        <w:ind w:left="420" w:hanging="360"/>
      </w:pPr>
      <w:rPr>
        <w:rFonts w:ascii="Calibri" w:eastAsia="Batang" w:hAnsi="Calibri" w:cs="AdvTimes-i"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9" w15:restartNumberingAfterBreak="0">
    <w:nsid w:val="663D7982"/>
    <w:multiLevelType w:val="hybridMultilevel"/>
    <w:tmpl w:val="B802D93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0" w15:restartNumberingAfterBreak="0">
    <w:nsid w:val="66842D59"/>
    <w:multiLevelType w:val="hybridMultilevel"/>
    <w:tmpl w:val="43A2E99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1" w15:restartNumberingAfterBreak="0">
    <w:nsid w:val="69995DC5"/>
    <w:multiLevelType w:val="hybridMultilevel"/>
    <w:tmpl w:val="D85844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6AD3624E"/>
    <w:multiLevelType w:val="hybridMultilevel"/>
    <w:tmpl w:val="B56C784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701359D0"/>
    <w:multiLevelType w:val="hybridMultilevel"/>
    <w:tmpl w:val="B4E40C7A"/>
    <w:lvl w:ilvl="0" w:tplc="1A00F9E4">
      <w:numFmt w:val="bullet"/>
      <w:lvlText w:val="-"/>
      <w:lvlJc w:val="left"/>
      <w:pPr>
        <w:ind w:left="1069" w:hanging="360"/>
      </w:pPr>
      <w:rPr>
        <w:rFonts w:ascii="Calibri" w:eastAsia="Batang" w:hAnsi="Calibri" w:cs="AdvTimes-i" w:hint="default"/>
      </w:rPr>
    </w:lvl>
    <w:lvl w:ilvl="1" w:tplc="08090003" w:tentative="1">
      <w:start w:val="1"/>
      <w:numFmt w:val="bullet"/>
      <w:lvlText w:val="o"/>
      <w:lvlJc w:val="left"/>
      <w:pPr>
        <w:ind w:left="1789" w:hanging="360"/>
      </w:pPr>
      <w:rPr>
        <w:rFonts w:ascii="Courier New" w:hAnsi="Courier New" w:cs="Courier New" w:hint="default"/>
      </w:rPr>
    </w:lvl>
    <w:lvl w:ilvl="2" w:tplc="08090005" w:tentative="1">
      <w:start w:val="1"/>
      <w:numFmt w:val="bullet"/>
      <w:lvlText w:val=""/>
      <w:lvlJc w:val="left"/>
      <w:pPr>
        <w:ind w:left="2509" w:hanging="360"/>
      </w:pPr>
      <w:rPr>
        <w:rFonts w:ascii="Wingdings" w:hAnsi="Wingdings" w:hint="default"/>
      </w:rPr>
    </w:lvl>
    <w:lvl w:ilvl="3" w:tplc="08090001" w:tentative="1">
      <w:start w:val="1"/>
      <w:numFmt w:val="bullet"/>
      <w:lvlText w:val=""/>
      <w:lvlJc w:val="left"/>
      <w:pPr>
        <w:ind w:left="3229" w:hanging="360"/>
      </w:pPr>
      <w:rPr>
        <w:rFonts w:ascii="Symbol" w:hAnsi="Symbol" w:hint="default"/>
      </w:rPr>
    </w:lvl>
    <w:lvl w:ilvl="4" w:tplc="08090003" w:tentative="1">
      <w:start w:val="1"/>
      <w:numFmt w:val="bullet"/>
      <w:lvlText w:val="o"/>
      <w:lvlJc w:val="left"/>
      <w:pPr>
        <w:ind w:left="3949" w:hanging="360"/>
      </w:pPr>
      <w:rPr>
        <w:rFonts w:ascii="Courier New" w:hAnsi="Courier New" w:cs="Courier New" w:hint="default"/>
      </w:rPr>
    </w:lvl>
    <w:lvl w:ilvl="5" w:tplc="08090005" w:tentative="1">
      <w:start w:val="1"/>
      <w:numFmt w:val="bullet"/>
      <w:lvlText w:val=""/>
      <w:lvlJc w:val="left"/>
      <w:pPr>
        <w:ind w:left="4669" w:hanging="360"/>
      </w:pPr>
      <w:rPr>
        <w:rFonts w:ascii="Wingdings" w:hAnsi="Wingdings" w:hint="default"/>
      </w:rPr>
    </w:lvl>
    <w:lvl w:ilvl="6" w:tplc="08090001" w:tentative="1">
      <w:start w:val="1"/>
      <w:numFmt w:val="bullet"/>
      <w:lvlText w:val=""/>
      <w:lvlJc w:val="left"/>
      <w:pPr>
        <w:ind w:left="5389" w:hanging="360"/>
      </w:pPr>
      <w:rPr>
        <w:rFonts w:ascii="Symbol" w:hAnsi="Symbol" w:hint="default"/>
      </w:rPr>
    </w:lvl>
    <w:lvl w:ilvl="7" w:tplc="08090003" w:tentative="1">
      <w:start w:val="1"/>
      <w:numFmt w:val="bullet"/>
      <w:lvlText w:val="o"/>
      <w:lvlJc w:val="left"/>
      <w:pPr>
        <w:ind w:left="6109" w:hanging="360"/>
      </w:pPr>
      <w:rPr>
        <w:rFonts w:ascii="Courier New" w:hAnsi="Courier New" w:cs="Courier New" w:hint="default"/>
      </w:rPr>
    </w:lvl>
    <w:lvl w:ilvl="8" w:tplc="08090005" w:tentative="1">
      <w:start w:val="1"/>
      <w:numFmt w:val="bullet"/>
      <w:lvlText w:val=""/>
      <w:lvlJc w:val="left"/>
      <w:pPr>
        <w:ind w:left="6829" w:hanging="360"/>
      </w:pPr>
      <w:rPr>
        <w:rFonts w:ascii="Wingdings" w:hAnsi="Wingdings" w:hint="default"/>
      </w:rPr>
    </w:lvl>
  </w:abstractNum>
  <w:abstractNum w:abstractNumId="34" w15:restartNumberingAfterBreak="0">
    <w:nsid w:val="71CC00B0"/>
    <w:multiLevelType w:val="hybridMultilevel"/>
    <w:tmpl w:val="D80E3F2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5" w15:restartNumberingAfterBreak="0">
    <w:nsid w:val="731370F6"/>
    <w:multiLevelType w:val="hybridMultilevel"/>
    <w:tmpl w:val="474A7190"/>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6" w15:restartNumberingAfterBreak="0">
    <w:nsid w:val="75CE42DD"/>
    <w:multiLevelType w:val="hybridMultilevel"/>
    <w:tmpl w:val="76947D8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6684465"/>
    <w:multiLevelType w:val="hybridMultilevel"/>
    <w:tmpl w:val="9424B2B0"/>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784716B4"/>
    <w:multiLevelType w:val="hybridMultilevel"/>
    <w:tmpl w:val="3D96FED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9" w15:restartNumberingAfterBreak="0">
    <w:nsid w:val="78DF53A7"/>
    <w:multiLevelType w:val="hybridMultilevel"/>
    <w:tmpl w:val="5A921A28"/>
    <w:lvl w:ilvl="0" w:tplc="08090015">
      <w:start w:val="1"/>
      <w:numFmt w:val="upperLetter"/>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0" w15:restartNumberingAfterBreak="0">
    <w:nsid w:val="7E1B3053"/>
    <w:multiLevelType w:val="hybridMultilevel"/>
    <w:tmpl w:val="4512241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35"/>
  </w:num>
  <w:num w:numId="2">
    <w:abstractNumId w:val="16"/>
  </w:num>
  <w:num w:numId="3">
    <w:abstractNumId w:val="11"/>
  </w:num>
  <w:num w:numId="4">
    <w:abstractNumId w:val="13"/>
  </w:num>
  <w:num w:numId="5">
    <w:abstractNumId w:val="22"/>
  </w:num>
  <w:num w:numId="6">
    <w:abstractNumId w:val="30"/>
  </w:num>
  <w:num w:numId="7">
    <w:abstractNumId w:val="31"/>
  </w:num>
  <w:num w:numId="8">
    <w:abstractNumId w:val="29"/>
  </w:num>
  <w:num w:numId="9">
    <w:abstractNumId w:val="3"/>
  </w:num>
  <w:num w:numId="10">
    <w:abstractNumId w:val="32"/>
  </w:num>
  <w:num w:numId="11">
    <w:abstractNumId w:val="5"/>
  </w:num>
  <w:num w:numId="12">
    <w:abstractNumId w:val="8"/>
  </w:num>
  <w:num w:numId="13">
    <w:abstractNumId w:val="25"/>
  </w:num>
  <w:num w:numId="14">
    <w:abstractNumId w:val="0"/>
  </w:num>
  <w:num w:numId="15">
    <w:abstractNumId w:val="17"/>
  </w:num>
  <w:num w:numId="16">
    <w:abstractNumId w:val="21"/>
  </w:num>
  <w:num w:numId="17">
    <w:abstractNumId w:val="4"/>
  </w:num>
  <w:num w:numId="18">
    <w:abstractNumId w:val="2"/>
  </w:num>
  <w:num w:numId="19">
    <w:abstractNumId w:val="12"/>
  </w:num>
  <w:num w:numId="20">
    <w:abstractNumId w:val="34"/>
  </w:num>
  <w:num w:numId="21">
    <w:abstractNumId w:val="40"/>
  </w:num>
  <w:num w:numId="22">
    <w:abstractNumId w:val="6"/>
  </w:num>
  <w:num w:numId="23">
    <w:abstractNumId w:val="26"/>
  </w:num>
  <w:num w:numId="24">
    <w:abstractNumId w:val="20"/>
  </w:num>
  <w:num w:numId="25">
    <w:abstractNumId w:val="23"/>
  </w:num>
  <w:num w:numId="26">
    <w:abstractNumId w:val="36"/>
  </w:num>
  <w:num w:numId="27">
    <w:abstractNumId w:val="24"/>
  </w:num>
  <w:num w:numId="28">
    <w:abstractNumId w:val="39"/>
  </w:num>
  <w:num w:numId="29">
    <w:abstractNumId w:val="37"/>
  </w:num>
  <w:num w:numId="30">
    <w:abstractNumId w:val="7"/>
  </w:num>
  <w:num w:numId="31">
    <w:abstractNumId w:val="15"/>
  </w:num>
  <w:num w:numId="32">
    <w:abstractNumId w:val="1"/>
  </w:num>
  <w:num w:numId="33">
    <w:abstractNumId w:val="33"/>
  </w:num>
  <w:num w:numId="34">
    <w:abstractNumId w:val="27"/>
  </w:num>
  <w:num w:numId="35">
    <w:abstractNumId w:val="14"/>
  </w:num>
  <w:num w:numId="36">
    <w:abstractNumId w:val="28"/>
  </w:num>
  <w:num w:numId="37">
    <w:abstractNumId w:val="9"/>
  </w:num>
  <w:num w:numId="38">
    <w:abstractNumId w:val="18"/>
  </w:num>
  <w:num w:numId="39">
    <w:abstractNumId w:val="19"/>
  </w:num>
  <w:num w:numId="40">
    <w:abstractNumId w:val="10"/>
  </w:num>
  <w:num w:numId="41">
    <w:abstractNumId w:val="38"/>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203"/>
  <w:proofState w:spelling="clean"/>
  <w:defaultTabStop w:val="720"/>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2DD5"/>
    <w:rsid w:val="00030418"/>
    <w:rsid w:val="00034FFB"/>
    <w:rsid w:val="000520FF"/>
    <w:rsid w:val="000565C9"/>
    <w:rsid w:val="000666EE"/>
    <w:rsid w:val="000A32CE"/>
    <w:rsid w:val="00104A20"/>
    <w:rsid w:val="00106135"/>
    <w:rsid w:val="00182CE7"/>
    <w:rsid w:val="001A7372"/>
    <w:rsid w:val="001A7A5E"/>
    <w:rsid w:val="001B407F"/>
    <w:rsid w:val="001E61D9"/>
    <w:rsid w:val="00221F93"/>
    <w:rsid w:val="00235033"/>
    <w:rsid w:val="002E4283"/>
    <w:rsid w:val="00315A4A"/>
    <w:rsid w:val="003229DA"/>
    <w:rsid w:val="00323DD0"/>
    <w:rsid w:val="003245D7"/>
    <w:rsid w:val="00332690"/>
    <w:rsid w:val="00347D1A"/>
    <w:rsid w:val="0036209B"/>
    <w:rsid w:val="00381919"/>
    <w:rsid w:val="003D3BC1"/>
    <w:rsid w:val="003F3035"/>
    <w:rsid w:val="00414FD0"/>
    <w:rsid w:val="00436C57"/>
    <w:rsid w:val="004453A7"/>
    <w:rsid w:val="00453613"/>
    <w:rsid w:val="004D0D5E"/>
    <w:rsid w:val="004D1198"/>
    <w:rsid w:val="004D30C6"/>
    <w:rsid w:val="004E019E"/>
    <w:rsid w:val="005073E6"/>
    <w:rsid w:val="00595234"/>
    <w:rsid w:val="005A0A96"/>
    <w:rsid w:val="005A2860"/>
    <w:rsid w:val="00644F91"/>
    <w:rsid w:val="006947F1"/>
    <w:rsid w:val="006B098D"/>
    <w:rsid w:val="006B2DC4"/>
    <w:rsid w:val="0071460D"/>
    <w:rsid w:val="0077654D"/>
    <w:rsid w:val="00797BEB"/>
    <w:rsid w:val="007A0E19"/>
    <w:rsid w:val="007A5078"/>
    <w:rsid w:val="007E6623"/>
    <w:rsid w:val="0082100E"/>
    <w:rsid w:val="008261F9"/>
    <w:rsid w:val="008A18B7"/>
    <w:rsid w:val="008B4742"/>
    <w:rsid w:val="008F1E30"/>
    <w:rsid w:val="00923D8E"/>
    <w:rsid w:val="00932D93"/>
    <w:rsid w:val="00962367"/>
    <w:rsid w:val="009A1039"/>
    <w:rsid w:val="009B2E43"/>
    <w:rsid w:val="009C2849"/>
    <w:rsid w:val="00A72DD5"/>
    <w:rsid w:val="00AA799D"/>
    <w:rsid w:val="00AD4D6D"/>
    <w:rsid w:val="00AE63D1"/>
    <w:rsid w:val="00AF136A"/>
    <w:rsid w:val="00B220F8"/>
    <w:rsid w:val="00B846FC"/>
    <w:rsid w:val="00BB11C2"/>
    <w:rsid w:val="00BD1CDA"/>
    <w:rsid w:val="00BE265F"/>
    <w:rsid w:val="00BF2AE4"/>
    <w:rsid w:val="00C04B7B"/>
    <w:rsid w:val="00C331AB"/>
    <w:rsid w:val="00C709F3"/>
    <w:rsid w:val="00C74EC0"/>
    <w:rsid w:val="00CC0754"/>
    <w:rsid w:val="00CC5CAA"/>
    <w:rsid w:val="00CE3077"/>
    <w:rsid w:val="00D132E6"/>
    <w:rsid w:val="00D35389"/>
    <w:rsid w:val="00D41FFA"/>
    <w:rsid w:val="00D675A7"/>
    <w:rsid w:val="00D7205C"/>
    <w:rsid w:val="00DE31F9"/>
    <w:rsid w:val="00DF640B"/>
    <w:rsid w:val="00E23431"/>
    <w:rsid w:val="00E70A79"/>
    <w:rsid w:val="00E801ED"/>
    <w:rsid w:val="00EA1D58"/>
    <w:rsid w:val="00EE07A1"/>
    <w:rsid w:val="00F22E56"/>
    <w:rsid w:val="00F51001"/>
    <w:rsid w:val="00F8694E"/>
    <w:rsid w:val="00F96A84"/>
    <w:rsid w:val="00FB6425"/>
    <w:rsid w:val="00FE593F"/>
    <w:rsid w:val="00FF204E"/>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6B230B35"/>
  <w15:chartTrackingRefBased/>
  <w15:docId w15:val="{708BA966-C894-6942-83DE-6BCD950EF7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rsid w:val="00A72DD5"/>
    <w:pPr>
      <w:spacing w:after="200" w:line="276" w:lineRule="auto"/>
      <w:jc w:val="both"/>
    </w:pPr>
    <w:rPr>
      <w:rFonts w:eastAsiaTheme="minorEastAsia"/>
      <w:sz w:val="22"/>
      <w:szCs w:val="22"/>
      <w:lang w:eastAsia="en-GB"/>
    </w:rPr>
  </w:style>
  <w:style w:type="paragraph" w:styleId="Titolo1">
    <w:name w:val="heading 1"/>
    <w:basedOn w:val="Normale"/>
    <w:next w:val="Normale"/>
    <w:link w:val="Titolo1Carattere"/>
    <w:uiPriority w:val="9"/>
    <w:qFormat/>
    <w:rsid w:val="008F1E30"/>
    <w:pPr>
      <w:keepNext/>
      <w:keepLines/>
      <w:spacing w:before="480" w:after="120" w:line="259" w:lineRule="auto"/>
      <w:outlineLvl w:val="0"/>
    </w:pPr>
    <w:rPr>
      <w:rFonts w:ascii="Garamond" w:eastAsia="Calibri" w:hAnsi="Garamond" w:cs="Calibri"/>
      <w:b/>
      <w:sz w:val="28"/>
      <w:szCs w:val="48"/>
    </w:rPr>
  </w:style>
  <w:style w:type="paragraph" w:styleId="Titolo2">
    <w:name w:val="heading 2"/>
    <w:basedOn w:val="Normale"/>
    <w:next w:val="Normale"/>
    <w:link w:val="Titolo2Carattere"/>
    <w:uiPriority w:val="9"/>
    <w:unhideWhenUsed/>
    <w:qFormat/>
    <w:rsid w:val="008F1E30"/>
    <w:pPr>
      <w:keepNext/>
      <w:keepLines/>
      <w:spacing w:before="360" w:after="80" w:line="259" w:lineRule="auto"/>
      <w:outlineLvl w:val="1"/>
    </w:pPr>
    <w:rPr>
      <w:rFonts w:ascii="Garamond" w:eastAsia="Calibri" w:hAnsi="Garamond" w:cs="Calibri"/>
      <w:b/>
      <w:sz w:val="36"/>
      <w:szCs w:val="36"/>
    </w:rPr>
  </w:style>
  <w:style w:type="paragraph" w:styleId="Titolo3">
    <w:name w:val="heading 3"/>
    <w:basedOn w:val="Normale"/>
    <w:next w:val="Normale"/>
    <w:link w:val="Titolo3Carattere"/>
    <w:autoRedefine/>
    <w:uiPriority w:val="9"/>
    <w:unhideWhenUsed/>
    <w:qFormat/>
    <w:rsid w:val="00F8694E"/>
    <w:pPr>
      <w:keepNext/>
      <w:keepLines/>
      <w:spacing w:before="40" w:line="256" w:lineRule="auto"/>
      <w:outlineLvl w:val="2"/>
    </w:pPr>
    <w:rPr>
      <w:rFonts w:eastAsiaTheme="majorEastAsia" w:cstheme="minorHAnsi"/>
      <w:b/>
    </w:rPr>
  </w:style>
  <w:style w:type="paragraph" w:styleId="Titolo4">
    <w:name w:val="heading 4"/>
    <w:basedOn w:val="Normale"/>
    <w:next w:val="Normale"/>
    <w:link w:val="Titolo4Carattere"/>
    <w:uiPriority w:val="9"/>
    <w:unhideWhenUsed/>
    <w:qFormat/>
    <w:rsid w:val="00A72DD5"/>
    <w:pPr>
      <w:spacing w:before="200" w:after="0"/>
      <w:ind w:left="864" w:hanging="864"/>
      <w:outlineLvl w:val="3"/>
    </w:pPr>
    <w:rPr>
      <w:rFonts w:asciiTheme="majorHAnsi" w:eastAsiaTheme="majorEastAsia" w:hAnsiTheme="majorHAnsi" w:cstheme="majorBidi"/>
      <w:b/>
      <w:bCs/>
      <w:iCs/>
    </w:rPr>
  </w:style>
  <w:style w:type="paragraph" w:styleId="Titolo5">
    <w:name w:val="heading 5"/>
    <w:basedOn w:val="Normale"/>
    <w:next w:val="Normale"/>
    <w:link w:val="Titolo5Carattere"/>
    <w:uiPriority w:val="9"/>
    <w:semiHidden/>
    <w:unhideWhenUsed/>
    <w:qFormat/>
    <w:rsid w:val="00A72DD5"/>
    <w:pPr>
      <w:spacing w:before="200" w:after="0"/>
      <w:ind w:left="1008" w:hanging="1008"/>
      <w:outlineLvl w:val="4"/>
    </w:pPr>
    <w:rPr>
      <w:rFonts w:asciiTheme="majorHAnsi" w:eastAsiaTheme="majorEastAsia" w:hAnsiTheme="majorHAnsi" w:cstheme="majorBidi"/>
      <w:b/>
      <w:bCs/>
      <w:color w:val="7F7F7F" w:themeColor="text1" w:themeTint="80"/>
    </w:rPr>
  </w:style>
  <w:style w:type="paragraph" w:styleId="Titolo6">
    <w:name w:val="heading 6"/>
    <w:basedOn w:val="Normale"/>
    <w:next w:val="Normale"/>
    <w:link w:val="Titolo6Carattere"/>
    <w:uiPriority w:val="9"/>
    <w:semiHidden/>
    <w:unhideWhenUsed/>
    <w:qFormat/>
    <w:rsid w:val="00A72DD5"/>
    <w:pPr>
      <w:spacing w:after="0" w:line="271" w:lineRule="auto"/>
      <w:ind w:left="1152" w:hanging="1152"/>
      <w:outlineLvl w:val="5"/>
    </w:pPr>
    <w:rPr>
      <w:rFonts w:asciiTheme="majorHAnsi" w:eastAsiaTheme="majorEastAsia" w:hAnsiTheme="majorHAnsi" w:cstheme="majorBidi"/>
      <w:b/>
      <w:bCs/>
      <w:i/>
      <w:iCs/>
      <w:color w:val="7F7F7F" w:themeColor="text1" w:themeTint="80"/>
    </w:rPr>
  </w:style>
  <w:style w:type="paragraph" w:styleId="Titolo7">
    <w:name w:val="heading 7"/>
    <w:basedOn w:val="Normale"/>
    <w:next w:val="Normale"/>
    <w:link w:val="Titolo7Carattere"/>
    <w:uiPriority w:val="9"/>
    <w:semiHidden/>
    <w:unhideWhenUsed/>
    <w:qFormat/>
    <w:rsid w:val="00A72DD5"/>
    <w:pPr>
      <w:spacing w:after="0"/>
      <w:ind w:left="1296" w:hanging="1296"/>
      <w:outlineLvl w:val="6"/>
    </w:pPr>
    <w:rPr>
      <w:rFonts w:asciiTheme="majorHAnsi" w:eastAsiaTheme="majorEastAsia" w:hAnsiTheme="majorHAnsi" w:cstheme="majorBidi"/>
      <w:i/>
      <w:iCs/>
    </w:rPr>
  </w:style>
  <w:style w:type="paragraph" w:styleId="Titolo8">
    <w:name w:val="heading 8"/>
    <w:basedOn w:val="Normale"/>
    <w:next w:val="Normale"/>
    <w:link w:val="Titolo8Carattere"/>
    <w:uiPriority w:val="9"/>
    <w:semiHidden/>
    <w:unhideWhenUsed/>
    <w:qFormat/>
    <w:rsid w:val="00A72DD5"/>
    <w:pPr>
      <w:spacing w:after="0"/>
      <w:ind w:left="1440" w:hanging="1440"/>
      <w:outlineLvl w:val="7"/>
    </w:pPr>
    <w:rPr>
      <w:rFonts w:asciiTheme="majorHAnsi" w:eastAsiaTheme="majorEastAsia" w:hAnsiTheme="majorHAnsi" w:cstheme="majorBidi"/>
      <w:sz w:val="20"/>
      <w:szCs w:val="20"/>
    </w:rPr>
  </w:style>
  <w:style w:type="paragraph" w:styleId="Titolo9">
    <w:name w:val="heading 9"/>
    <w:basedOn w:val="Normale"/>
    <w:next w:val="Normale"/>
    <w:link w:val="Titolo9Carattere"/>
    <w:uiPriority w:val="9"/>
    <w:semiHidden/>
    <w:unhideWhenUsed/>
    <w:qFormat/>
    <w:rsid w:val="00A72DD5"/>
    <w:pPr>
      <w:spacing w:after="0"/>
      <w:ind w:left="1584" w:hanging="1584"/>
      <w:outlineLvl w:val="8"/>
    </w:pPr>
    <w:rPr>
      <w:rFonts w:asciiTheme="majorHAnsi" w:eastAsiaTheme="majorEastAsia" w:hAnsiTheme="majorHAnsi" w:cstheme="majorBidi"/>
      <w:i/>
      <w:iCs/>
      <w:spacing w:val="5"/>
      <w:sz w:val="20"/>
      <w:szCs w:val="20"/>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8F1E30"/>
    <w:rPr>
      <w:rFonts w:ascii="Garamond" w:eastAsia="Calibri" w:hAnsi="Garamond" w:cs="Calibri"/>
      <w:b/>
      <w:sz w:val="36"/>
      <w:szCs w:val="36"/>
      <w:lang w:eastAsia="en-GB"/>
    </w:rPr>
  </w:style>
  <w:style w:type="character" w:customStyle="1" w:styleId="Titolo3Carattere">
    <w:name w:val="Titolo 3 Carattere"/>
    <w:basedOn w:val="Carpredefinitoparagrafo"/>
    <w:link w:val="Titolo3"/>
    <w:uiPriority w:val="9"/>
    <w:rsid w:val="00F8694E"/>
    <w:rPr>
      <w:rFonts w:eastAsiaTheme="majorEastAsia" w:cstheme="minorHAnsi"/>
      <w:b/>
      <w:sz w:val="22"/>
      <w:szCs w:val="22"/>
      <w:lang w:eastAsia="en-GB"/>
    </w:rPr>
  </w:style>
  <w:style w:type="character" w:customStyle="1" w:styleId="Titolo1Carattere">
    <w:name w:val="Titolo 1 Carattere"/>
    <w:basedOn w:val="Carpredefinitoparagrafo"/>
    <w:link w:val="Titolo1"/>
    <w:uiPriority w:val="9"/>
    <w:rsid w:val="008F1E30"/>
    <w:rPr>
      <w:rFonts w:ascii="Garamond" w:eastAsia="Calibri" w:hAnsi="Garamond" w:cs="Calibri"/>
      <w:b/>
      <w:sz w:val="28"/>
      <w:szCs w:val="48"/>
      <w:lang w:eastAsia="en-GB"/>
    </w:rPr>
  </w:style>
  <w:style w:type="character" w:customStyle="1" w:styleId="Titolo4Carattere">
    <w:name w:val="Titolo 4 Carattere"/>
    <w:basedOn w:val="Carpredefinitoparagrafo"/>
    <w:link w:val="Titolo4"/>
    <w:uiPriority w:val="9"/>
    <w:rsid w:val="00A72DD5"/>
    <w:rPr>
      <w:rFonts w:asciiTheme="majorHAnsi" w:eastAsiaTheme="majorEastAsia" w:hAnsiTheme="majorHAnsi" w:cstheme="majorBidi"/>
      <w:b/>
      <w:bCs/>
      <w:iCs/>
      <w:sz w:val="22"/>
      <w:szCs w:val="22"/>
      <w:lang w:eastAsia="en-GB"/>
    </w:rPr>
  </w:style>
  <w:style w:type="character" w:customStyle="1" w:styleId="Titolo5Carattere">
    <w:name w:val="Titolo 5 Carattere"/>
    <w:basedOn w:val="Carpredefinitoparagrafo"/>
    <w:link w:val="Titolo5"/>
    <w:uiPriority w:val="9"/>
    <w:semiHidden/>
    <w:rsid w:val="00A72DD5"/>
    <w:rPr>
      <w:rFonts w:asciiTheme="majorHAnsi" w:eastAsiaTheme="majorEastAsia" w:hAnsiTheme="majorHAnsi" w:cstheme="majorBidi"/>
      <w:b/>
      <w:bCs/>
      <w:color w:val="7F7F7F" w:themeColor="text1" w:themeTint="80"/>
      <w:sz w:val="22"/>
      <w:szCs w:val="22"/>
      <w:lang w:eastAsia="en-GB"/>
    </w:rPr>
  </w:style>
  <w:style w:type="character" w:customStyle="1" w:styleId="Titolo6Carattere">
    <w:name w:val="Titolo 6 Carattere"/>
    <w:basedOn w:val="Carpredefinitoparagrafo"/>
    <w:link w:val="Titolo6"/>
    <w:uiPriority w:val="9"/>
    <w:semiHidden/>
    <w:rsid w:val="00A72DD5"/>
    <w:rPr>
      <w:rFonts w:asciiTheme="majorHAnsi" w:eastAsiaTheme="majorEastAsia" w:hAnsiTheme="majorHAnsi" w:cstheme="majorBidi"/>
      <w:b/>
      <w:bCs/>
      <w:i/>
      <w:iCs/>
      <w:color w:val="7F7F7F" w:themeColor="text1" w:themeTint="80"/>
      <w:sz w:val="22"/>
      <w:szCs w:val="22"/>
      <w:lang w:eastAsia="en-GB"/>
    </w:rPr>
  </w:style>
  <w:style w:type="character" w:customStyle="1" w:styleId="Titolo7Carattere">
    <w:name w:val="Titolo 7 Carattere"/>
    <w:basedOn w:val="Carpredefinitoparagrafo"/>
    <w:link w:val="Titolo7"/>
    <w:uiPriority w:val="9"/>
    <w:semiHidden/>
    <w:rsid w:val="00A72DD5"/>
    <w:rPr>
      <w:rFonts w:asciiTheme="majorHAnsi" w:eastAsiaTheme="majorEastAsia" w:hAnsiTheme="majorHAnsi" w:cstheme="majorBidi"/>
      <w:i/>
      <w:iCs/>
      <w:sz w:val="22"/>
      <w:szCs w:val="22"/>
      <w:lang w:eastAsia="en-GB"/>
    </w:rPr>
  </w:style>
  <w:style w:type="character" w:customStyle="1" w:styleId="Titolo8Carattere">
    <w:name w:val="Titolo 8 Carattere"/>
    <w:basedOn w:val="Carpredefinitoparagrafo"/>
    <w:link w:val="Titolo8"/>
    <w:uiPriority w:val="9"/>
    <w:semiHidden/>
    <w:rsid w:val="00A72DD5"/>
    <w:rPr>
      <w:rFonts w:asciiTheme="majorHAnsi" w:eastAsiaTheme="majorEastAsia" w:hAnsiTheme="majorHAnsi" w:cstheme="majorBidi"/>
      <w:sz w:val="20"/>
      <w:szCs w:val="20"/>
      <w:lang w:eastAsia="en-GB"/>
    </w:rPr>
  </w:style>
  <w:style w:type="character" w:customStyle="1" w:styleId="Titolo9Carattere">
    <w:name w:val="Titolo 9 Carattere"/>
    <w:basedOn w:val="Carpredefinitoparagrafo"/>
    <w:link w:val="Titolo9"/>
    <w:uiPriority w:val="9"/>
    <w:semiHidden/>
    <w:rsid w:val="00A72DD5"/>
    <w:rPr>
      <w:rFonts w:asciiTheme="majorHAnsi" w:eastAsiaTheme="majorEastAsia" w:hAnsiTheme="majorHAnsi" w:cstheme="majorBidi"/>
      <w:i/>
      <w:iCs/>
      <w:spacing w:val="5"/>
      <w:sz w:val="20"/>
      <w:szCs w:val="20"/>
      <w:lang w:eastAsia="en-GB"/>
    </w:rPr>
  </w:style>
  <w:style w:type="paragraph" w:styleId="Paragrafoelenco">
    <w:name w:val="List Paragraph"/>
    <w:basedOn w:val="Normale"/>
    <w:uiPriority w:val="34"/>
    <w:qFormat/>
    <w:rsid w:val="00A72DD5"/>
    <w:pPr>
      <w:ind w:left="720"/>
      <w:contextualSpacing/>
    </w:pPr>
  </w:style>
  <w:style w:type="paragraph" w:styleId="Pidipagina">
    <w:name w:val="footer"/>
    <w:basedOn w:val="Normale"/>
    <w:link w:val="PidipaginaCarattere"/>
    <w:rsid w:val="00A72DD5"/>
    <w:pPr>
      <w:widowControl w:val="0"/>
      <w:tabs>
        <w:tab w:val="center" w:pos="4153"/>
        <w:tab w:val="right" w:pos="8306"/>
      </w:tabs>
      <w:autoSpaceDE w:val="0"/>
      <w:autoSpaceDN w:val="0"/>
      <w:adjustRightInd w:val="0"/>
      <w:spacing w:after="0" w:line="240" w:lineRule="auto"/>
      <w:jc w:val="left"/>
    </w:pPr>
    <w:rPr>
      <w:rFonts w:ascii="Times New Roman" w:eastAsia="Times New Roman" w:hAnsi="Times New Roman" w:cs="Times New Roman"/>
      <w:sz w:val="24"/>
      <w:szCs w:val="24"/>
      <w:lang w:eastAsia="en-US"/>
    </w:rPr>
  </w:style>
  <w:style w:type="character" w:customStyle="1" w:styleId="PidipaginaCarattere">
    <w:name w:val="Piè di pagina Carattere"/>
    <w:basedOn w:val="Carpredefinitoparagrafo"/>
    <w:link w:val="Pidipagina"/>
    <w:rsid w:val="00A72DD5"/>
    <w:rPr>
      <w:rFonts w:ascii="Times New Roman" w:eastAsia="Times New Roman" w:hAnsi="Times New Roman" w:cs="Times New Roman"/>
    </w:rPr>
  </w:style>
  <w:style w:type="character" w:styleId="Numeropagina">
    <w:name w:val="page number"/>
    <w:basedOn w:val="Carpredefinitoparagrafo"/>
    <w:rsid w:val="00A72DD5"/>
    <w:rPr>
      <w:rFonts w:cs="Times New Roman"/>
    </w:rPr>
  </w:style>
  <w:style w:type="character" w:styleId="Collegamentoipertestuale">
    <w:name w:val="Hyperlink"/>
    <w:basedOn w:val="Carpredefinitoparagrafo"/>
    <w:uiPriority w:val="99"/>
    <w:rsid w:val="00A72DD5"/>
    <w:rPr>
      <w:color w:val="0000FF"/>
      <w:u w:val="single"/>
    </w:rPr>
  </w:style>
  <w:style w:type="character" w:styleId="Enfasigrassetto">
    <w:name w:val="Strong"/>
    <w:qFormat/>
    <w:rsid w:val="004453A7"/>
    <w:rPr>
      <w:b/>
      <w:bCs/>
    </w:rPr>
  </w:style>
  <w:style w:type="character" w:styleId="Enfasicorsivo">
    <w:name w:val="Emphasis"/>
    <w:qFormat/>
    <w:rsid w:val="004453A7"/>
    <w:rPr>
      <w:b/>
      <w:bCs/>
      <w:i/>
      <w:iCs/>
      <w:spacing w:val="10"/>
      <w:bdr w:val="none" w:sz="0" w:space="0" w:color="auto"/>
      <w:shd w:val="clear" w:color="auto" w:fill="auto"/>
    </w:rPr>
  </w:style>
  <w:style w:type="paragraph" w:styleId="Nessunaspaziatura">
    <w:name w:val="No Spacing"/>
    <w:basedOn w:val="Normale"/>
    <w:uiPriority w:val="1"/>
    <w:qFormat/>
    <w:rsid w:val="004453A7"/>
    <w:pPr>
      <w:spacing w:after="0" w:line="240" w:lineRule="auto"/>
    </w:pPr>
  </w:style>
  <w:style w:type="paragraph" w:styleId="NormaleWeb">
    <w:name w:val="Normal (Web)"/>
    <w:basedOn w:val="Normale"/>
    <w:uiPriority w:val="99"/>
    <w:unhideWhenUsed/>
    <w:rsid w:val="004453A7"/>
    <w:pPr>
      <w:spacing w:before="100" w:beforeAutospacing="1" w:after="100" w:afterAutospacing="1"/>
    </w:pPr>
    <w:rPr>
      <w:rFonts w:ascii="Times New Roman" w:eastAsia="Times New Roman" w:hAnsi="Times New Roman" w:cs="Times New Roman"/>
      <w:sz w:val="24"/>
      <w:szCs w:val="24"/>
    </w:rPr>
  </w:style>
  <w:style w:type="character" w:customStyle="1" w:styleId="legds2">
    <w:name w:val="legds2"/>
    <w:basedOn w:val="Carpredefinitoparagrafo"/>
    <w:rsid w:val="004453A7"/>
    <w:rPr>
      <w:vanish w:val="0"/>
      <w:webHidden w:val="0"/>
      <w:specVanish w:val="0"/>
    </w:rPr>
  </w:style>
  <w:style w:type="character" w:customStyle="1" w:styleId="legds">
    <w:name w:val="legds"/>
    <w:basedOn w:val="Carpredefinitoparagrafo"/>
    <w:rsid w:val="004453A7"/>
  </w:style>
  <w:style w:type="character" w:customStyle="1" w:styleId="legterm">
    <w:name w:val="legterm"/>
    <w:basedOn w:val="Carpredefinitoparagrafo"/>
    <w:rsid w:val="004453A7"/>
  </w:style>
  <w:style w:type="character" w:customStyle="1" w:styleId="searchterm">
    <w:name w:val="searchterm"/>
    <w:basedOn w:val="Carpredefinitoparagrafo"/>
    <w:rsid w:val="004453A7"/>
  </w:style>
  <w:style w:type="character" w:styleId="Collegamentovisitato">
    <w:name w:val="FollowedHyperlink"/>
    <w:basedOn w:val="Carpredefinitoparagrafo"/>
    <w:uiPriority w:val="99"/>
    <w:semiHidden/>
    <w:unhideWhenUsed/>
    <w:rsid w:val="00F8694E"/>
    <w:rPr>
      <w:color w:val="954F72" w:themeColor="followedHyperlink"/>
      <w:u w:val="single"/>
    </w:rPr>
  </w:style>
  <w:style w:type="character" w:styleId="Menzionenonrisolta">
    <w:name w:val="Unresolved Mention"/>
    <w:basedOn w:val="Carpredefinitoparagrafo"/>
    <w:uiPriority w:val="99"/>
    <w:semiHidden/>
    <w:unhideWhenUsed/>
    <w:rsid w:val="001A7A5E"/>
    <w:rPr>
      <w:color w:val="605E5C"/>
      <w:shd w:val="clear" w:color="auto" w:fill="E1DFDD"/>
    </w:rPr>
  </w:style>
  <w:style w:type="paragraph" w:styleId="Intestazione">
    <w:name w:val="header"/>
    <w:basedOn w:val="Normale"/>
    <w:link w:val="IntestazioneCarattere"/>
    <w:uiPriority w:val="99"/>
    <w:unhideWhenUsed/>
    <w:rsid w:val="00923D8E"/>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923D8E"/>
    <w:rPr>
      <w:rFonts w:eastAsiaTheme="minorEastAsia"/>
      <w:sz w:val="22"/>
      <w:szCs w:val="22"/>
      <w:lang w:eastAsia="en-GB"/>
    </w:rPr>
  </w:style>
  <w:style w:type="paragraph" w:styleId="Testonotaapidipagina">
    <w:name w:val="footnote text"/>
    <w:basedOn w:val="Normale"/>
    <w:link w:val="TestonotaapidipaginaCarattere"/>
    <w:uiPriority w:val="99"/>
    <w:semiHidden/>
    <w:unhideWhenUsed/>
    <w:rsid w:val="005A2860"/>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5A2860"/>
    <w:rPr>
      <w:rFonts w:eastAsiaTheme="minorEastAsia"/>
      <w:sz w:val="20"/>
      <w:szCs w:val="20"/>
      <w:lang w:eastAsia="en-GB"/>
    </w:rPr>
  </w:style>
  <w:style w:type="character" w:styleId="Rimandonotaapidipagina">
    <w:name w:val="footnote reference"/>
    <w:basedOn w:val="Carpredefinitoparagrafo"/>
    <w:uiPriority w:val="99"/>
    <w:semiHidden/>
    <w:unhideWhenUsed/>
    <w:rsid w:val="005A2860"/>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17728090">
      <w:bodyDiv w:val="1"/>
      <w:marLeft w:val="0"/>
      <w:marRight w:val="0"/>
      <w:marTop w:val="0"/>
      <w:marBottom w:val="0"/>
      <w:divBdr>
        <w:top w:val="none" w:sz="0" w:space="0" w:color="auto"/>
        <w:left w:val="none" w:sz="0" w:space="0" w:color="auto"/>
        <w:bottom w:val="none" w:sz="0" w:space="0" w:color="auto"/>
        <w:right w:val="none" w:sz="0" w:space="0" w:color="auto"/>
      </w:divBdr>
    </w:div>
    <w:div w:id="350104590">
      <w:bodyDiv w:val="1"/>
      <w:marLeft w:val="0"/>
      <w:marRight w:val="0"/>
      <w:marTop w:val="0"/>
      <w:marBottom w:val="0"/>
      <w:divBdr>
        <w:top w:val="none" w:sz="0" w:space="0" w:color="auto"/>
        <w:left w:val="none" w:sz="0" w:space="0" w:color="auto"/>
        <w:bottom w:val="none" w:sz="0" w:space="0" w:color="auto"/>
        <w:right w:val="none" w:sz="0" w:space="0" w:color="auto"/>
      </w:divBdr>
    </w:div>
    <w:div w:id="440422585">
      <w:bodyDiv w:val="1"/>
      <w:marLeft w:val="0"/>
      <w:marRight w:val="0"/>
      <w:marTop w:val="0"/>
      <w:marBottom w:val="0"/>
      <w:divBdr>
        <w:top w:val="none" w:sz="0" w:space="0" w:color="auto"/>
        <w:left w:val="none" w:sz="0" w:space="0" w:color="auto"/>
        <w:bottom w:val="none" w:sz="0" w:space="0" w:color="auto"/>
        <w:right w:val="none" w:sz="0" w:space="0" w:color="auto"/>
      </w:divBdr>
      <w:divsChild>
        <w:div w:id="1625378992">
          <w:marLeft w:val="0"/>
          <w:marRight w:val="0"/>
          <w:marTop w:val="0"/>
          <w:marBottom w:val="0"/>
          <w:divBdr>
            <w:top w:val="none" w:sz="0" w:space="0" w:color="auto"/>
            <w:left w:val="none" w:sz="0" w:space="0" w:color="auto"/>
            <w:bottom w:val="none" w:sz="0" w:space="0" w:color="auto"/>
            <w:right w:val="none" w:sz="0" w:space="0" w:color="auto"/>
          </w:divBdr>
          <w:divsChild>
            <w:div w:id="2085056629">
              <w:marLeft w:val="0"/>
              <w:marRight w:val="0"/>
              <w:marTop w:val="0"/>
              <w:marBottom w:val="0"/>
              <w:divBdr>
                <w:top w:val="none" w:sz="0" w:space="0" w:color="auto"/>
                <w:left w:val="none" w:sz="0" w:space="0" w:color="auto"/>
                <w:bottom w:val="none" w:sz="0" w:space="0" w:color="auto"/>
                <w:right w:val="none" w:sz="0" w:space="0" w:color="auto"/>
              </w:divBdr>
              <w:divsChild>
                <w:div w:id="32386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0802624">
      <w:bodyDiv w:val="1"/>
      <w:marLeft w:val="0"/>
      <w:marRight w:val="0"/>
      <w:marTop w:val="0"/>
      <w:marBottom w:val="0"/>
      <w:divBdr>
        <w:top w:val="none" w:sz="0" w:space="0" w:color="auto"/>
        <w:left w:val="none" w:sz="0" w:space="0" w:color="auto"/>
        <w:bottom w:val="none" w:sz="0" w:space="0" w:color="auto"/>
        <w:right w:val="none" w:sz="0" w:space="0" w:color="auto"/>
      </w:divBdr>
    </w:div>
    <w:div w:id="593243506">
      <w:bodyDiv w:val="1"/>
      <w:marLeft w:val="0"/>
      <w:marRight w:val="0"/>
      <w:marTop w:val="0"/>
      <w:marBottom w:val="0"/>
      <w:divBdr>
        <w:top w:val="none" w:sz="0" w:space="0" w:color="auto"/>
        <w:left w:val="none" w:sz="0" w:space="0" w:color="auto"/>
        <w:bottom w:val="none" w:sz="0" w:space="0" w:color="auto"/>
        <w:right w:val="none" w:sz="0" w:space="0" w:color="auto"/>
      </w:divBdr>
    </w:div>
    <w:div w:id="604650961">
      <w:bodyDiv w:val="1"/>
      <w:marLeft w:val="0"/>
      <w:marRight w:val="0"/>
      <w:marTop w:val="0"/>
      <w:marBottom w:val="0"/>
      <w:divBdr>
        <w:top w:val="none" w:sz="0" w:space="0" w:color="auto"/>
        <w:left w:val="none" w:sz="0" w:space="0" w:color="auto"/>
        <w:bottom w:val="none" w:sz="0" w:space="0" w:color="auto"/>
        <w:right w:val="none" w:sz="0" w:space="0" w:color="auto"/>
      </w:divBdr>
    </w:div>
    <w:div w:id="651255749">
      <w:bodyDiv w:val="1"/>
      <w:marLeft w:val="0"/>
      <w:marRight w:val="0"/>
      <w:marTop w:val="0"/>
      <w:marBottom w:val="0"/>
      <w:divBdr>
        <w:top w:val="none" w:sz="0" w:space="0" w:color="auto"/>
        <w:left w:val="none" w:sz="0" w:space="0" w:color="auto"/>
        <w:bottom w:val="none" w:sz="0" w:space="0" w:color="auto"/>
        <w:right w:val="none" w:sz="0" w:space="0" w:color="auto"/>
      </w:divBdr>
      <w:divsChild>
        <w:div w:id="240913122">
          <w:marLeft w:val="0"/>
          <w:marRight w:val="0"/>
          <w:marTop w:val="0"/>
          <w:marBottom w:val="0"/>
          <w:divBdr>
            <w:top w:val="none" w:sz="0" w:space="0" w:color="auto"/>
            <w:left w:val="none" w:sz="0" w:space="0" w:color="auto"/>
            <w:bottom w:val="none" w:sz="0" w:space="0" w:color="auto"/>
            <w:right w:val="none" w:sz="0" w:space="0" w:color="auto"/>
          </w:divBdr>
        </w:div>
        <w:div w:id="154615570">
          <w:marLeft w:val="0"/>
          <w:marRight w:val="0"/>
          <w:marTop w:val="0"/>
          <w:marBottom w:val="0"/>
          <w:divBdr>
            <w:top w:val="none" w:sz="0" w:space="0" w:color="auto"/>
            <w:left w:val="none" w:sz="0" w:space="0" w:color="auto"/>
            <w:bottom w:val="none" w:sz="0" w:space="0" w:color="auto"/>
            <w:right w:val="none" w:sz="0" w:space="0" w:color="auto"/>
          </w:divBdr>
          <w:divsChild>
            <w:div w:id="57359631">
              <w:marLeft w:val="0"/>
              <w:marRight w:val="0"/>
              <w:marTop w:val="0"/>
              <w:marBottom w:val="150"/>
              <w:divBdr>
                <w:top w:val="none" w:sz="0" w:space="0" w:color="auto"/>
                <w:left w:val="none" w:sz="0" w:space="0" w:color="auto"/>
                <w:bottom w:val="none" w:sz="0" w:space="0" w:color="auto"/>
                <w:right w:val="none" w:sz="0" w:space="0" w:color="auto"/>
              </w:divBdr>
              <w:divsChild>
                <w:div w:id="352609884">
                  <w:marLeft w:val="0"/>
                  <w:marRight w:val="0"/>
                  <w:marTop w:val="0"/>
                  <w:marBottom w:val="0"/>
                  <w:divBdr>
                    <w:top w:val="none" w:sz="0" w:space="0" w:color="auto"/>
                    <w:left w:val="none" w:sz="0" w:space="0" w:color="auto"/>
                    <w:bottom w:val="none" w:sz="0" w:space="0" w:color="auto"/>
                    <w:right w:val="none" w:sz="0" w:space="0" w:color="auto"/>
                  </w:divBdr>
                  <w:divsChild>
                    <w:div w:id="741147802">
                      <w:marLeft w:val="0"/>
                      <w:marRight w:val="0"/>
                      <w:marTop w:val="150"/>
                      <w:marBottom w:val="0"/>
                      <w:divBdr>
                        <w:top w:val="none" w:sz="0" w:space="0" w:color="auto"/>
                        <w:left w:val="none" w:sz="0" w:space="0" w:color="auto"/>
                        <w:bottom w:val="none" w:sz="0" w:space="0" w:color="auto"/>
                        <w:right w:val="none" w:sz="0" w:space="0" w:color="auto"/>
                      </w:divBdr>
                      <w:divsChild>
                        <w:div w:id="441145471">
                          <w:marLeft w:val="0"/>
                          <w:marRight w:val="75"/>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1129332">
      <w:bodyDiv w:val="1"/>
      <w:marLeft w:val="0"/>
      <w:marRight w:val="0"/>
      <w:marTop w:val="0"/>
      <w:marBottom w:val="0"/>
      <w:divBdr>
        <w:top w:val="none" w:sz="0" w:space="0" w:color="auto"/>
        <w:left w:val="none" w:sz="0" w:space="0" w:color="auto"/>
        <w:bottom w:val="none" w:sz="0" w:space="0" w:color="auto"/>
        <w:right w:val="none" w:sz="0" w:space="0" w:color="auto"/>
      </w:divBdr>
      <w:divsChild>
        <w:div w:id="436021258">
          <w:marLeft w:val="0"/>
          <w:marRight w:val="0"/>
          <w:marTop w:val="0"/>
          <w:marBottom w:val="0"/>
          <w:divBdr>
            <w:top w:val="none" w:sz="0" w:space="0" w:color="auto"/>
            <w:left w:val="none" w:sz="0" w:space="0" w:color="auto"/>
            <w:bottom w:val="none" w:sz="0" w:space="0" w:color="auto"/>
            <w:right w:val="none" w:sz="0" w:space="0" w:color="auto"/>
          </w:divBdr>
          <w:divsChild>
            <w:div w:id="216404480">
              <w:marLeft w:val="0"/>
              <w:marRight w:val="0"/>
              <w:marTop w:val="0"/>
              <w:marBottom w:val="0"/>
              <w:divBdr>
                <w:top w:val="none" w:sz="0" w:space="0" w:color="auto"/>
                <w:left w:val="none" w:sz="0" w:space="0" w:color="auto"/>
                <w:bottom w:val="none" w:sz="0" w:space="0" w:color="auto"/>
                <w:right w:val="none" w:sz="0" w:space="0" w:color="auto"/>
              </w:divBdr>
              <w:divsChild>
                <w:div w:id="1632131652">
                  <w:marLeft w:val="0"/>
                  <w:marRight w:val="0"/>
                  <w:marTop w:val="0"/>
                  <w:marBottom w:val="0"/>
                  <w:divBdr>
                    <w:top w:val="none" w:sz="0" w:space="0" w:color="auto"/>
                    <w:left w:val="none" w:sz="0" w:space="0" w:color="auto"/>
                    <w:bottom w:val="none" w:sz="0" w:space="0" w:color="auto"/>
                    <w:right w:val="none" w:sz="0" w:space="0" w:color="auto"/>
                  </w:divBdr>
                  <w:divsChild>
                    <w:div w:id="794913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4809159">
      <w:bodyDiv w:val="1"/>
      <w:marLeft w:val="0"/>
      <w:marRight w:val="0"/>
      <w:marTop w:val="0"/>
      <w:marBottom w:val="0"/>
      <w:divBdr>
        <w:top w:val="none" w:sz="0" w:space="0" w:color="auto"/>
        <w:left w:val="none" w:sz="0" w:space="0" w:color="auto"/>
        <w:bottom w:val="none" w:sz="0" w:space="0" w:color="auto"/>
        <w:right w:val="none" w:sz="0" w:space="0" w:color="auto"/>
      </w:divBdr>
    </w:div>
    <w:div w:id="783500661">
      <w:bodyDiv w:val="1"/>
      <w:marLeft w:val="0"/>
      <w:marRight w:val="0"/>
      <w:marTop w:val="0"/>
      <w:marBottom w:val="0"/>
      <w:divBdr>
        <w:top w:val="none" w:sz="0" w:space="0" w:color="auto"/>
        <w:left w:val="none" w:sz="0" w:space="0" w:color="auto"/>
        <w:bottom w:val="none" w:sz="0" w:space="0" w:color="auto"/>
        <w:right w:val="none" w:sz="0" w:space="0" w:color="auto"/>
      </w:divBdr>
    </w:div>
    <w:div w:id="800272741">
      <w:bodyDiv w:val="1"/>
      <w:marLeft w:val="0"/>
      <w:marRight w:val="0"/>
      <w:marTop w:val="0"/>
      <w:marBottom w:val="0"/>
      <w:divBdr>
        <w:top w:val="none" w:sz="0" w:space="0" w:color="auto"/>
        <w:left w:val="none" w:sz="0" w:space="0" w:color="auto"/>
        <w:bottom w:val="none" w:sz="0" w:space="0" w:color="auto"/>
        <w:right w:val="none" w:sz="0" w:space="0" w:color="auto"/>
      </w:divBdr>
    </w:div>
    <w:div w:id="1006901771">
      <w:bodyDiv w:val="1"/>
      <w:marLeft w:val="0"/>
      <w:marRight w:val="0"/>
      <w:marTop w:val="0"/>
      <w:marBottom w:val="0"/>
      <w:divBdr>
        <w:top w:val="none" w:sz="0" w:space="0" w:color="auto"/>
        <w:left w:val="none" w:sz="0" w:space="0" w:color="auto"/>
        <w:bottom w:val="none" w:sz="0" w:space="0" w:color="auto"/>
        <w:right w:val="none" w:sz="0" w:space="0" w:color="auto"/>
      </w:divBdr>
    </w:div>
    <w:div w:id="1013072945">
      <w:bodyDiv w:val="1"/>
      <w:marLeft w:val="0"/>
      <w:marRight w:val="0"/>
      <w:marTop w:val="0"/>
      <w:marBottom w:val="0"/>
      <w:divBdr>
        <w:top w:val="none" w:sz="0" w:space="0" w:color="auto"/>
        <w:left w:val="none" w:sz="0" w:space="0" w:color="auto"/>
        <w:bottom w:val="none" w:sz="0" w:space="0" w:color="auto"/>
        <w:right w:val="none" w:sz="0" w:space="0" w:color="auto"/>
      </w:divBdr>
    </w:div>
    <w:div w:id="1050374095">
      <w:bodyDiv w:val="1"/>
      <w:marLeft w:val="0"/>
      <w:marRight w:val="0"/>
      <w:marTop w:val="0"/>
      <w:marBottom w:val="0"/>
      <w:divBdr>
        <w:top w:val="none" w:sz="0" w:space="0" w:color="auto"/>
        <w:left w:val="none" w:sz="0" w:space="0" w:color="auto"/>
        <w:bottom w:val="none" w:sz="0" w:space="0" w:color="auto"/>
        <w:right w:val="none" w:sz="0" w:space="0" w:color="auto"/>
      </w:divBdr>
    </w:div>
    <w:div w:id="1315647526">
      <w:bodyDiv w:val="1"/>
      <w:marLeft w:val="0"/>
      <w:marRight w:val="0"/>
      <w:marTop w:val="0"/>
      <w:marBottom w:val="0"/>
      <w:divBdr>
        <w:top w:val="none" w:sz="0" w:space="0" w:color="auto"/>
        <w:left w:val="none" w:sz="0" w:space="0" w:color="auto"/>
        <w:bottom w:val="none" w:sz="0" w:space="0" w:color="auto"/>
        <w:right w:val="none" w:sz="0" w:space="0" w:color="auto"/>
      </w:divBdr>
    </w:div>
    <w:div w:id="1355962433">
      <w:bodyDiv w:val="1"/>
      <w:marLeft w:val="0"/>
      <w:marRight w:val="0"/>
      <w:marTop w:val="0"/>
      <w:marBottom w:val="0"/>
      <w:divBdr>
        <w:top w:val="none" w:sz="0" w:space="0" w:color="auto"/>
        <w:left w:val="none" w:sz="0" w:space="0" w:color="auto"/>
        <w:bottom w:val="none" w:sz="0" w:space="0" w:color="auto"/>
        <w:right w:val="none" w:sz="0" w:space="0" w:color="auto"/>
      </w:divBdr>
      <w:divsChild>
        <w:div w:id="1159031290">
          <w:marLeft w:val="0"/>
          <w:marRight w:val="0"/>
          <w:marTop w:val="0"/>
          <w:marBottom w:val="0"/>
          <w:divBdr>
            <w:top w:val="none" w:sz="0" w:space="0" w:color="auto"/>
            <w:left w:val="none" w:sz="0" w:space="0" w:color="auto"/>
            <w:bottom w:val="none" w:sz="0" w:space="0" w:color="auto"/>
            <w:right w:val="none" w:sz="0" w:space="0" w:color="auto"/>
          </w:divBdr>
          <w:divsChild>
            <w:div w:id="1747066901">
              <w:marLeft w:val="0"/>
              <w:marRight w:val="0"/>
              <w:marTop w:val="0"/>
              <w:marBottom w:val="0"/>
              <w:divBdr>
                <w:top w:val="none" w:sz="0" w:space="0" w:color="auto"/>
                <w:left w:val="none" w:sz="0" w:space="0" w:color="auto"/>
                <w:bottom w:val="none" w:sz="0" w:space="0" w:color="auto"/>
                <w:right w:val="none" w:sz="0" w:space="0" w:color="auto"/>
              </w:divBdr>
              <w:divsChild>
                <w:div w:id="130877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4330920">
      <w:bodyDiv w:val="1"/>
      <w:marLeft w:val="0"/>
      <w:marRight w:val="0"/>
      <w:marTop w:val="0"/>
      <w:marBottom w:val="0"/>
      <w:divBdr>
        <w:top w:val="none" w:sz="0" w:space="0" w:color="auto"/>
        <w:left w:val="none" w:sz="0" w:space="0" w:color="auto"/>
        <w:bottom w:val="none" w:sz="0" w:space="0" w:color="auto"/>
        <w:right w:val="none" w:sz="0" w:space="0" w:color="auto"/>
      </w:divBdr>
      <w:divsChild>
        <w:div w:id="1061248125">
          <w:marLeft w:val="0"/>
          <w:marRight w:val="0"/>
          <w:marTop w:val="0"/>
          <w:marBottom w:val="0"/>
          <w:divBdr>
            <w:top w:val="none" w:sz="0" w:space="0" w:color="auto"/>
            <w:left w:val="none" w:sz="0" w:space="0" w:color="auto"/>
            <w:bottom w:val="none" w:sz="0" w:space="0" w:color="auto"/>
            <w:right w:val="none" w:sz="0" w:space="0" w:color="auto"/>
          </w:divBdr>
          <w:divsChild>
            <w:div w:id="441152095">
              <w:marLeft w:val="0"/>
              <w:marRight w:val="0"/>
              <w:marTop w:val="0"/>
              <w:marBottom w:val="0"/>
              <w:divBdr>
                <w:top w:val="none" w:sz="0" w:space="0" w:color="auto"/>
                <w:left w:val="none" w:sz="0" w:space="0" w:color="auto"/>
                <w:bottom w:val="none" w:sz="0" w:space="0" w:color="auto"/>
                <w:right w:val="none" w:sz="0" w:space="0" w:color="auto"/>
              </w:divBdr>
              <w:divsChild>
                <w:div w:id="63610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3828980">
      <w:bodyDiv w:val="1"/>
      <w:marLeft w:val="0"/>
      <w:marRight w:val="0"/>
      <w:marTop w:val="0"/>
      <w:marBottom w:val="0"/>
      <w:divBdr>
        <w:top w:val="none" w:sz="0" w:space="0" w:color="auto"/>
        <w:left w:val="none" w:sz="0" w:space="0" w:color="auto"/>
        <w:bottom w:val="none" w:sz="0" w:space="0" w:color="auto"/>
        <w:right w:val="none" w:sz="0" w:space="0" w:color="auto"/>
      </w:divBdr>
    </w:div>
    <w:div w:id="1592621614">
      <w:bodyDiv w:val="1"/>
      <w:marLeft w:val="0"/>
      <w:marRight w:val="0"/>
      <w:marTop w:val="0"/>
      <w:marBottom w:val="0"/>
      <w:divBdr>
        <w:top w:val="none" w:sz="0" w:space="0" w:color="auto"/>
        <w:left w:val="none" w:sz="0" w:space="0" w:color="auto"/>
        <w:bottom w:val="none" w:sz="0" w:space="0" w:color="auto"/>
        <w:right w:val="none" w:sz="0" w:space="0" w:color="auto"/>
      </w:divBdr>
    </w:div>
    <w:div w:id="1743486427">
      <w:bodyDiv w:val="1"/>
      <w:marLeft w:val="0"/>
      <w:marRight w:val="0"/>
      <w:marTop w:val="0"/>
      <w:marBottom w:val="0"/>
      <w:divBdr>
        <w:top w:val="none" w:sz="0" w:space="0" w:color="auto"/>
        <w:left w:val="none" w:sz="0" w:space="0" w:color="auto"/>
        <w:bottom w:val="none" w:sz="0" w:space="0" w:color="auto"/>
        <w:right w:val="none" w:sz="0" w:space="0" w:color="auto"/>
      </w:divBdr>
      <w:divsChild>
        <w:div w:id="1439713488">
          <w:marLeft w:val="0"/>
          <w:marRight w:val="0"/>
          <w:marTop w:val="0"/>
          <w:marBottom w:val="0"/>
          <w:divBdr>
            <w:top w:val="none" w:sz="0" w:space="0" w:color="auto"/>
            <w:left w:val="none" w:sz="0" w:space="0" w:color="auto"/>
            <w:bottom w:val="none" w:sz="0" w:space="0" w:color="auto"/>
            <w:right w:val="none" w:sz="0" w:space="0" w:color="auto"/>
          </w:divBdr>
          <w:divsChild>
            <w:div w:id="1015618614">
              <w:marLeft w:val="0"/>
              <w:marRight w:val="0"/>
              <w:marTop w:val="0"/>
              <w:marBottom w:val="0"/>
              <w:divBdr>
                <w:top w:val="none" w:sz="0" w:space="0" w:color="auto"/>
                <w:left w:val="none" w:sz="0" w:space="0" w:color="auto"/>
                <w:bottom w:val="none" w:sz="0" w:space="0" w:color="auto"/>
                <w:right w:val="none" w:sz="0" w:space="0" w:color="auto"/>
              </w:divBdr>
              <w:divsChild>
                <w:div w:id="1596522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56060747">
      <w:bodyDiv w:val="1"/>
      <w:marLeft w:val="0"/>
      <w:marRight w:val="0"/>
      <w:marTop w:val="0"/>
      <w:marBottom w:val="0"/>
      <w:divBdr>
        <w:top w:val="none" w:sz="0" w:space="0" w:color="auto"/>
        <w:left w:val="none" w:sz="0" w:space="0" w:color="auto"/>
        <w:bottom w:val="none" w:sz="0" w:space="0" w:color="auto"/>
        <w:right w:val="none" w:sz="0" w:space="0" w:color="auto"/>
      </w:divBdr>
    </w:div>
    <w:div w:id="1962688284">
      <w:bodyDiv w:val="1"/>
      <w:marLeft w:val="0"/>
      <w:marRight w:val="0"/>
      <w:marTop w:val="0"/>
      <w:marBottom w:val="0"/>
      <w:divBdr>
        <w:top w:val="none" w:sz="0" w:space="0" w:color="auto"/>
        <w:left w:val="none" w:sz="0" w:space="0" w:color="auto"/>
        <w:bottom w:val="none" w:sz="0" w:space="0" w:color="auto"/>
        <w:right w:val="none" w:sz="0" w:space="0" w:color="auto"/>
      </w:divBdr>
    </w:div>
    <w:div w:id="2054884246">
      <w:bodyDiv w:val="1"/>
      <w:marLeft w:val="0"/>
      <w:marRight w:val="0"/>
      <w:marTop w:val="0"/>
      <w:marBottom w:val="0"/>
      <w:divBdr>
        <w:top w:val="none" w:sz="0" w:space="0" w:color="auto"/>
        <w:left w:val="none" w:sz="0" w:space="0" w:color="auto"/>
        <w:bottom w:val="none" w:sz="0" w:space="0" w:color="auto"/>
        <w:right w:val="none" w:sz="0" w:space="0" w:color="auto"/>
      </w:divBdr>
    </w:div>
    <w:div w:id="20887643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www.gov.ky/" TargetMode="External"/><Relationship Id="rId18" Type="http://schemas.openxmlformats.org/officeDocument/2006/relationships/footer" Target="footer1.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www.bermudaLaws.bm/"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www.cortetrust.sm/on-line/home.html/" TargetMode="Externa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elizelaw.org/" TargetMode="External"/><Relationship Id="rId5" Type="http://schemas.openxmlformats.org/officeDocument/2006/relationships/webSettings" Target="webSettings.xml"/><Relationship Id="rId15" Type="http://schemas.openxmlformats.org/officeDocument/2006/relationships/hyperlink" Target="http://www.jerseylegalinfo.je/" TargetMode="External"/><Relationship Id="rId10" Type="http://schemas.openxmlformats.org/officeDocument/2006/relationships/hyperlink" Target="http://www.bahamas.gov.bs/" TargetMode="External"/><Relationship Id="rId19" Type="http://schemas.openxmlformats.org/officeDocument/2006/relationships/footer" Target="footer2.xml"/><Relationship Id="rId4" Type="http://schemas.openxmlformats.org/officeDocument/2006/relationships/settings" Target="settings.xml"/><Relationship Id="rId9" Type="http://schemas.openxmlformats.org/officeDocument/2006/relationships/hyperlink" Target="http://www.bailii.org/" TargetMode="External"/><Relationship Id="rId14" Type="http://schemas.openxmlformats.org/officeDocument/2006/relationships/hyperlink" Target="http://www.gov.gg/ccm/porta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424C33B-0CE6-2749-8237-53F81EC4E4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57</TotalTime>
  <Pages>10</Pages>
  <Words>3241</Words>
  <Characters>18477</Characters>
  <Application>Microsoft Office Word</Application>
  <DocSecurity>0</DocSecurity>
  <Lines>153</Lines>
  <Paragraphs>43</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
      <vt:lpstr/>
    </vt:vector>
  </TitlesOfParts>
  <Company>WP</Company>
  <LinksUpToDate>false</LinksUpToDate>
  <CharactersWithSpaces>21675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ADEBOLA ADEYEMI</dc:creator>
  <cp:keywords/>
  <dc:description/>
  <cp:lastModifiedBy>M</cp:lastModifiedBy>
  <cp:revision>11</cp:revision>
  <dcterms:created xsi:type="dcterms:W3CDTF">2025-03-11T13:38:00Z</dcterms:created>
  <dcterms:modified xsi:type="dcterms:W3CDTF">2025-03-11T16:03:00Z</dcterms:modified>
</cp:coreProperties>
</file>