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B533DAE" w:rsidR="00D56668" w:rsidRPr="008B100A" w:rsidRDefault="00D56668" w:rsidP="00011CDE">
      <w:pPr>
        <w:spacing w:before="100" w:beforeAutospacing="1" w:after="0" w:line="240" w:lineRule="auto"/>
        <w:rPr>
          <w:rFonts w:cstheme="minorHAnsi"/>
          <w:sz w:val="24"/>
          <w:szCs w:val="24"/>
        </w:rPr>
      </w:pPr>
    </w:p>
    <w:p w14:paraId="778F0F42" w14:textId="23B9963C" w:rsidR="00177ED8" w:rsidRPr="00437356" w:rsidRDefault="61C85805" w:rsidP="00D0337F">
      <w:pPr>
        <w:pStyle w:val="ListParagraph"/>
        <w:numPr>
          <w:ilvl w:val="0"/>
          <w:numId w:val="2"/>
        </w:numPr>
        <w:spacing w:after="240" w:line="240" w:lineRule="auto"/>
        <w:ind w:left="357" w:hanging="357"/>
        <w:jc w:val="both"/>
        <w:rPr>
          <w:rFonts w:ascii="Arial" w:hAnsi="Arial" w:cs="Arial"/>
          <w:b/>
          <w:bCs/>
          <w:sz w:val="24"/>
          <w:szCs w:val="24"/>
        </w:rPr>
      </w:pPr>
      <w:r w:rsidRPr="00437356">
        <w:rPr>
          <w:rFonts w:ascii="Arial" w:hAnsi="Arial" w:cs="Arial"/>
          <w:b/>
          <w:bCs/>
          <w:sz w:val="24"/>
          <w:szCs w:val="24"/>
        </w:rPr>
        <w:t>R</w:t>
      </w:r>
      <w:r w:rsidR="00D0337F" w:rsidRPr="00437356">
        <w:rPr>
          <w:rFonts w:ascii="Arial" w:hAnsi="Arial" w:cs="Arial"/>
          <w:b/>
          <w:bCs/>
          <w:sz w:val="24"/>
          <w:szCs w:val="24"/>
        </w:rPr>
        <w:t>eading</w:t>
      </w:r>
    </w:p>
    <w:p w14:paraId="51861636" w14:textId="04FEDBA7" w:rsidR="007E6351" w:rsidRPr="00437356" w:rsidRDefault="007E6351" w:rsidP="00D0337F">
      <w:pPr>
        <w:spacing w:before="100" w:beforeAutospacing="1" w:after="120" w:line="240" w:lineRule="auto"/>
        <w:jc w:val="both"/>
        <w:rPr>
          <w:rFonts w:ascii="Arial" w:hAnsi="Arial" w:cs="Arial"/>
        </w:rPr>
      </w:pPr>
      <w:r w:rsidRPr="00437356">
        <w:rPr>
          <w:rFonts w:ascii="Arial" w:hAnsi="Arial" w:cs="Arial"/>
        </w:rPr>
        <w:t>For essential and further reading, please see the Reading List feature on Learn Ultra.</w:t>
      </w:r>
    </w:p>
    <w:p w14:paraId="403D49D2" w14:textId="77777777" w:rsidR="00D0337F" w:rsidRPr="00437356" w:rsidRDefault="00D0337F" w:rsidP="00D0337F">
      <w:pPr>
        <w:spacing w:before="100" w:beforeAutospacing="1" w:after="120" w:line="240" w:lineRule="auto"/>
        <w:jc w:val="both"/>
        <w:rPr>
          <w:rFonts w:ascii="Arial" w:hAnsi="Arial" w:cs="Arial"/>
        </w:rPr>
      </w:pPr>
    </w:p>
    <w:p w14:paraId="14E91E84" w14:textId="2306A8CA" w:rsidR="00FB760A" w:rsidRPr="00437356" w:rsidRDefault="00807836" w:rsidP="007E6351">
      <w:pPr>
        <w:spacing w:after="120" w:line="240" w:lineRule="auto"/>
        <w:jc w:val="both"/>
        <w:rPr>
          <w:rFonts w:ascii="Arial" w:eastAsia="Arial" w:hAnsi="Arial" w:cs="Arial"/>
          <w:u w:val="single"/>
        </w:rPr>
      </w:pPr>
      <w:r w:rsidRPr="00437356">
        <w:rPr>
          <w:rFonts w:ascii="Arial" w:eastAsia="Arial" w:hAnsi="Arial" w:cs="Arial"/>
          <w:u w:val="single"/>
        </w:rPr>
        <w:t xml:space="preserve">Key </w:t>
      </w:r>
      <w:r w:rsidR="00FB760A" w:rsidRPr="00437356">
        <w:rPr>
          <w:rFonts w:ascii="Arial" w:eastAsia="Arial" w:hAnsi="Arial" w:cs="Arial"/>
          <w:u w:val="single"/>
        </w:rPr>
        <w:t>Cases</w:t>
      </w:r>
    </w:p>
    <w:p w14:paraId="4F4C59AB" w14:textId="77777777" w:rsidR="003E03BB" w:rsidRPr="00437356" w:rsidRDefault="61C85805"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Arial" w:hAnsi="Arial" w:cs="Arial"/>
          <w:i/>
          <w:iCs/>
        </w:rPr>
        <w:t>Knight v Knight</w:t>
      </w:r>
      <w:r w:rsidRPr="00437356">
        <w:rPr>
          <w:rFonts w:ascii="Arial" w:eastAsia="Arial" w:hAnsi="Arial" w:cs="Arial"/>
        </w:rPr>
        <w:t xml:space="preserve"> (1840) 3 Beavan 148</w:t>
      </w:r>
    </w:p>
    <w:p w14:paraId="0BBEBFE8" w14:textId="77777777" w:rsidR="000B5CE1" w:rsidRPr="00437356" w:rsidRDefault="000B5CE1" w:rsidP="007E6351">
      <w:pPr>
        <w:pStyle w:val="ListParagraph"/>
        <w:numPr>
          <w:ilvl w:val="0"/>
          <w:numId w:val="29"/>
        </w:numPr>
        <w:snapToGrid w:val="0"/>
        <w:spacing w:after="120" w:line="240" w:lineRule="auto"/>
        <w:ind w:left="714" w:hanging="357"/>
        <w:contextualSpacing w:val="0"/>
        <w:jc w:val="both"/>
        <w:rPr>
          <w:rFonts w:ascii="Arial" w:eastAsia="Arial" w:hAnsi="Arial" w:cs="Arial"/>
          <w:lang w:val="nb-NO"/>
        </w:rPr>
      </w:pPr>
      <w:r w:rsidRPr="00437356">
        <w:rPr>
          <w:rFonts w:ascii="Arial" w:eastAsia="Arial" w:hAnsi="Arial" w:cs="Arial"/>
          <w:i/>
          <w:iCs/>
          <w:lang w:val="nb-NO"/>
        </w:rPr>
        <w:t xml:space="preserve">Re </w:t>
      </w:r>
      <w:proofErr w:type="spellStart"/>
      <w:r w:rsidRPr="00437356">
        <w:rPr>
          <w:rFonts w:ascii="Arial" w:eastAsia="Arial" w:hAnsi="Arial" w:cs="Arial"/>
          <w:i/>
          <w:iCs/>
          <w:lang w:val="nb-NO"/>
        </w:rPr>
        <w:t>Kayford</w:t>
      </w:r>
      <w:proofErr w:type="spellEnd"/>
      <w:r w:rsidRPr="00437356">
        <w:rPr>
          <w:rFonts w:ascii="Arial" w:eastAsia="Arial" w:hAnsi="Arial" w:cs="Arial"/>
          <w:i/>
          <w:iCs/>
          <w:lang w:val="nb-NO"/>
        </w:rPr>
        <w:t xml:space="preserve"> </w:t>
      </w:r>
      <w:r w:rsidRPr="00437356">
        <w:rPr>
          <w:rFonts w:ascii="Arial" w:eastAsia="Arial" w:hAnsi="Arial" w:cs="Arial"/>
          <w:lang w:val="nb-NO"/>
        </w:rPr>
        <w:t>Ltd [1975] 1 All ER 604</w:t>
      </w:r>
    </w:p>
    <w:p w14:paraId="0F72DC26" w14:textId="77777777" w:rsidR="000B5CE1" w:rsidRPr="00437356" w:rsidRDefault="000B5CE1"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Arial" w:hAnsi="Arial" w:cs="Arial"/>
          <w:i/>
          <w:iCs/>
        </w:rPr>
        <w:t>Midland Bank plc v Wyatt</w:t>
      </w:r>
      <w:r w:rsidRPr="00437356">
        <w:rPr>
          <w:rFonts w:ascii="Arial" w:eastAsia="Arial" w:hAnsi="Arial" w:cs="Arial"/>
        </w:rPr>
        <w:t xml:space="preserve"> [1995] 1 FLR 697</w:t>
      </w:r>
    </w:p>
    <w:p w14:paraId="1EBF0A3C" w14:textId="77777777" w:rsidR="003E03BB" w:rsidRPr="00437356" w:rsidRDefault="61C85805"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Arial" w:hAnsi="Arial" w:cs="Arial"/>
          <w:i/>
          <w:iCs/>
        </w:rPr>
        <w:t>Re Adams and Kensington Vestry</w:t>
      </w:r>
      <w:r w:rsidRPr="00437356">
        <w:rPr>
          <w:rFonts w:ascii="Arial" w:eastAsia="Arial" w:hAnsi="Arial" w:cs="Arial"/>
        </w:rPr>
        <w:t xml:space="preserve"> (1884) 27 Ch D 394 </w:t>
      </w:r>
    </w:p>
    <w:p w14:paraId="23ECD579" w14:textId="77777777" w:rsidR="003E03BB" w:rsidRPr="00437356" w:rsidRDefault="61C85805"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Arial" w:hAnsi="Arial" w:cs="Arial"/>
          <w:i/>
          <w:iCs/>
        </w:rPr>
        <w:t xml:space="preserve">Comiskey v Bowring-Hanbury </w:t>
      </w:r>
      <w:r w:rsidRPr="00437356">
        <w:rPr>
          <w:rFonts w:ascii="Arial" w:eastAsia="Arial" w:hAnsi="Arial" w:cs="Arial"/>
        </w:rPr>
        <w:t>[1905] AC 84</w:t>
      </w:r>
    </w:p>
    <w:p w14:paraId="5E2137F3" w14:textId="77777777" w:rsidR="003E03BB" w:rsidRPr="00437356" w:rsidRDefault="61C85805"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Arial" w:hAnsi="Arial" w:cs="Arial"/>
          <w:i/>
          <w:iCs/>
        </w:rPr>
        <w:t>Paul v Constance</w:t>
      </w:r>
      <w:r w:rsidRPr="00437356">
        <w:rPr>
          <w:rFonts w:ascii="Arial" w:eastAsia="Arial" w:hAnsi="Arial" w:cs="Arial"/>
        </w:rPr>
        <w:t xml:space="preserve"> [1977] 1 WLR 527</w:t>
      </w:r>
    </w:p>
    <w:p w14:paraId="164D94D3" w14:textId="77777777" w:rsidR="003E03BB" w:rsidRPr="00437356" w:rsidRDefault="61C85805" w:rsidP="007E6351">
      <w:pPr>
        <w:pStyle w:val="ListParagraph"/>
        <w:numPr>
          <w:ilvl w:val="0"/>
          <w:numId w:val="29"/>
        </w:numPr>
        <w:snapToGrid w:val="0"/>
        <w:spacing w:after="120" w:line="240" w:lineRule="auto"/>
        <w:ind w:left="714" w:hanging="357"/>
        <w:contextualSpacing w:val="0"/>
        <w:jc w:val="both"/>
        <w:rPr>
          <w:rFonts w:ascii="Arial" w:eastAsia="Arial" w:hAnsi="Arial" w:cs="Arial"/>
          <w:lang w:val="sv-SE"/>
        </w:rPr>
      </w:pPr>
      <w:r w:rsidRPr="00437356">
        <w:rPr>
          <w:rFonts w:ascii="Arial" w:eastAsia="Arial" w:hAnsi="Arial" w:cs="Arial"/>
          <w:i/>
          <w:iCs/>
          <w:lang w:val="sv-SE"/>
        </w:rPr>
        <w:t>Jones v Lock</w:t>
      </w:r>
      <w:r w:rsidRPr="00437356">
        <w:rPr>
          <w:rFonts w:ascii="Arial" w:eastAsia="Arial" w:hAnsi="Arial" w:cs="Arial"/>
          <w:lang w:val="sv-SE"/>
        </w:rPr>
        <w:t xml:space="preserve"> (1865) LR 1 </w:t>
      </w:r>
      <w:proofErr w:type="spellStart"/>
      <w:r w:rsidRPr="00437356">
        <w:rPr>
          <w:rFonts w:ascii="Arial" w:eastAsia="Arial" w:hAnsi="Arial" w:cs="Arial"/>
          <w:lang w:val="sv-SE"/>
        </w:rPr>
        <w:t>Ch</w:t>
      </w:r>
      <w:proofErr w:type="spellEnd"/>
      <w:r w:rsidRPr="00437356">
        <w:rPr>
          <w:rFonts w:ascii="Arial" w:eastAsia="Arial" w:hAnsi="Arial" w:cs="Arial"/>
          <w:lang w:val="sv-SE"/>
        </w:rPr>
        <w:t xml:space="preserve"> </w:t>
      </w:r>
      <w:proofErr w:type="spellStart"/>
      <w:r w:rsidRPr="00437356">
        <w:rPr>
          <w:rFonts w:ascii="Arial" w:eastAsia="Arial" w:hAnsi="Arial" w:cs="Arial"/>
          <w:lang w:val="sv-SE"/>
        </w:rPr>
        <w:t>App</w:t>
      </w:r>
      <w:proofErr w:type="spellEnd"/>
      <w:r w:rsidRPr="00437356">
        <w:rPr>
          <w:rFonts w:ascii="Arial" w:eastAsia="Arial" w:hAnsi="Arial" w:cs="Arial"/>
          <w:lang w:val="sv-SE"/>
        </w:rPr>
        <w:t xml:space="preserve"> 25</w:t>
      </w:r>
    </w:p>
    <w:p w14:paraId="6E014EC3"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Boyce v Boyce</w:t>
      </w:r>
      <w:r w:rsidRPr="00437356">
        <w:rPr>
          <w:rFonts w:ascii="Arial" w:eastAsia="MS Mincho" w:hAnsi="Arial" w:cs="Arial"/>
          <w:lang w:bidi="en-US"/>
        </w:rPr>
        <w:t xml:space="preserve"> (1849) 16 Sim 476</w:t>
      </w:r>
    </w:p>
    <w:p w14:paraId="43377DE2"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Re London Wine Co (Shippers) Ltd</w:t>
      </w:r>
      <w:r w:rsidRPr="00437356">
        <w:rPr>
          <w:rFonts w:ascii="Arial" w:eastAsia="MS Mincho" w:hAnsi="Arial" w:cs="Arial"/>
          <w:lang w:bidi="en-US"/>
        </w:rPr>
        <w:t xml:space="preserve"> (1986) PCC 121</w:t>
      </w:r>
    </w:p>
    <w:p w14:paraId="42E52849"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Re Goldcorp Exchange</w:t>
      </w:r>
      <w:r w:rsidRPr="00437356">
        <w:rPr>
          <w:rFonts w:ascii="Arial" w:eastAsia="MS Mincho" w:hAnsi="Arial" w:cs="Arial"/>
          <w:lang w:bidi="en-US"/>
        </w:rPr>
        <w:t xml:space="preserve"> Ltd [1995] 1 AC 74</w:t>
      </w:r>
    </w:p>
    <w:p w14:paraId="251BA698" w14:textId="30D2C972"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Hunter v Moss</w:t>
      </w:r>
      <w:r w:rsidRPr="00437356">
        <w:rPr>
          <w:rFonts w:ascii="Arial" w:eastAsia="MS Mincho" w:hAnsi="Arial" w:cs="Arial"/>
          <w:lang w:bidi="en-US"/>
        </w:rPr>
        <w:t xml:space="preserve"> [1994] 1 WLR</w:t>
      </w:r>
    </w:p>
    <w:p w14:paraId="6C47428C"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Re Harvard Securities Ltd</w:t>
      </w:r>
      <w:r w:rsidRPr="00437356">
        <w:rPr>
          <w:rFonts w:ascii="Arial" w:eastAsia="MS Mincho" w:hAnsi="Arial" w:cs="Arial"/>
          <w:lang w:bidi="en-US"/>
        </w:rPr>
        <w:t xml:space="preserve"> [1997] 2 BCLC 369</w:t>
      </w:r>
    </w:p>
    <w:p w14:paraId="76F50585" w14:textId="6DF3C098" w:rsidR="000D6BFC" w:rsidRPr="00437356" w:rsidRDefault="007E6351" w:rsidP="007E6351">
      <w:pPr>
        <w:pStyle w:val="ListParagraph"/>
        <w:numPr>
          <w:ilvl w:val="0"/>
          <w:numId w:val="29"/>
        </w:numPr>
        <w:snapToGrid w:val="0"/>
        <w:spacing w:after="120" w:line="240" w:lineRule="auto"/>
        <w:ind w:left="714" w:hanging="357"/>
        <w:contextualSpacing w:val="0"/>
        <w:jc w:val="both"/>
        <w:rPr>
          <w:rFonts w:ascii="Arial" w:hAnsi="Arial" w:cs="Arial"/>
        </w:rPr>
      </w:pPr>
      <w:r w:rsidRPr="00437356">
        <w:rPr>
          <w:rFonts w:ascii="Arial" w:hAnsi="Arial" w:cs="Arial"/>
        </w:rPr>
        <w:br w:type="page"/>
      </w:r>
    </w:p>
    <w:p w14:paraId="7DAD6F5D" w14:textId="55806354" w:rsidR="00011CDE" w:rsidRPr="00437356" w:rsidRDefault="00D0337F" w:rsidP="00D0337F">
      <w:pPr>
        <w:pStyle w:val="ListParagraph"/>
        <w:numPr>
          <w:ilvl w:val="0"/>
          <w:numId w:val="2"/>
        </w:numPr>
        <w:snapToGrid w:val="0"/>
        <w:spacing w:after="240" w:line="240" w:lineRule="auto"/>
        <w:ind w:left="357" w:hanging="357"/>
        <w:contextualSpacing w:val="0"/>
        <w:jc w:val="both"/>
        <w:rPr>
          <w:rFonts w:ascii="Arial" w:eastAsia="Times New Roman" w:hAnsi="Arial" w:cs="Arial"/>
          <w:bCs/>
          <w:iCs/>
          <w:sz w:val="24"/>
          <w:szCs w:val="24"/>
          <w:lang w:bidi="en-US"/>
        </w:rPr>
      </w:pPr>
      <w:r w:rsidRPr="00437356">
        <w:rPr>
          <w:rFonts w:ascii="Arial" w:eastAsia="Times New Roman" w:hAnsi="Arial" w:cs="Arial"/>
          <w:b/>
          <w:iCs/>
          <w:sz w:val="24"/>
          <w:szCs w:val="24"/>
          <w:lang w:bidi="en-US"/>
        </w:rPr>
        <w:lastRenderedPageBreak/>
        <w:t>Introduction to the Three Certainties</w:t>
      </w:r>
    </w:p>
    <w:p w14:paraId="0E3BA6A6" w14:textId="090CB18F" w:rsidR="000D6BFC" w:rsidRPr="00437356" w:rsidRDefault="000D6BFC" w:rsidP="00C526E7">
      <w:pPr>
        <w:snapToGrid w:val="0"/>
        <w:spacing w:after="120" w:line="360" w:lineRule="auto"/>
        <w:jc w:val="both"/>
        <w:rPr>
          <w:rFonts w:ascii="Arial" w:eastAsia="Times New Roman" w:hAnsi="Arial" w:cs="Arial"/>
          <w:bCs/>
          <w:iCs/>
          <w:lang w:bidi="en-US"/>
        </w:rPr>
      </w:pPr>
      <w:r w:rsidRPr="00437356">
        <w:rPr>
          <w:rFonts w:ascii="Arial" w:eastAsia="Times New Roman" w:hAnsi="Arial" w:cs="Arial"/>
          <w:bCs/>
          <w:iCs/>
          <w:lang w:bidi="en-US"/>
        </w:rPr>
        <w:t xml:space="preserve">In </w:t>
      </w:r>
      <w:r w:rsidRPr="00437356">
        <w:rPr>
          <w:rFonts w:ascii="Arial" w:eastAsia="Times New Roman" w:hAnsi="Arial" w:cs="Arial"/>
          <w:bCs/>
          <w:i/>
          <w:iCs/>
          <w:lang w:bidi="en-US"/>
        </w:rPr>
        <w:t>Knight v Knight</w:t>
      </w:r>
      <w:r w:rsidRPr="00437356">
        <w:rPr>
          <w:rFonts w:ascii="Arial" w:eastAsia="Times New Roman" w:hAnsi="Arial" w:cs="Arial"/>
          <w:bCs/>
          <w:iCs/>
          <w:lang w:bidi="en-US"/>
        </w:rPr>
        <w:t xml:space="preserve"> (1840) 3 </w:t>
      </w:r>
      <w:proofErr w:type="spellStart"/>
      <w:r w:rsidRPr="00437356">
        <w:rPr>
          <w:rFonts w:ascii="Arial" w:eastAsia="Times New Roman" w:hAnsi="Arial" w:cs="Arial"/>
          <w:bCs/>
          <w:iCs/>
          <w:lang w:bidi="en-US"/>
        </w:rPr>
        <w:t>Beav</w:t>
      </w:r>
      <w:proofErr w:type="spellEnd"/>
      <w:r w:rsidRPr="00437356">
        <w:rPr>
          <w:rFonts w:ascii="Arial" w:eastAsia="Times New Roman" w:hAnsi="Arial" w:cs="Arial"/>
          <w:bCs/>
          <w:iCs/>
          <w:lang w:bidi="en-US"/>
        </w:rPr>
        <w:t xml:space="preserve"> 148 at 172-173, Lord Langdale MR explained that for an express trust to be created</w:t>
      </w:r>
      <w:r w:rsidR="00962A1B" w:rsidRPr="00437356">
        <w:rPr>
          <w:rFonts w:ascii="Arial" w:eastAsia="Times New Roman" w:hAnsi="Arial" w:cs="Arial"/>
          <w:bCs/>
          <w:iCs/>
          <w:lang w:bidi="en-US"/>
        </w:rPr>
        <w:t>,</w:t>
      </w:r>
      <w:r w:rsidRPr="00437356">
        <w:rPr>
          <w:rFonts w:ascii="Arial" w:eastAsia="Times New Roman" w:hAnsi="Arial" w:cs="Arial"/>
          <w:bCs/>
          <w:iCs/>
          <w:lang w:bidi="en-US"/>
        </w:rPr>
        <w:t xml:space="preserve"> the settlor had to express three things with certainty: </w:t>
      </w:r>
    </w:p>
    <w:p w14:paraId="2174E53B" w14:textId="77777777" w:rsidR="000D6BFC" w:rsidRPr="00437356" w:rsidRDefault="000D6BFC" w:rsidP="00C526E7">
      <w:pPr>
        <w:snapToGrid w:val="0"/>
        <w:spacing w:after="120" w:line="360" w:lineRule="auto"/>
        <w:ind w:left="720"/>
        <w:jc w:val="both"/>
        <w:rPr>
          <w:rFonts w:ascii="Arial" w:eastAsia="Times New Roman" w:hAnsi="Arial" w:cs="Arial"/>
          <w:bCs/>
          <w:iCs/>
          <w:lang w:bidi="en-US"/>
        </w:rPr>
      </w:pPr>
      <w:r w:rsidRPr="00437356">
        <w:rPr>
          <w:rFonts w:ascii="Arial" w:eastAsia="Times New Roman" w:hAnsi="Arial" w:cs="Arial"/>
          <w:bCs/>
          <w:iCs/>
          <w:lang w:bidi="en-US"/>
        </w:rPr>
        <w:t>“As a general rule, it has been laid down, that when property is given absolutely to any person, and the same person is, by the giver who has power to command, recommended, or entreated, or wished, to dispose of that property in favour of another, the recommendation, entreaty, or wish shall be held to create a trust. First, if the words are so used, that upon the whole, they ought to be construed as imperative; Secondly, if the subject of the recommendation or wish be certain; and, Thirdly, if the objects or persons intended to have the benefit of the recommendation or wish be also certain. In simple cases there is no difficulty in the application of the rule thus stated.”</w:t>
      </w:r>
    </w:p>
    <w:p w14:paraId="1C8AC162" w14:textId="70625841" w:rsidR="000D6BFC"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These three requirements became known as </w:t>
      </w:r>
      <w:r w:rsidRPr="00437356">
        <w:rPr>
          <w:rFonts w:ascii="Arial" w:eastAsia="MS Mincho" w:hAnsi="Arial" w:cs="Arial"/>
          <w:u w:val="single"/>
          <w:lang w:bidi="en-US"/>
        </w:rPr>
        <w:t>certainty of intention</w:t>
      </w:r>
      <w:r w:rsidRPr="00437356">
        <w:rPr>
          <w:rFonts w:ascii="Arial" w:eastAsia="MS Mincho" w:hAnsi="Arial" w:cs="Arial"/>
          <w:lang w:bidi="en-US"/>
        </w:rPr>
        <w:t xml:space="preserve">, </w:t>
      </w:r>
      <w:r w:rsidRPr="00437356">
        <w:rPr>
          <w:rFonts w:ascii="Arial" w:eastAsia="MS Mincho" w:hAnsi="Arial" w:cs="Arial"/>
          <w:u w:val="single"/>
          <w:lang w:bidi="en-US"/>
        </w:rPr>
        <w:t xml:space="preserve">certainty of subject </w:t>
      </w:r>
      <w:r w:rsidR="00962A1B" w:rsidRPr="00437356">
        <w:rPr>
          <w:rFonts w:ascii="Arial" w:eastAsia="MS Mincho" w:hAnsi="Arial" w:cs="Arial"/>
          <w:u w:val="single"/>
          <w:lang w:bidi="en-US"/>
        </w:rPr>
        <w:t>matter</w:t>
      </w:r>
      <w:r w:rsidR="00962A1B" w:rsidRPr="00437356">
        <w:rPr>
          <w:rFonts w:ascii="Arial" w:eastAsia="MS Mincho" w:hAnsi="Arial" w:cs="Arial"/>
          <w:lang w:bidi="en-US"/>
        </w:rPr>
        <w:t xml:space="preserve"> </w:t>
      </w:r>
      <w:r w:rsidRPr="00437356">
        <w:rPr>
          <w:rFonts w:ascii="Arial" w:eastAsia="MS Mincho" w:hAnsi="Arial" w:cs="Arial"/>
          <w:lang w:bidi="en-US"/>
        </w:rPr>
        <w:t xml:space="preserve">and </w:t>
      </w:r>
      <w:r w:rsidRPr="00437356">
        <w:rPr>
          <w:rFonts w:ascii="Arial" w:eastAsia="MS Mincho" w:hAnsi="Arial" w:cs="Arial"/>
          <w:u w:val="single"/>
          <w:lang w:bidi="en-US"/>
        </w:rPr>
        <w:t>certainty of object</w:t>
      </w:r>
      <w:r w:rsidRPr="00437356">
        <w:rPr>
          <w:rFonts w:ascii="Arial" w:eastAsia="MS Mincho" w:hAnsi="Arial" w:cs="Arial"/>
          <w:lang w:bidi="en-US"/>
        </w:rPr>
        <w:t xml:space="preserve"> (</w:t>
      </w:r>
      <w:r w:rsidR="008C4A94" w:rsidRPr="00437356">
        <w:rPr>
          <w:rFonts w:ascii="Arial" w:eastAsia="MS Mincho" w:hAnsi="Arial" w:cs="Arial"/>
          <w:lang w:bidi="en-US"/>
        </w:rPr>
        <w:t>please DO NOT</w:t>
      </w:r>
      <w:r w:rsidRPr="00437356">
        <w:rPr>
          <w:rFonts w:ascii="Arial" w:eastAsia="MS Mincho" w:hAnsi="Arial" w:cs="Arial"/>
          <w:lang w:bidi="en-US"/>
        </w:rPr>
        <w:t xml:space="preserve"> confuse </w:t>
      </w:r>
      <w:r w:rsidR="008C4A94" w:rsidRPr="00437356">
        <w:rPr>
          <w:rFonts w:ascii="Arial" w:eastAsia="MS Mincho" w:hAnsi="Arial" w:cs="Arial"/>
          <w:lang w:bidi="en-US"/>
        </w:rPr>
        <w:t>‘</w:t>
      </w:r>
      <w:r w:rsidRPr="00437356">
        <w:rPr>
          <w:rFonts w:ascii="Arial" w:eastAsia="MS Mincho" w:hAnsi="Arial" w:cs="Arial"/>
          <w:lang w:bidi="en-US"/>
        </w:rPr>
        <w:t xml:space="preserve">subject </w:t>
      </w:r>
      <w:r w:rsidR="00962A1B" w:rsidRPr="00437356">
        <w:rPr>
          <w:rFonts w:ascii="Arial" w:eastAsia="MS Mincho" w:hAnsi="Arial" w:cs="Arial"/>
          <w:lang w:bidi="en-US"/>
        </w:rPr>
        <w:t>matter</w:t>
      </w:r>
      <w:r w:rsidR="008C4A94" w:rsidRPr="00437356">
        <w:rPr>
          <w:rFonts w:ascii="Arial" w:eastAsia="MS Mincho" w:hAnsi="Arial" w:cs="Arial"/>
          <w:lang w:bidi="en-US"/>
        </w:rPr>
        <w:t>’</w:t>
      </w:r>
      <w:r w:rsidR="00962A1B" w:rsidRPr="00437356">
        <w:rPr>
          <w:rFonts w:ascii="Arial" w:eastAsia="MS Mincho" w:hAnsi="Arial" w:cs="Arial"/>
          <w:lang w:bidi="en-US"/>
        </w:rPr>
        <w:t xml:space="preserve"> </w:t>
      </w:r>
      <w:r w:rsidR="008C4A94" w:rsidRPr="00437356">
        <w:rPr>
          <w:rFonts w:ascii="Arial" w:eastAsia="MS Mincho" w:hAnsi="Arial" w:cs="Arial"/>
          <w:lang w:bidi="en-US"/>
        </w:rPr>
        <w:t>– the trust-</w:t>
      </w:r>
      <w:r w:rsidRPr="00437356">
        <w:rPr>
          <w:rFonts w:ascii="Arial" w:eastAsia="MS Mincho" w:hAnsi="Arial" w:cs="Arial"/>
          <w:lang w:bidi="en-US"/>
        </w:rPr>
        <w:t>property</w:t>
      </w:r>
      <w:r w:rsidR="008C4A94" w:rsidRPr="00437356">
        <w:rPr>
          <w:rFonts w:ascii="Arial" w:eastAsia="MS Mincho" w:hAnsi="Arial" w:cs="Arial"/>
          <w:lang w:bidi="en-US"/>
        </w:rPr>
        <w:t xml:space="preserve">/fund – </w:t>
      </w:r>
      <w:r w:rsidRPr="00437356">
        <w:rPr>
          <w:rFonts w:ascii="Arial" w:eastAsia="MS Mincho" w:hAnsi="Arial" w:cs="Arial"/>
          <w:lang w:bidi="en-US"/>
        </w:rPr>
        <w:t xml:space="preserve">with </w:t>
      </w:r>
      <w:r w:rsidR="008C4A94" w:rsidRPr="00437356">
        <w:rPr>
          <w:rFonts w:ascii="Arial" w:eastAsia="MS Mincho" w:hAnsi="Arial" w:cs="Arial"/>
          <w:lang w:bidi="en-US"/>
        </w:rPr>
        <w:t>‘</w:t>
      </w:r>
      <w:r w:rsidRPr="00437356">
        <w:rPr>
          <w:rFonts w:ascii="Arial" w:eastAsia="MS Mincho" w:hAnsi="Arial" w:cs="Arial"/>
          <w:lang w:bidi="en-US"/>
        </w:rPr>
        <w:t>object</w:t>
      </w:r>
      <w:r w:rsidR="008C4A94" w:rsidRPr="00437356">
        <w:rPr>
          <w:rFonts w:ascii="Arial" w:eastAsia="MS Mincho" w:hAnsi="Arial" w:cs="Arial"/>
          <w:lang w:bidi="en-US"/>
        </w:rPr>
        <w:t>’</w:t>
      </w:r>
      <w:r w:rsidRPr="00437356">
        <w:rPr>
          <w:rFonts w:ascii="Arial" w:eastAsia="MS Mincho" w:hAnsi="Arial" w:cs="Arial"/>
          <w:lang w:bidi="en-US"/>
        </w:rPr>
        <w:t xml:space="preserve"> </w:t>
      </w:r>
      <w:r w:rsidR="008C4A94" w:rsidRPr="00437356">
        <w:rPr>
          <w:rFonts w:ascii="Arial" w:eastAsia="MS Mincho" w:hAnsi="Arial" w:cs="Arial"/>
          <w:lang w:bidi="en-US"/>
        </w:rPr>
        <w:t>– beneficiaries</w:t>
      </w:r>
      <w:r w:rsidRPr="00437356">
        <w:rPr>
          <w:rFonts w:ascii="Arial" w:eastAsia="MS Mincho" w:hAnsi="Arial" w:cs="Arial"/>
          <w:lang w:bidi="en-US"/>
        </w:rPr>
        <w:t xml:space="preserve"> or purpose)</w:t>
      </w:r>
      <w:r w:rsidR="00962A1B" w:rsidRPr="00437356">
        <w:rPr>
          <w:rFonts w:ascii="Arial" w:eastAsia="MS Mincho" w:hAnsi="Arial" w:cs="Arial"/>
          <w:lang w:bidi="en-US"/>
        </w:rPr>
        <w:t xml:space="preserve">. </w:t>
      </w:r>
    </w:p>
    <w:p w14:paraId="336682F1" w14:textId="77777777" w:rsidR="006A2FD0"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The reason for these requirements is two-fold.</w:t>
      </w:r>
    </w:p>
    <w:p w14:paraId="3892E791" w14:textId="77777777" w:rsidR="006A2FD0" w:rsidRPr="00437356" w:rsidRDefault="006A2FD0"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Firstly, if a trustee fails to administer the trust, the responsibility falls to the court. So, if there is uncertainty in any of these areas, it becomes impossible for the court to administer it effectively.</w:t>
      </w:r>
    </w:p>
    <w:p w14:paraId="122981E1" w14:textId="6D8C9E58" w:rsidR="000D6BFC"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Secondly, whether a trust can be found or not can have significant effects on the ability of creditors to recover property in an insolvency situation. </w:t>
      </w:r>
      <w:r w:rsidR="006A2FD0" w:rsidRPr="00437356">
        <w:rPr>
          <w:rFonts w:ascii="Arial" w:eastAsia="MS Mincho" w:hAnsi="Arial" w:cs="Arial"/>
          <w:lang w:bidi="en-US"/>
        </w:rPr>
        <w:t xml:space="preserve">For instance, did the insolvent individual successfully create a trust in favour of a third party to evade creditors’ demands? </w:t>
      </w:r>
      <w:proofErr w:type="gramStart"/>
      <w:r w:rsidR="006A2FD0" w:rsidRPr="00437356">
        <w:rPr>
          <w:rFonts w:ascii="Arial" w:eastAsia="MS Mincho" w:hAnsi="Arial" w:cs="Arial"/>
          <w:lang w:bidi="en-US"/>
        </w:rPr>
        <w:t>Or,</w:t>
      </w:r>
      <w:proofErr w:type="gramEnd"/>
      <w:r w:rsidR="006A2FD0" w:rsidRPr="00437356">
        <w:rPr>
          <w:rFonts w:ascii="Arial" w:eastAsia="MS Mincho" w:hAnsi="Arial" w:cs="Arial"/>
          <w:lang w:bidi="en-US"/>
        </w:rPr>
        <w:t xml:space="preserve"> can creditors assert that their property is held in trust by the insolvent individual, thus elevating their position in the hierarchy of creditors? </w:t>
      </w:r>
      <w:r w:rsidRPr="00437356">
        <w:rPr>
          <w:rFonts w:ascii="Arial" w:eastAsia="MS Mincho" w:hAnsi="Arial" w:cs="Arial"/>
          <w:lang w:bidi="en-US"/>
        </w:rPr>
        <w:t>This area of law thus requires legal certainty, even if (or perhaps because) the courts are in practice influenced by contextual factors, such as whether other creditors are disadvantaged by the finding of a trust. Other points to note are:</w:t>
      </w:r>
    </w:p>
    <w:p w14:paraId="057ECDF5" w14:textId="77777777" w:rsidR="000D6BFC"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Although the three certainties are treated as separate requirements, in reality there is an element of overlap. A lack of certainty in one area may impact on the court’s assessment of certainty in another area. For example, in </w:t>
      </w:r>
      <w:r w:rsidRPr="00437356">
        <w:rPr>
          <w:rFonts w:ascii="Arial" w:eastAsia="MS Mincho" w:hAnsi="Arial" w:cs="Arial"/>
          <w:i/>
          <w:lang w:bidi="en-US"/>
        </w:rPr>
        <w:t>Mussoorie Bank v Raynor</w:t>
      </w:r>
      <w:r w:rsidRPr="00437356">
        <w:rPr>
          <w:rFonts w:ascii="Arial" w:eastAsia="MS Mincho" w:hAnsi="Arial" w:cs="Arial"/>
          <w:lang w:bidi="en-US"/>
        </w:rPr>
        <w:t xml:space="preserve"> (1882) 7 App Cas 321 Sir Arthur Hobhouse stated at 331:</w:t>
      </w:r>
    </w:p>
    <w:p w14:paraId="6CAFE0DB" w14:textId="77777777" w:rsidR="000D6BFC" w:rsidRPr="00437356" w:rsidRDefault="000D6BFC" w:rsidP="00C526E7">
      <w:pPr>
        <w:snapToGrid w:val="0"/>
        <w:spacing w:after="120" w:line="360" w:lineRule="auto"/>
        <w:ind w:left="720"/>
        <w:jc w:val="both"/>
        <w:rPr>
          <w:rFonts w:ascii="Arial" w:eastAsia="MS Mincho" w:hAnsi="Arial" w:cs="Arial"/>
          <w:lang w:bidi="en-US"/>
        </w:rPr>
      </w:pPr>
      <w:r w:rsidRPr="00437356">
        <w:rPr>
          <w:rFonts w:ascii="Arial" w:eastAsia="MS Mincho" w:hAnsi="Arial" w:cs="Arial"/>
          <w:lang w:bidi="en-US"/>
        </w:rPr>
        <w:t xml:space="preserve">“If there is uncertainty as to the amount or nature of the property that is given over, two difficulties at once arise. There is not only difficulty in the execution of the trust because the Court does not know upon what property to lay its hands, but the uncertainty in the subject of the gift has a reflex action upon the previous words, and throws doubt upon </w:t>
      </w:r>
      <w:r w:rsidRPr="00437356">
        <w:rPr>
          <w:rFonts w:ascii="Arial" w:eastAsia="MS Mincho" w:hAnsi="Arial" w:cs="Arial"/>
          <w:lang w:bidi="en-US"/>
        </w:rPr>
        <w:lastRenderedPageBreak/>
        <w:t xml:space="preserve">the intention of the testator, and seems to shew that he could not possibly have intended his words of confidence, hope, or whatever they may be,—his appeal to the conscience of the first taker,—to be imperative words.” </w:t>
      </w:r>
    </w:p>
    <w:p w14:paraId="4FE886F2" w14:textId="5D8F97BB" w:rsidR="00962A1B" w:rsidRPr="00437356" w:rsidRDefault="00962A1B" w:rsidP="00C526E7">
      <w:pPr>
        <w:numPr>
          <w:ilvl w:val="0"/>
          <w:numId w:val="24"/>
        </w:numPr>
        <w:snapToGrid w:val="0"/>
        <w:spacing w:after="120" w:line="360" w:lineRule="auto"/>
        <w:jc w:val="both"/>
        <w:rPr>
          <w:rFonts w:ascii="Arial" w:eastAsia="MS Mincho" w:hAnsi="Arial" w:cs="Arial"/>
          <w:lang w:bidi="en-US"/>
        </w:rPr>
      </w:pPr>
      <w:r w:rsidRPr="00437356">
        <w:rPr>
          <w:rFonts w:ascii="Arial" w:eastAsia="MS Mincho" w:hAnsi="Arial" w:cs="Arial"/>
          <w:lang w:bidi="en-US"/>
        </w:rPr>
        <w:t>Nevertheless, it is useful to consider each certainty in turn, not least because d</w:t>
      </w:r>
      <w:r w:rsidR="000D6BFC" w:rsidRPr="00437356">
        <w:rPr>
          <w:rFonts w:ascii="Arial" w:eastAsia="MS Mincho" w:hAnsi="Arial" w:cs="Arial"/>
          <w:lang w:bidi="en-US"/>
        </w:rPr>
        <w:t>ifferent consequences for the destination of the property follow from a lack of certainty in intention, subject matter and objects (see below).</w:t>
      </w:r>
    </w:p>
    <w:p w14:paraId="68BCCA0E" w14:textId="77777777" w:rsidR="00964950" w:rsidRPr="00437356" w:rsidRDefault="00964950" w:rsidP="00C526E7">
      <w:pPr>
        <w:snapToGrid w:val="0"/>
        <w:spacing w:after="120" w:line="360" w:lineRule="auto"/>
        <w:ind w:left="360"/>
        <w:jc w:val="both"/>
        <w:rPr>
          <w:rFonts w:ascii="Arial" w:eastAsia="MS Mincho" w:hAnsi="Arial" w:cs="Arial"/>
          <w:lang w:bidi="en-US"/>
        </w:rPr>
      </w:pPr>
    </w:p>
    <w:p w14:paraId="234F6A4C" w14:textId="4E9AD9C0" w:rsidR="00D0337F" w:rsidRPr="00437356" w:rsidRDefault="00D0337F" w:rsidP="00C526E7">
      <w:pPr>
        <w:pStyle w:val="ListParagraph"/>
        <w:numPr>
          <w:ilvl w:val="0"/>
          <w:numId w:val="2"/>
        </w:numPr>
        <w:snapToGrid w:val="0"/>
        <w:spacing w:before="120" w:after="240" w:line="360" w:lineRule="auto"/>
        <w:ind w:left="357" w:hanging="357"/>
        <w:contextualSpacing w:val="0"/>
        <w:jc w:val="both"/>
        <w:outlineLvl w:val="1"/>
        <w:rPr>
          <w:rFonts w:ascii="Arial" w:eastAsia="Times New Roman" w:hAnsi="Arial" w:cs="Arial"/>
          <w:b/>
          <w:iCs/>
          <w:sz w:val="24"/>
          <w:szCs w:val="24"/>
          <w:lang w:bidi="en-US"/>
        </w:rPr>
      </w:pPr>
      <w:r w:rsidRPr="00437356">
        <w:rPr>
          <w:rFonts w:ascii="Arial" w:eastAsia="Times New Roman" w:hAnsi="Arial" w:cs="Arial"/>
          <w:b/>
          <w:iCs/>
          <w:sz w:val="24"/>
          <w:szCs w:val="24"/>
          <w:lang w:bidi="en-US"/>
        </w:rPr>
        <w:t>Certainty of Intention</w:t>
      </w:r>
    </w:p>
    <w:p w14:paraId="2E49ADC7" w14:textId="3BAC8E4D" w:rsidR="000D6BFC" w:rsidRPr="00437356" w:rsidRDefault="000D6BFC" w:rsidP="00C526E7">
      <w:pPr>
        <w:pStyle w:val="ListParagraph"/>
        <w:numPr>
          <w:ilvl w:val="0"/>
          <w:numId w:val="32"/>
        </w:numPr>
        <w:snapToGrid w:val="0"/>
        <w:spacing w:before="120" w:after="120" w:line="360" w:lineRule="auto"/>
        <w:ind w:left="714" w:hanging="357"/>
        <w:contextualSpacing w:val="0"/>
        <w:jc w:val="both"/>
        <w:rPr>
          <w:rFonts w:ascii="Arial" w:eastAsia="MS Mincho" w:hAnsi="Arial" w:cs="Arial"/>
          <w:b/>
          <w:lang w:bidi="en-US"/>
        </w:rPr>
      </w:pPr>
      <w:r w:rsidRPr="00437356">
        <w:rPr>
          <w:rFonts w:ascii="Arial" w:eastAsia="MS Mincho" w:hAnsi="Arial" w:cs="Arial"/>
          <w:b/>
          <w:lang w:bidi="en-US"/>
        </w:rPr>
        <w:t xml:space="preserve">Form vs. </w:t>
      </w:r>
      <w:r w:rsidR="00771DEC" w:rsidRPr="00437356">
        <w:rPr>
          <w:rFonts w:ascii="Arial" w:eastAsia="MS Mincho" w:hAnsi="Arial" w:cs="Arial"/>
          <w:b/>
          <w:lang w:bidi="en-US"/>
        </w:rPr>
        <w:t>S</w:t>
      </w:r>
      <w:r w:rsidRPr="00437356">
        <w:rPr>
          <w:rFonts w:ascii="Arial" w:eastAsia="MS Mincho" w:hAnsi="Arial" w:cs="Arial"/>
          <w:b/>
          <w:lang w:bidi="en-US"/>
        </w:rPr>
        <w:t>ubstance</w:t>
      </w:r>
    </w:p>
    <w:p w14:paraId="19EBF69F" w14:textId="77777777" w:rsidR="009D5787"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When judges seek to discover intention, they look at the </w:t>
      </w:r>
      <w:r w:rsidRPr="00437356">
        <w:rPr>
          <w:rFonts w:ascii="Arial" w:eastAsia="MS Mincho" w:hAnsi="Arial" w:cs="Arial"/>
          <w:i/>
          <w:lang w:bidi="en-US"/>
        </w:rPr>
        <w:t>expression</w:t>
      </w:r>
      <w:r w:rsidRPr="00437356">
        <w:rPr>
          <w:rFonts w:ascii="Arial" w:eastAsia="MS Mincho" w:hAnsi="Arial" w:cs="Arial"/>
          <w:lang w:bidi="en-US"/>
        </w:rPr>
        <w:t xml:space="preserve"> of intention and ask themselves whether this </w:t>
      </w:r>
      <w:r w:rsidRPr="00437356">
        <w:rPr>
          <w:rFonts w:ascii="Arial" w:eastAsia="MS Mincho" w:hAnsi="Arial" w:cs="Arial"/>
          <w:i/>
          <w:lang w:bidi="en-US"/>
        </w:rPr>
        <w:t>reasonably</w:t>
      </w:r>
      <w:r w:rsidRPr="00437356">
        <w:rPr>
          <w:rFonts w:ascii="Arial" w:eastAsia="MS Mincho" w:hAnsi="Arial" w:cs="Arial"/>
          <w:lang w:bidi="en-US"/>
        </w:rPr>
        <w:t xml:space="preserve"> indicates the intention to create a trust. The test, therefore, is an </w:t>
      </w:r>
      <w:r w:rsidRPr="00437356">
        <w:rPr>
          <w:rFonts w:ascii="Arial" w:eastAsia="MS Mincho" w:hAnsi="Arial" w:cs="Arial"/>
          <w:b/>
          <w:bCs/>
          <w:lang w:bidi="en-US"/>
        </w:rPr>
        <w:t>objective</w:t>
      </w:r>
      <w:r w:rsidRPr="00437356">
        <w:rPr>
          <w:rFonts w:ascii="Arial" w:eastAsia="MS Mincho" w:hAnsi="Arial" w:cs="Arial"/>
          <w:lang w:bidi="en-US"/>
        </w:rPr>
        <w:t xml:space="preserve"> one.  As per Lord Millet in </w:t>
      </w:r>
      <w:proofErr w:type="spellStart"/>
      <w:r w:rsidRPr="0095595E">
        <w:rPr>
          <w:rFonts w:ascii="Arial" w:eastAsia="MS Mincho" w:hAnsi="Arial" w:cs="Arial"/>
          <w:i/>
          <w:u w:val="single"/>
          <w:lang w:bidi="en-US"/>
        </w:rPr>
        <w:t>Twinsectra</w:t>
      </w:r>
      <w:proofErr w:type="spellEnd"/>
      <w:r w:rsidRPr="0095595E">
        <w:rPr>
          <w:rFonts w:ascii="Arial" w:eastAsia="MS Mincho" w:hAnsi="Arial" w:cs="Arial"/>
          <w:i/>
          <w:u w:val="single"/>
          <w:lang w:bidi="en-US"/>
        </w:rPr>
        <w:t xml:space="preserve"> v Yardley [2002]</w:t>
      </w:r>
      <w:r w:rsidRPr="00437356">
        <w:rPr>
          <w:rFonts w:ascii="Arial" w:eastAsia="MS Mincho" w:hAnsi="Arial" w:cs="Arial"/>
          <w:lang w:bidi="en-US"/>
        </w:rPr>
        <w:t xml:space="preserve"> 2 AC 164 at 185:</w:t>
      </w:r>
    </w:p>
    <w:p w14:paraId="5B9C7B17" w14:textId="0CB1BEA8" w:rsidR="000D6BFC" w:rsidRPr="00437356" w:rsidRDefault="000D6BFC" w:rsidP="00C526E7">
      <w:pPr>
        <w:snapToGrid w:val="0"/>
        <w:spacing w:after="120" w:line="360" w:lineRule="auto"/>
        <w:ind w:left="709"/>
        <w:jc w:val="both"/>
        <w:rPr>
          <w:rFonts w:ascii="Arial" w:eastAsia="MS Mincho" w:hAnsi="Arial" w:cs="Arial"/>
          <w:b/>
          <w:lang w:bidi="en-US"/>
        </w:rPr>
      </w:pPr>
      <w:r w:rsidRPr="00437356">
        <w:rPr>
          <w:rFonts w:ascii="Arial" w:eastAsia="MS Mincho" w:hAnsi="Arial" w:cs="Arial"/>
          <w:lang w:bidi="en-US"/>
        </w:rPr>
        <w:t>“A settlor must, of course, possess the necessary intention to create a trust, but his subjective intentions are irrelevant. If he enters into arrangements which have the effect of creating a trust, it is not necessary that he should appreciate that they do so; it is sufficient that he intends to enter into them.”</w:t>
      </w:r>
    </w:p>
    <w:p w14:paraId="1D2B0C5B" w14:textId="77777777" w:rsidR="000D6BFC" w:rsidRPr="00FE3697" w:rsidRDefault="000D6BFC" w:rsidP="00C526E7">
      <w:pPr>
        <w:snapToGrid w:val="0"/>
        <w:spacing w:after="120" w:line="360" w:lineRule="auto"/>
        <w:jc w:val="both"/>
        <w:rPr>
          <w:rFonts w:ascii="Arial" w:eastAsia="MS Mincho" w:hAnsi="Arial" w:cs="Arial"/>
          <w:u w:val="single"/>
          <w:lang w:bidi="en-US"/>
        </w:rPr>
      </w:pPr>
      <w:r w:rsidRPr="00437356">
        <w:rPr>
          <w:rFonts w:ascii="Arial" w:eastAsia="MS Mincho" w:hAnsi="Arial" w:cs="Arial"/>
          <w:lang w:bidi="en-US"/>
        </w:rPr>
        <w:t xml:space="preserve">When the evidence of intention is assessed, it is assessed in terms of its substance rather than its form. </w:t>
      </w:r>
      <w:r w:rsidRPr="00FE3697">
        <w:rPr>
          <w:rFonts w:ascii="Arial" w:eastAsia="MS Mincho" w:hAnsi="Arial" w:cs="Arial"/>
          <w:u w:val="single"/>
          <w:lang w:bidi="en-US"/>
        </w:rPr>
        <w:t>It is thus not in fact necessary for the trustee to use any particular form of words as long as (s)he uses “expressions which have that meaning” (</w:t>
      </w:r>
      <w:proofErr w:type="spellStart"/>
      <w:r w:rsidRPr="00FE3697">
        <w:rPr>
          <w:rFonts w:ascii="Arial" w:eastAsia="MS Mincho" w:hAnsi="Arial" w:cs="Arial"/>
          <w:u w:val="single"/>
          <w:lang w:bidi="en-US"/>
        </w:rPr>
        <w:t>Jessel</w:t>
      </w:r>
      <w:proofErr w:type="spellEnd"/>
      <w:r w:rsidRPr="00FE3697">
        <w:rPr>
          <w:rFonts w:ascii="Arial" w:eastAsia="MS Mincho" w:hAnsi="Arial" w:cs="Arial"/>
          <w:u w:val="single"/>
          <w:lang w:bidi="en-US"/>
        </w:rPr>
        <w:t xml:space="preserve"> MR in </w:t>
      </w:r>
      <w:r w:rsidRPr="00FE3697">
        <w:rPr>
          <w:rFonts w:ascii="Arial" w:eastAsia="MS Mincho" w:hAnsi="Arial" w:cs="Arial"/>
          <w:i/>
          <w:u w:val="single"/>
          <w:lang w:bidi="en-US"/>
        </w:rPr>
        <w:t xml:space="preserve">Richards v </w:t>
      </w:r>
      <w:proofErr w:type="spellStart"/>
      <w:r w:rsidRPr="00FE3697">
        <w:rPr>
          <w:rFonts w:ascii="Arial" w:eastAsia="MS Mincho" w:hAnsi="Arial" w:cs="Arial"/>
          <w:i/>
          <w:u w:val="single"/>
          <w:lang w:bidi="en-US"/>
        </w:rPr>
        <w:t>Dellbridge</w:t>
      </w:r>
      <w:proofErr w:type="spellEnd"/>
      <w:r w:rsidRPr="00FE3697">
        <w:rPr>
          <w:rFonts w:ascii="Arial" w:eastAsia="MS Mincho" w:hAnsi="Arial" w:cs="Arial"/>
          <w:u w:val="single"/>
          <w:lang w:bidi="en-US"/>
        </w:rPr>
        <w:t xml:space="preserve"> (1874) LR 18 </w:t>
      </w:r>
      <w:proofErr w:type="spellStart"/>
      <w:r w:rsidRPr="00FE3697">
        <w:rPr>
          <w:rFonts w:ascii="Arial" w:eastAsia="MS Mincho" w:hAnsi="Arial" w:cs="Arial"/>
          <w:u w:val="single"/>
          <w:lang w:bidi="en-US"/>
        </w:rPr>
        <w:t>Eq</w:t>
      </w:r>
      <w:proofErr w:type="spellEnd"/>
      <w:r w:rsidRPr="00FE3697">
        <w:rPr>
          <w:rFonts w:ascii="Arial" w:eastAsia="MS Mincho" w:hAnsi="Arial" w:cs="Arial"/>
          <w:u w:val="single"/>
          <w:lang w:bidi="en-US"/>
        </w:rPr>
        <w:t xml:space="preserve"> 11 at 14). The word ‘trust’ or a transfer to ‘trustees’ is not required or even determinative (see </w:t>
      </w:r>
      <w:r w:rsidRPr="00FE3697">
        <w:rPr>
          <w:rFonts w:ascii="Arial" w:eastAsia="MS Mincho" w:hAnsi="Arial" w:cs="Arial"/>
          <w:i/>
          <w:u w:val="single"/>
          <w:lang w:bidi="en-US"/>
        </w:rPr>
        <w:t xml:space="preserve">Singha v Heer </w:t>
      </w:r>
      <w:r w:rsidRPr="00FE3697">
        <w:rPr>
          <w:rFonts w:ascii="Arial" w:eastAsia="MS Mincho" w:hAnsi="Arial" w:cs="Arial"/>
          <w:u w:val="single"/>
          <w:lang w:bidi="en-US"/>
        </w:rPr>
        <w:t xml:space="preserve">[2016] EWCA </w:t>
      </w:r>
      <w:proofErr w:type="spellStart"/>
      <w:r w:rsidRPr="00FE3697">
        <w:rPr>
          <w:rFonts w:ascii="Arial" w:eastAsia="MS Mincho" w:hAnsi="Arial" w:cs="Arial"/>
          <w:u w:val="single"/>
          <w:lang w:bidi="en-US"/>
        </w:rPr>
        <w:t>Civ</w:t>
      </w:r>
      <w:proofErr w:type="spellEnd"/>
      <w:r w:rsidRPr="00FE3697">
        <w:rPr>
          <w:rFonts w:ascii="Arial" w:eastAsia="MS Mincho" w:hAnsi="Arial" w:cs="Arial"/>
          <w:u w:val="single"/>
          <w:lang w:bidi="en-US"/>
        </w:rPr>
        <w:t xml:space="preserve"> 424 and </w:t>
      </w:r>
      <w:proofErr w:type="spellStart"/>
      <w:r w:rsidRPr="00FE3697">
        <w:rPr>
          <w:rFonts w:ascii="Arial" w:eastAsia="MS Mincho" w:hAnsi="Arial" w:cs="Arial"/>
          <w:i/>
          <w:u w:val="single"/>
          <w:lang w:bidi="en-US"/>
        </w:rPr>
        <w:t>Rawstron</w:t>
      </w:r>
      <w:proofErr w:type="spellEnd"/>
      <w:r w:rsidRPr="00FE3697">
        <w:rPr>
          <w:rFonts w:ascii="Arial" w:eastAsia="MS Mincho" w:hAnsi="Arial" w:cs="Arial"/>
          <w:i/>
          <w:u w:val="single"/>
          <w:lang w:bidi="en-US"/>
        </w:rPr>
        <w:t xml:space="preserve"> v Freud</w:t>
      </w:r>
      <w:r w:rsidRPr="00FE3697">
        <w:rPr>
          <w:rFonts w:ascii="Arial" w:eastAsia="MS Mincho" w:hAnsi="Arial" w:cs="Arial"/>
          <w:u w:val="single"/>
          <w:lang w:bidi="en-US"/>
        </w:rPr>
        <w:t xml:space="preserve"> [2014] EWHC 2577 (Ch)); intention can also be inferred from conduct. </w:t>
      </w:r>
    </w:p>
    <w:p w14:paraId="1785C139" w14:textId="77777777" w:rsidR="000D6BFC" w:rsidRPr="00FE3697" w:rsidRDefault="000D6BFC" w:rsidP="00C526E7">
      <w:pPr>
        <w:snapToGrid w:val="0"/>
        <w:spacing w:after="120" w:line="360" w:lineRule="auto"/>
        <w:jc w:val="both"/>
        <w:rPr>
          <w:rFonts w:ascii="Arial" w:eastAsia="MS Mincho" w:hAnsi="Arial" w:cs="Arial"/>
          <w:u w:val="single"/>
          <w:lang w:bidi="en-US"/>
        </w:rPr>
      </w:pPr>
      <w:r w:rsidRPr="00437356">
        <w:rPr>
          <w:rFonts w:ascii="Arial" w:eastAsia="MS Mincho" w:hAnsi="Arial" w:cs="Arial"/>
          <w:lang w:bidi="en-US"/>
        </w:rPr>
        <w:t>The best modern formulation of this principle is found in</w:t>
      </w:r>
      <w:r w:rsidRPr="00437356">
        <w:rPr>
          <w:rFonts w:ascii="Arial" w:eastAsia="MS Mincho" w:hAnsi="Arial" w:cs="Arial"/>
          <w:i/>
          <w:lang w:bidi="en-US"/>
        </w:rPr>
        <w:t xml:space="preserve"> Re </w:t>
      </w:r>
      <w:proofErr w:type="spellStart"/>
      <w:r w:rsidRPr="00437356">
        <w:rPr>
          <w:rFonts w:ascii="Arial" w:eastAsia="MS Mincho" w:hAnsi="Arial" w:cs="Arial"/>
          <w:i/>
          <w:lang w:bidi="en-US"/>
        </w:rPr>
        <w:t>Kayford</w:t>
      </w:r>
      <w:proofErr w:type="spellEnd"/>
      <w:r w:rsidRPr="00437356">
        <w:rPr>
          <w:rFonts w:ascii="Arial" w:eastAsia="MS Mincho" w:hAnsi="Arial" w:cs="Arial"/>
          <w:i/>
          <w:lang w:bidi="en-US"/>
        </w:rPr>
        <w:t xml:space="preserve"> Ltd</w:t>
      </w:r>
      <w:r w:rsidRPr="00437356">
        <w:rPr>
          <w:rFonts w:ascii="Arial" w:eastAsia="MS Mincho" w:hAnsi="Arial" w:cs="Arial"/>
          <w:lang w:bidi="en-US"/>
        </w:rPr>
        <w:t xml:space="preserve"> [1975] 1 All ER 604. The company carried on a mail order business. Customers either paid the full price for the goods in advance or paid a deposit. The company was advised by its accountants to open a separate bank account (to be called a ‘Customer’s Trust Deposit Account’) and pay into </w:t>
      </w:r>
      <w:proofErr w:type="gramStart"/>
      <w:r w:rsidRPr="00437356">
        <w:rPr>
          <w:rFonts w:ascii="Arial" w:eastAsia="MS Mincho" w:hAnsi="Arial" w:cs="Arial"/>
          <w:lang w:bidi="en-US"/>
        </w:rPr>
        <w:t>it</w:t>
      </w:r>
      <w:proofErr w:type="gramEnd"/>
      <w:r w:rsidRPr="00437356">
        <w:rPr>
          <w:rFonts w:ascii="Arial" w:eastAsia="MS Mincho" w:hAnsi="Arial" w:cs="Arial"/>
          <w:lang w:bidi="en-US"/>
        </w:rPr>
        <w:t xml:space="preserve"> money received by customers for goods not delivered to them, withdrawing the money only if the goods were later delivered. The purpose of this arrangement was that if the company had to go into liquidation, the money in the deposit account could be refunded to those customers whose goods had not been supplied. The company paid the money into a separate bank account, but this was initially held in the company’s name and only later changed to a trust account. The company subsequently became </w:t>
      </w:r>
      <w:proofErr w:type="gramStart"/>
      <w:r w:rsidRPr="00437356">
        <w:rPr>
          <w:rFonts w:ascii="Arial" w:eastAsia="MS Mincho" w:hAnsi="Arial" w:cs="Arial"/>
          <w:lang w:bidi="en-US"/>
        </w:rPr>
        <w:t>insolvent</w:t>
      </w:r>
      <w:proofErr w:type="gramEnd"/>
      <w:r w:rsidRPr="00437356">
        <w:rPr>
          <w:rFonts w:ascii="Arial" w:eastAsia="MS Mincho" w:hAnsi="Arial" w:cs="Arial"/>
          <w:lang w:bidi="en-US"/>
        </w:rPr>
        <w:t xml:space="preserve"> and the question arose whether the company held the money in that account on trust for the customers. It was held that a trust </w:t>
      </w:r>
      <w:r w:rsidRPr="00437356">
        <w:rPr>
          <w:rFonts w:ascii="Arial" w:eastAsia="MS Mincho" w:hAnsi="Arial" w:cs="Arial"/>
          <w:lang w:bidi="en-US"/>
        </w:rPr>
        <w:lastRenderedPageBreak/>
        <w:t xml:space="preserve">had been created. </w:t>
      </w:r>
      <w:r w:rsidRPr="00FE3697">
        <w:rPr>
          <w:rFonts w:ascii="Arial" w:eastAsia="MS Mincho" w:hAnsi="Arial" w:cs="Arial"/>
          <w:u w:val="single"/>
          <w:lang w:bidi="en-US"/>
        </w:rPr>
        <w:t xml:space="preserve">Per </w:t>
      </w:r>
      <w:proofErr w:type="spellStart"/>
      <w:r w:rsidRPr="00FE3697">
        <w:rPr>
          <w:rFonts w:ascii="Arial" w:eastAsia="MS Mincho" w:hAnsi="Arial" w:cs="Arial"/>
          <w:u w:val="single"/>
          <w:lang w:bidi="en-US"/>
        </w:rPr>
        <w:t>Megarry</w:t>
      </w:r>
      <w:proofErr w:type="spellEnd"/>
      <w:r w:rsidRPr="00FE3697">
        <w:rPr>
          <w:rFonts w:ascii="Arial" w:eastAsia="MS Mincho" w:hAnsi="Arial" w:cs="Arial"/>
          <w:u w:val="single"/>
          <w:lang w:bidi="en-US"/>
        </w:rPr>
        <w:t xml:space="preserve"> J at 607: “As for the requisite certainty of words, it is well settled that a trust can be created without using the words “trust” or “confidence” or the like; the question is whether in substance a sufficient intention to create a trust has been manifested.” </w:t>
      </w:r>
    </w:p>
    <w:p w14:paraId="4DC3CA42" w14:textId="77777777" w:rsidR="00FE3697"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The courts will not usually go beyond the instrument </w:t>
      </w:r>
      <w:r w:rsidR="009D5787" w:rsidRPr="00437356">
        <w:rPr>
          <w:rFonts w:ascii="Arial" w:eastAsia="MS Mincho" w:hAnsi="Arial" w:cs="Arial"/>
          <w:lang w:bidi="en-US"/>
        </w:rPr>
        <w:t xml:space="preserve">– four corners – </w:t>
      </w:r>
      <w:r w:rsidRPr="00437356">
        <w:rPr>
          <w:rFonts w:ascii="Arial" w:eastAsia="MS Mincho" w:hAnsi="Arial" w:cs="Arial"/>
          <w:lang w:bidi="en-US"/>
        </w:rPr>
        <w:t xml:space="preserve">used to create the trust to establish the transferor’s intention. </w:t>
      </w:r>
    </w:p>
    <w:p w14:paraId="22167516" w14:textId="77777777" w:rsidR="00FE3697"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However, where a will reproduces an exact phrase that has previously been held as giving rise to a trust, this has been taken as indicative of an intention to create a trust (</w:t>
      </w:r>
      <w:r w:rsidRPr="00437356">
        <w:rPr>
          <w:rFonts w:ascii="Arial" w:eastAsia="MS Mincho" w:hAnsi="Arial" w:cs="Arial"/>
          <w:i/>
          <w:lang w:bidi="en-US"/>
        </w:rPr>
        <w:t>Re Steele’s Will Trusts</w:t>
      </w:r>
      <w:r w:rsidRPr="00437356">
        <w:rPr>
          <w:rFonts w:ascii="Arial" w:eastAsia="MS Mincho" w:hAnsi="Arial" w:cs="Arial"/>
          <w:lang w:bidi="en-US"/>
        </w:rPr>
        <w:t xml:space="preserve"> [1948] Ch 603). </w:t>
      </w:r>
    </w:p>
    <w:p w14:paraId="01526A19" w14:textId="6B33176C" w:rsidR="000D6BFC" w:rsidRPr="00FE3697" w:rsidRDefault="000D6BFC" w:rsidP="00C526E7">
      <w:pPr>
        <w:snapToGrid w:val="0"/>
        <w:spacing w:after="120" w:line="360" w:lineRule="auto"/>
        <w:jc w:val="both"/>
        <w:rPr>
          <w:rFonts w:ascii="Arial" w:eastAsia="MS Mincho" w:hAnsi="Arial" w:cs="Arial"/>
          <w:u w:val="single"/>
          <w:lang w:bidi="en-US"/>
        </w:rPr>
      </w:pPr>
      <w:r w:rsidRPr="00FE3697">
        <w:rPr>
          <w:rFonts w:ascii="Arial" w:eastAsia="MS Mincho" w:hAnsi="Arial" w:cs="Arial"/>
          <w:u w:val="single"/>
          <w:lang w:bidi="en-US"/>
        </w:rPr>
        <w:t xml:space="preserve">Another exception is the ‘sham trust,’ whereby a settlor creates a trust without any intention of conferring benefit onto the beneficiary. Here, the actual intention of the settlor is </w:t>
      </w:r>
      <w:r w:rsidR="009D5787" w:rsidRPr="00FE3697">
        <w:rPr>
          <w:rFonts w:ascii="Arial" w:eastAsia="MS Mincho" w:hAnsi="Arial" w:cs="Arial"/>
          <w:u w:val="single"/>
          <w:lang w:bidi="en-US"/>
        </w:rPr>
        <w:t>considered</w:t>
      </w:r>
      <w:r w:rsidRPr="00FE3697">
        <w:rPr>
          <w:rFonts w:ascii="Arial" w:eastAsia="MS Mincho" w:hAnsi="Arial" w:cs="Arial"/>
          <w:u w:val="single"/>
          <w:lang w:bidi="en-US"/>
        </w:rPr>
        <w:t xml:space="preserve"> in deciding whether the trust is enforceable or void (for an example, see </w:t>
      </w:r>
      <w:r w:rsidRPr="00FE3697">
        <w:rPr>
          <w:rFonts w:ascii="Arial" w:eastAsia="MS Mincho" w:hAnsi="Arial" w:cs="Arial"/>
          <w:i/>
          <w:u w:val="single"/>
          <w:lang w:bidi="en-US"/>
        </w:rPr>
        <w:t>Midland Bank plc v Wyatt</w:t>
      </w:r>
      <w:r w:rsidRPr="00FE3697">
        <w:rPr>
          <w:rFonts w:ascii="Arial" w:eastAsia="MS Mincho" w:hAnsi="Arial" w:cs="Arial"/>
          <w:u w:val="single"/>
          <w:lang w:bidi="en-US"/>
        </w:rPr>
        <w:t xml:space="preserve"> [1995] 1 FLR 697). </w:t>
      </w:r>
    </w:p>
    <w:p w14:paraId="589D2805" w14:textId="6114F000" w:rsidR="000D6BFC"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Taken together, what emerges from this case law as a general principle is that intention is assessed on expressed evidence, and expressed evidence is assessed on what it can reasonably be taken to say about the settlor’s intention. This is most starkly illustrated by </w:t>
      </w:r>
      <w:r w:rsidRPr="00437356">
        <w:rPr>
          <w:rFonts w:ascii="Arial" w:eastAsia="MS Mincho" w:hAnsi="Arial" w:cs="Arial"/>
          <w:i/>
          <w:lang w:bidi="en-US"/>
        </w:rPr>
        <w:t xml:space="preserve">Byrnes v </w:t>
      </w:r>
      <w:proofErr w:type="spellStart"/>
      <w:r w:rsidRPr="00437356">
        <w:rPr>
          <w:rFonts w:ascii="Arial" w:eastAsia="MS Mincho" w:hAnsi="Arial" w:cs="Arial"/>
          <w:i/>
          <w:lang w:bidi="en-US"/>
        </w:rPr>
        <w:t>Kendle</w:t>
      </w:r>
      <w:proofErr w:type="spellEnd"/>
      <w:r w:rsidRPr="00437356">
        <w:rPr>
          <w:rFonts w:ascii="Arial" w:eastAsia="MS Mincho" w:hAnsi="Arial" w:cs="Arial"/>
          <w:lang w:bidi="en-US"/>
        </w:rPr>
        <w:t xml:space="preserve"> [2011] HCA 26, where a trust was held to be enforceable despite the fact that the settlor had </w:t>
      </w:r>
      <w:r w:rsidR="008B100A" w:rsidRPr="00437356">
        <w:rPr>
          <w:rFonts w:ascii="Arial" w:eastAsia="MS Mincho" w:hAnsi="Arial" w:cs="Arial"/>
          <w:lang w:bidi="en-US"/>
        </w:rPr>
        <w:t xml:space="preserve">(from a subjective perspective) </w:t>
      </w:r>
      <w:r w:rsidRPr="00437356">
        <w:rPr>
          <w:rFonts w:ascii="Arial" w:eastAsia="MS Mincho" w:hAnsi="Arial" w:cs="Arial"/>
          <w:lang w:bidi="en-US"/>
        </w:rPr>
        <w:t xml:space="preserve">held no intention to create a trust. </w:t>
      </w:r>
    </w:p>
    <w:p w14:paraId="7B482363" w14:textId="77777777" w:rsidR="00A05EF1" w:rsidRPr="00437356" w:rsidRDefault="00A05EF1" w:rsidP="00C526E7">
      <w:pPr>
        <w:snapToGrid w:val="0"/>
        <w:spacing w:after="120" w:line="360" w:lineRule="auto"/>
        <w:jc w:val="both"/>
        <w:rPr>
          <w:rFonts w:ascii="Arial" w:eastAsia="MS Mincho" w:hAnsi="Arial" w:cs="Arial"/>
          <w:lang w:bidi="en-US"/>
        </w:rPr>
      </w:pPr>
    </w:p>
    <w:p w14:paraId="20151F56" w14:textId="4ED049EC" w:rsidR="000D6BFC" w:rsidRPr="00437356" w:rsidRDefault="000D6BFC" w:rsidP="00C526E7">
      <w:pPr>
        <w:pStyle w:val="ListParagraph"/>
        <w:numPr>
          <w:ilvl w:val="0"/>
          <w:numId w:val="32"/>
        </w:numPr>
        <w:snapToGrid w:val="0"/>
        <w:spacing w:after="120" w:line="360" w:lineRule="auto"/>
        <w:contextualSpacing w:val="0"/>
        <w:jc w:val="both"/>
        <w:rPr>
          <w:rFonts w:ascii="Arial" w:eastAsia="MS Mincho" w:hAnsi="Arial" w:cs="Arial"/>
          <w:b/>
          <w:lang w:bidi="en-US"/>
        </w:rPr>
      </w:pPr>
      <w:r w:rsidRPr="00437356">
        <w:rPr>
          <w:rFonts w:ascii="Arial" w:eastAsia="MS Mincho" w:hAnsi="Arial" w:cs="Arial"/>
          <w:b/>
          <w:lang w:bidi="en-US"/>
        </w:rPr>
        <w:t xml:space="preserve">Precatory </w:t>
      </w:r>
      <w:r w:rsidR="00EF3408" w:rsidRPr="00437356">
        <w:rPr>
          <w:rFonts w:ascii="Arial" w:eastAsia="MS Mincho" w:hAnsi="Arial" w:cs="Arial"/>
          <w:b/>
          <w:lang w:bidi="en-US"/>
        </w:rPr>
        <w:t>W</w:t>
      </w:r>
      <w:r w:rsidRPr="00437356">
        <w:rPr>
          <w:rFonts w:ascii="Arial" w:eastAsia="MS Mincho" w:hAnsi="Arial" w:cs="Arial"/>
          <w:b/>
          <w:lang w:bidi="en-US"/>
        </w:rPr>
        <w:t>ords</w:t>
      </w:r>
    </w:p>
    <w:p w14:paraId="655FDFB6" w14:textId="77777777" w:rsidR="000D6BFC" w:rsidRPr="00437356" w:rsidRDefault="000D6BFC" w:rsidP="00C526E7">
      <w:pPr>
        <w:snapToGrid w:val="0"/>
        <w:spacing w:after="120" w:line="360" w:lineRule="auto"/>
        <w:jc w:val="both"/>
        <w:rPr>
          <w:rFonts w:ascii="Arial" w:eastAsia="Times New Roman" w:hAnsi="Arial" w:cs="Arial"/>
          <w:lang w:bidi="en-US"/>
        </w:rPr>
      </w:pPr>
      <w:r w:rsidRPr="00437356">
        <w:rPr>
          <w:rFonts w:ascii="Arial" w:eastAsia="MS Mincho" w:hAnsi="Arial" w:cs="Arial"/>
          <w:lang w:bidi="en-US"/>
        </w:rPr>
        <w:t>(Precatory: of, relating to, or expressing a wish or request.)</w:t>
      </w:r>
    </w:p>
    <w:p w14:paraId="13E77223" w14:textId="05BCCD26" w:rsidR="00F5111A"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In the older cases it was held that the use of certain words or phrases, ‘precatory words’ would automatically give rise to a trust. For example, a testator might leave property and express his ‘desire’, (or ‘hope’, ‘wish’ or ‘confidence’) that it would be used in a particular way. In the older cases this was enough to create a trust. </w:t>
      </w:r>
      <w:r w:rsidR="00F5111A" w:rsidRPr="00437356">
        <w:rPr>
          <w:rFonts w:ascii="Arial" w:hAnsi="Arial" w:cs="Arial"/>
        </w:rPr>
        <w:t xml:space="preserve">For example, if, in 1820, Augustus bequeathed property ‘to Martha and </w:t>
      </w:r>
      <w:r w:rsidR="008B100A" w:rsidRPr="00437356">
        <w:rPr>
          <w:rFonts w:ascii="Arial" w:hAnsi="Arial" w:cs="Arial"/>
        </w:rPr>
        <w:t>Octavia</w:t>
      </w:r>
      <w:r w:rsidR="00F5111A" w:rsidRPr="00437356">
        <w:rPr>
          <w:rFonts w:ascii="Arial" w:hAnsi="Arial" w:cs="Arial"/>
        </w:rPr>
        <w:t xml:space="preserve"> expressing full confidence that they will, in accordance with my wishes, distribute it amongst my children’, then the use of precatory words would ensure that a trust in favour of the children had been created.</w:t>
      </w:r>
    </w:p>
    <w:p w14:paraId="2DEF4CD1" w14:textId="77777777" w:rsidR="00011CDE" w:rsidRPr="00437356" w:rsidRDefault="000D6BFC" w:rsidP="00C526E7">
      <w:pPr>
        <w:snapToGrid w:val="0"/>
        <w:spacing w:after="120" w:line="360" w:lineRule="auto"/>
        <w:jc w:val="both"/>
        <w:rPr>
          <w:rFonts w:ascii="Arial" w:hAnsi="Arial" w:cs="Arial"/>
        </w:rPr>
      </w:pPr>
      <w:r w:rsidRPr="00437356">
        <w:rPr>
          <w:rFonts w:ascii="Arial" w:eastAsia="MS Mincho" w:hAnsi="Arial" w:cs="Arial"/>
          <w:lang w:bidi="en-US"/>
        </w:rPr>
        <w:t xml:space="preserve">This approach was rejected in the later nineteenth century. In </w:t>
      </w:r>
      <w:r w:rsidRPr="00437356">
        <w:rPr>
          <w:rFonts w:ascii="Arial" w:eastAsia="MS Mincho" w:hAnsi="Arial" w:cs="Arial"/>
          <w:i/>
          <w:lang w:bidi="en-US"/>
        </w:rPr>
        <w:t>Re Adams and Kensington Vestry</w:t>
      </w:r>
      <w:r w:rsidRPr="00437356">
        <w:rPr>
          <w:rFonts w:ascii="Arial" w:eastAsia="MS Mincho" w:hAnsi="Arial" w:cs="Arial"/>
          <w:lang w:bidi="en-US"/>
        </w:rPr>
        <w:t xml:space="preserve"> (1884) 27 Ch D 394</w:t>
      </w:r>
      <w:r w:rsidR="00F5111A" w:rsidRPr="00437356">
        <w:rPr>
          <w:rFonts w:ascii="Arial" w:hAnsi="Arial" w:cs="Arial"/>
        </w:rPr>
        <w:t>, George Smith bequeathed his entire estate:</w:t>
      </w:r>
    </w:p>
    <w:p w14:paraId="27BE2B14" w14:textId="66B7CBDD" w:rsidR="00F5111A" w:rsidRPr="00437356" w:rsidRDefault="00B562A0" w:rsidP="00C526E7">
      <w:pPr>
        <w:snapToGrid w:val="0"/>
        <w:spacing w:after="120" w:line="360" w:lineRule="auto"/>
        <w:ind w:left="720"/>
        <w:jc w:val="both"/>
        <w:rPr>
          <w:rFonts w:ascii="Arial" w:hAnsi="Arial" w:cs="Arial"/>
        </w:rPr>
      </w:pPr>
      <w:r w:rsidRPr="00437356">
        <w:rPr>
          <w:rFonts w:ascii="Arial" w:hAnsi="Arial" w:cs="Arial"/>
        </w:rPr>
        <w:t>“…</w:t>
      </w:r>
      <w:r w:rsidR="00F5111A" w:rsidRPr="00437356">
        <w:rPr>
          <w:rFonts w:ascii="Arial" w:hAnsi="Arial" w:cs="Arial"/>
        </w:rPr>
        <w:t xml:space="preserve">unto and to the absolute use of my dear wife, Harriet… in </w:t>
      </w:r>
      <w:r w:rsidR="00F5111A" w:rsidRPr="00437356">
        <w:rPr>
          <w:rFonts w:ascii="Arial" w:hAnsi="Arial" w:cs="Arial"/>
          <w:b/>
          <w:bCs/>
        </w:rPr>
        <w:t>full confidence that</w:t>
      </w:r>
      <w:r w:rsidR="00F5111A" w:rsidRPr="00437356">
        <w:rPr>
          <w:rFonts w:ascii="Arial" w:hAnsi="Arial" w:cs="Arial"/>
        </w:rPr>
        <w:t xml:space="preserve"> she will do what is right as to the disposal thereof between my children, either in her lifetime or by will after her decease</w:t>
      </w:r>
      <w:r w:rsidRPr="00437356">
        <w:rPr>
          <w:rFonts w:ascii="Arial" w:hAnsi="Arial" w:cs="Arial"/>
        </w:rPr>
        <w:t>.”</w:t>
      </w:r>
    </w:p>
    <w:p w14:paraId="2A162F2C" w14:textId="4587709D" w:rsidR="000D6BFC"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lastRenderedPageBreak/>
        <w:t>The question was whether this created a trust for the benefit of the children or was an outright gift to the wife. Held: The precatory words alone were insufficient evidence of an intention to create a trust. Cotton L J at 409:</w:t>
      </w:r>
    </w:p>
    <w:p w14:paraId="301C6D99" w14:textId="77777777" w:rsidR="000D6BFC" w:rsidRPr="00437356" w:rsidRDefault="000D6BFC" w:rsidP="00C526E7">
      <w:pPr>
        <w:snapToGrid w:val="0"/>
        <w:spacing w:after="120" w:line="360" w:lineRule="auto"/>
        <w:ind w:left="720"/>
        <w:jc w:val="both"/>
        <w:rPr>
          <w:rFonts w:ascii="Arial" w:eastAsia="MS Mincho" w:hAnsi="Arial" w:cs="Arial"/>
          <w:lang w:bidi="en-US"/>
        </w:rPr>
      </w:pPr>
      <w:r w:rsidRPr="00437356">
        <w:rPr>
          <w:rFonts w:ascii="Arial" w:eastAsia="MS Mincho" w:hAnsi="Arial" w:cs="Arial"/>
          <w:lang w:bidi="en-US"/>
        </w:rPr>
        <w:t xml:space="preserve">“I have no hesitation in saying myself, that I think some of the older authorities went a great deal too far in holding that some particular words appearing in a will were sufficient to create a trust. Undoubtedly confidence, if the rest of the context shews that a trust is intended, may make a trust, but what we have to look at is the whole of the will which we have to construe, and if the confidence is that she will do what is right as regards the disposal of the property, I cannot say that that is, on the true construction of the will, a trust imposed upon her. Having regard to the later decisions, we must not extend the old cases in any way, or rely upon the mere use of any particular words, </w:t>
      </w:r>
      <w:proofErr w:type="gramStart"/>
      <w:r w:rsidRPr="00437356">
        <w:rPr>
          <w:rFonts w:ascii="Arial" w:eastAsia="MS Mincho" w:hAnsi="Arial" w:cs="Arial"/>
          <w:lang w:bidi="en-US"/>
        </w:rPr>
        <w:t>but,</w:t>
      </w:r>
      <w:proofErr w:type="gramEnd"/>
      <w:r w:rsidRPr="00437356">
        <w:rPr>
          <w:rFonts w:ascii="Arial" w:eastAsia="MS Mincho" w:hAnsi="Arial" w:cs="Arial"/>
          <w:lang w:bidi="en-US"/>
        </w:rPr>
        <w:t xml:space="preserve"> considering all the words which are used, we have to see what is their true effect, and what was the intention of the testator as expressed in his will.”</w:t>
      </w:r>
    </w:p>
    <w:p w14:paraId="3C23CF88" w14:textId="77777777" w:rsidR="00F91FF1" w:rsidRPr="00437356" w:rsidRDefault="000D6BFC" w:rsidP="00C526E7">
      <w:pPr>
        <w:snapToGrid w:val="0"/>
        <w:spacing w:after="120" w:line="360" w:lineRule="auto"/>
        <w:jc w:val="both"/>
        <w:rPr>
          <w:rFonts w:ascii="Arial" w:eastAsia="MS Mincho" w:hAnsi="Arial" w:cs="Arial"/>
          <w:color w:val="000000" w:themeColor="text1"/>
          <w:lang w:bidi="en-US"/>
        </w:rPr>
      </w:pPr>
      <w:r w:rsidRPr="00437356">
        <w:rPr>
          <w:rFonts w:ascii="Arial" w:eastAsia="MS Mincho" w:hAnsi="Arial" w:cs="Arial"/>
          <w:i/>
          <w:lang w:bidi="en-US"/>
        </w:rPr>
        <w:t>Re Adams and Kensington Vestry</w:t>
      </w:r>
      <w:r w:rsidRPr="00437356">
        <w:rPr>
          <w:rFonts w:ascii="Arial" w:eastAsia="MS Mincho" w:hAnsi="Arial" w:cs="Arial"/>
          <w:lang w:bidi="en-US"/>
        </w:rPr>
        <w:t xml:space="preserve"> (1884) 27 Ch D 394 can be contrasted with </w:t>
      </w:r>
      <w:r w:rsidRPr="00437356">
        <w:rPr>
          <w:rFonts w:ascii="Arial" w:eastAsia="MS Mincho" w:hAnsi="Arial" w:cs="Arial"/>
          <w:i/>
          <w:lang w:bidi="en-US"/>
        </w:rPr>
        <w:t xml:space="preserve">Comiskey v </w:t>
      </w:r>
      <w:r w:rsidRPr="00437356">
        <w:rPr>
          <w:rFonts w:ascii="Arial" w:eastAsia="MS Mincho" w:hAnsi="Arial" w:cs="Arial"/>
          <w:i/>
          <w:color w:val="000000" w:themeColor="text1"/>
          <w:lang w:bidi="en-US"/>
        </w:rPr>
        <w:t xml:space="preserve">Bowring-Hanbury </w:t>
      </w:r>
      <w:r w:rsidRPr="00437356">
        <w:rPr>
          <w:rFonts w:ascii="Arial" w:eastAsia="MS Mincho" w:hAnsi="Arial" w:cs="Arial"/>
          <w:color w:val="000000" w:themeColor="text1"/>
          <w:lang w:bidi="en-US"/>
        </w:rPr>
        <w:t>[1905] AC 84, where</w:t>
      </w:r>
      <w:r w:rsidR="00F91FF1" w:rsidRPr="00437356">
        <w:rPr>
          <w:rFonts w:ascii="Arial" w:eastAsia="MS Mincho" w:hAnsi="Arial" w:cs="Arial"/>
          <w:color w:val="000000" w:themeColor="text1"/>
          <w:lang w:bidi="en-US"/>
        </w:rPr>
        <w:t xml:space="preserve"> the words ‘in full confidence’ were used, but the clause as a whole was specific as to what was to be done with the property:</w:t>
      </w:r>
    </w:p>
    <w:p w14:paraId="6C0ADA3B" w14:textId="77FEBF18" w:rsidR="00F91FF1" w:rsidRPr="00437356" w:rsidRDefault="00B562A0" w:rsidP="00C526E7">
      <w:pPr>
        <w:snapToGrid w:val="0"/>
        <w:spacing w:after="120" w:line="360" w:lineRule="auto"/>
        <w:ind w:left="720"/>
        <w:jc w:val="both"/>
        <w:rPr>
          <w:rFonts w:ascii="Arial" w:hAnsi="Arial" w:cs="Arial"/>
          <w:color w:val="000000" w:themeColor="text1"/>
          <w:shd w:val="clear" w:color="auto" w:fill="FFFFFF"/>
        </w:rPr>
      </w:pPr>
      <w:r w:rsidRPr="00437356">
        <w:rPr>
          <w:rFonts w:ascii="Arial" w:hAnsi="Arial" w:cs="Arial"/>
          <w:color w:val="000000" w:themeColor="text1"/>
          <w:shd w:val="clear" w:color="auto" w:fill="FFFFFF"/>
        </w:rPr>
        <w:t>“</w:t>
      </w:r>
      <w:r w:rsidR="00F91FF1" w:rsidRPr="00437356">
        <w:rPr>
          <w:rFonts w:ascii="Arial" w:hAnsi="Arial" w:cs="Arial"/>
          <w:color w:val="000000" w:themeColor="text1"/>
          <w:shd w:val="clear" w:color="auto" w:fill="FFFFFF"/>
        </w:rPr>
        <w:t>I give bequeath and devise to my very dear wife Ellen Hanbury the whole of my real and personal estate and property absolutely in full confidence that she will make such use of it as I should have made myself and that at her death she will devise it to such one or more of my nieces as she may think fit and in default of any disposition by her thereof by her will or testament I hereby direct that all my estate and property acquired by her under this my will shall at her death be equally divided among the surviving said nieces.</w:t>
      </w:r>
      <w:r w:rsidRPr="00437356">
        <w:rPr>
          <w:rFonts w:ascii="Arial" w:hAnsi="Arial" w:cs="Arial"/>
          <w:color w:val="000000" w:themeColor="text1"/>
          <w:shd w:val="clear" w:color="auto" w:fill="FFFFFF"/>
        </w:rPr>
        <w:t>”</w:t>
      </w:r>
    </w:p>
    <w:p w14:paraId="7701B5C3" w14:textId="77777777" w:rsidR="00F91FF1" w:rsidRPr="00437356" w:rsidRDefault="00F91FF1" w:rsidP="00C526E7">
      <w:pPr>
        <w:snapToGrid w:val="0"/>
        <w:spacing w:after="120" w:line="360" w:lineRule="auto"/>
        <w:jc w:val="both"/>
        <w:rPr>
          <w:rFonts w:ascii="Arial" w:eastAsia="MS Mincho" w:hAnsi="Arial" w:cs="Arial"/>
          <w:color w:val="000000" w:themeColor="text1"/>
          <w:lang w:bidi="en-US"/>
        </w:rPr>
      </w:pPr>
      <w:r w:rsidRPr="00437356">
        <w:rPr>
          <w:rFonts w:ascii="Arial" w:eastAsia="MS Mincho" w:hAnsi="Arial" w:cs="Arial"/>
          <w:color w:val="000000" w:themeColor="text1"/>
          <w:lang w:bidi="en-US"/>
        </w:rPr>
        <w:t>It was</w:t>
      </w:r>
      <w:r w:rsidR="000D6BFC" w:rsidRPr="00437356">
        <w:rPr>
          <w:rFonts w:ascii="Arial" w:eastAsia="MS Mincho" w:hAnsi="Arial" w:cs="Arial"/>
          <w:color w:val="000000" w:themeColor="text1"/>
          <w:lang w:bidi="en-US"/>
        </w:rPr>
        <w:t xml:space="preserve"> held that</w:t>
      </w:r>
      <w:r w:rsidRPr="00437356">
        <w:rPr>
          <w:rFonts w:ascii="Arial" w:eastAsia="MS Mincho" w:hAnsi="Arial" w:cs="Arial"/>
          <w:color w:val="000000" w:themeColor="text1"/>
          <w:lang w:bidi="en-US"/>
        </w:rPr>
        <w:t>, on proper construction, there was intention to create a trust. As Lord Davey observed:</w:t>
      </w:r>
    </w:p>
    <w:p w14:paraId="64C62362" w14:textId="0A261907" w:rsidR="00F91FF1" w:rsidRPr="00437356" w:rsidRDefault="00B562A0" w:rsidP="00C526E7">
      <w:pPr>
        <w:snapToGrid w:val="0"/>
        <w:spacing w:after="120" w:line="360" w:lineRule="auto"/>
        <w:ind w:left="720"/>
        <w:jc w:val="both"/>
        <w:rPr>
          <w:rStyle w:val="apple-converted-space"/>
          <w:rFonts w:ascii="Arial" w:hAnsi="Arial" w:cs="Arial"/>
          <w:color w:val="000000" w:themeColor="text1"/>
          <w:shd w:val="clear" w:color="auto" w:fill="FFFFFF"/>
        </w:rPr>
      </w:pPr>
      <w:r w:rsidRPr="00437356">
        <w:rPr>
          <w:rFonts w:ascii="Arial" w:hAnsi="Arial" w:cs="Arial"/>
          <w:color w:val="000000" w:themeColor="text1"/>
          <w:shd w:val="clear" w:color="auto" w:fill="FFFFFF"/>
        </w:rPr>
        <w:t>“</w:t>
      </w:r>
      <w:r w:rsidR="00F91FF1" w:rsidRPr="00437356">
        <w:rPr>
          <w:rFonts w:ascii="Arial" w:hAnsi="Arial" w:cs="Arial"/>
          <w:color w:val="000000" w:themeColor="text1"/>
          <w:shd w:val="clear" w:color="auto" w:fill="FFFFFF"/>
        </w:rPr>
        <w:t>The words which have been so much commented upon, “in full confidence,” are, in my opinion, neutral. I think it would be impossible to regard them as technical words in any sense. They are words which may or may not create a trust, and whether they do so or not must be determined by the context of the particular will in which you find them.</w:t>
      </w:r>
      <w:r w:rsidRPr="00437356">
        <w:rPr>
          <w:rStyle w:val="apple-converted-space"/>
          <w:rFonts w:ascii="Arial" w:hAnsi="Arial" w:cs="Arial"/>
          <w:color w:val="000000" w:themeColor="text1"/>
          <w:shd w:val="clear" w:color="auto" w:fill="FFFFFF"/>
        </w:rPr>
        <w:t>”</w:t>
      </w:r>
    </w:p>
    <w:p w14:paraId="40EBF001" w14:textId="2C64497E" w:rsidR="00F5111A" w:rsidRPr="00437356" w:rsidRDefault="000D6BFC" w:rsidP="00C526E7">
      <w:pPr>
        <w:snapToGrid w:val="0"/>
        <w:spacing w:after="120" w:line="360" w:lineRule="auto"/>
        <w:jc w:val="both"/>
        <w:rPr>
          <w:rFonts w:ascii="Arial" w:hAnsi="Arial" w:cs="Arial"/>
        </w:rPr>
      </w:pPr>
      <w:r w:rsidRPr="00437356">
        <w:rPr>
          <w:rFonts w:ascii="Arial" w:eastAsia="MS Mincho" w:hAnsi="Arial" w:cs="Arial"/>
          <w:color w:val="000000" w:themeColor="text1"/>
          <w:lang w:bidi="en-US"/>
        </w:rPr>
        <w:t xml:space="preserve">It is, then, not only </w:t>
      </w:r>
      <w:r w:rsidR="00F91FF1" w:rsidRPr="00437356">
        <w:rPr>
          <w:rFonts w:ascii="Arial" w:eastAsia="MS Mincho" w:hAnsi="Arial" w:cs="Arial"/>
          <w:color w:val="000000" w:themeColor="text1"/>
          <w:lang w:bidi="en-US"/>
        </w:rPr>
        <w:t xml:space="preserve">any precatory words, but all relevant parts of the will (or </w:t>
      </w:r>
      <w:r w:rsidR="00F91FF1" w:rsidRPr="00437356">
        <w:rPr>
          <w:rFonts w:ascii="Arial" w:eastAsia="MS Mincho" w:hAnsi="Arial" w:cs="Arial"/>
          <w:i/>
          <w:iCs/>
          <w:color w:val="000000" w:themeColor="text1"/>
          <w:lang w:bidi="en-US"/>
        </w:rPr>
        <w:t xml:space="preserve">inter </w:t>
      </w:r>
      <w:proofErr w:type="spellStart"/>
      <w:r w:rsidR="00F91FF1" w:rsidRPr="00437356">
        <w:rPr>
          <w:rFonts w:ascii="Arial" w:eastAsia="MS Mincho" w:hAnsi="Arial" w:cs="Arial"/>
          <w:i/>
          <w:iCs/>
          <w:color w:val="000000" w:themeColor="text1"/>
          <w:lang w:bidi="en-US"/>
        </w:rPr>
        <w:t>vivos</w:t>
      </w:r>
      <w:proofErr w:type="spellEnd"/>
      <w:r w:rsidR="00F91FF1" w:rsidRPr="00437356">
        <w:rPr>
          <w:rFonts w:ascii="Arial" w:eastAsia="MS Mincho" w:hAnsi="Arial" w:cs="Arial"/>
          <w:i/>
          <w:iCs/>
          <w:color w:val="000000" w:themeColor="text1"/>
          <w:lang w:bidi="en-US"/>
        </w:rPr>
        <w:t xml:space="preserve"> </w:t>
      </w:r>
      <w:r w:rsidR="00F91FF1" w:rsidRPr="00437356">
        <w:rPr>
          <w:rFonts w:ascii="Arial" w:eastAsia="MS Mincho" w:hAnsi="Arial" w:cs="Arial"/>
          <w:color w:val="000000" w:themeColor="text1"/>
          <w:lang w:bidi="en-US"/>
        </w:rPr>
        <w:t>instrument)</w:t>
      </w:r>
      <w:r w:rsidRPr="00437356">
        <w:rPr>
          <w:rFonts w:ascii="Arial" w:eastAsia="MS Mincho" w:hAnsi="Arial" w:cs="Arial"/>
          <w:color w:val="000000" w:themeColor="text1"/>
          <w:lang w:bidi="en-US"/>
        </w:rPr>
        <w:t xml:space="preserve"> </w:t>
      </w:r>
      <w:proofErr w:type="gramStart"/>
      <w:r w:rsidRPr="00437356">
        <w:rPr>
          <w:rFonts w:ascii="Arial" w:eastAsia="MS Mincho" w:hAnsi="Arial" w:cs="Arial"/>
          <w:color w:val="000000" w:themeColor="text1"/>
          <w:lang w:bidi="en-US"/>
        </w:rPr>
        <w:t xml:space="preserve">will that </w:t>
      </w:r>
      <w:r w:rsidR="00F91FF1" w:rsidRPr="00437356">
        <w:rPr>
          <w:rFonts w:ascii="Arial" w:eastAsia="MS Mincho" w:hAnsi="Arial" w:cs="Arial"/>
          <w:color w:val="000000" w:themeColor="text1"/>
          <w:lang w:bidi="en-US"/>
        </w:rPr>
        <w:t>must</w:t>
      </w:r>
      <w:proofErr w:type="gramEnd"/>
      <w:r w:rsidRPr="00437356">
        <w:rPr>
          <w:rFonts w:ascii="Arial" w:eastAsia="MS Mincho" w:hAnsi="Arial" w:cs="Arial"/>
          <w:color w:val="000000" w:themeColor="text1"/>
          <w:lang w:bidi="en-US"/>
        </w:rPr>
        <w:t xml:space="preserve"> be considered.  Ultimately, it must be shown </w:t>
      </w:r>
      <w:r w:rsidRPr="00437356">
        <w:rPr>
          <w:rFonts w:ascii="Arial" w:eastAsia="MS Mincho" w:hAnsi="Arial" w:cs="Arial"/>
          <w:lang w:bidi="en-US"/>
        </w:rPr>
        <w:t>that the settlor intended to subject the transferee to a legally</w:t>
      </w:r>
      <w:r w:rsidR="00F91FF1" w:rsidRPr="00437356">
        <w:rPr>
          <w:rFonts w:ascii="Arial" w:eastAsia="MS Mincho" w:hAnsi="Arial" w:cs="Arial"/>
          <w:lang w:bidi="en-US"/>
        </w:rPr>
        <w:t xml:space="preserve"> </w:t>
      </w:r>
      <w:r w:rsidRPr="00437356">
        <w:rPr>
          <w:rFonts w:ascii="Arial" w:eastAsia="MS Mincho" w:hAnsi="Arial" w:cs="Arial"/>
          <w:lang w:bidi="en-US"/>
        </w:rPr>
        <w:t>enforceable trust obligation rather than a merely moral one (</w:t>
      </w:r>
      <w:r w:rsidRPr="00437356">
        <w:rPr>
          <w:rFonts w:ascii="Arial" w:eastAsia="MS Mincho" w:hAnsi="Arial" w:cs="Arial"/>
          <w:i/>
          <w:lang w:bidi="en-US"/>
        </w:rPr>
        <w:t xml:space="preserve">Re </w:t>
      </w:r>
      <w:proofErr w:type="spellStart"/>
      <w:r w:rsidRPr="00437356">
        <w:rPr>
          <w:rFonts w:ascii="Arial" w:eastAsia="MS Mincho" w:hAnsi="Arial" w:cs="Arial"/>
          <w:i/>
          <w:lang w:bidi="en-US"/>
        </w:rPr>
        <w:t>Diggles</w:t>
      </w:r>
      <w:proofErr w:type="spellEnd"/>
      <w:r w:rsidRPr="00437356">
        <w:rPr>
          <w:rFonts w:ascii="Arial" w:eastAsia="MS Mincho" w:hAnsi="Arial" w:cs="Arial"/>
          <w:lang w:bidi="en-US"/>
        </w:rPr>
        <w:t xml:space="preserve"> (1888) 39 Ch D 253).  </w:t>
      </w:r>
    </w:p>
    <w:p w14:paraId="36631EF8" w14:textId="09815811" w:rsidR="00F5111A" w:rsidRPr="00437356" w:rsidRDefault="00F5111A" w:rsidP="00C526E7">
      <w:pPr>
        <w:snapToGrid w:val="0"/>
        <w:spacing w:after="120" w:line="360" w:lineRule="auto"/>
        <w:jc w:val="both"/>
        <w:rPr>
          <w:rFonts w:ascii="Arial" w:hAnsi="Arial" w:cs="Arial"/>
        </w:rPr>
      </w:pPr>
      <w:r w:rsidRPr="00437356">
        <w:rPr>
          <w:rFonts w:ascii="Arial" w:hAnsi="Arial" w:cs="Arial"/>
        </w:rPr>
        <w:lastRenderedPageBreak/>
        <w:t xml:space="preserve">The test for certainty of intention is the same today as it was when </w:t>
      </w:r>
      <w:r w:rsidRPr="00437356">
        <w:rPr>
          <w:rFonts w:ascii="Arial" w:hAnsi="Arial" w:cs="Arial"/>
          <w:i/>
        </w:rPr>
        <w:t xml:space="preserve">Adams </w:t>
      </w:r>
      <w:r w:rsidRPr="00437356">
        <w:rPr>
          <w:rFonts w:ascii="Arial" w:hAnsi="Arial" w:cs="Arial"/>
        </w:rPr>
        <w:t xml:space="preserve">and </w:t>
      </w:r>
      <w:r w:rsidRPr="00437356">
        <w:rPr>
          <w:rFonts w:ascii="Arial" w:hAnsi="Arial" w:cs="Arial"/>
          <w:i/>
        </w:rPr>
        <w:t xml:space="preserve">Comiskey </w:t>
      </w:r>
      <w:r w:rsidRPr="00437356">
        <w:rPr>
          <w:rFonts w:ascii="Arial" w:hAnsi="Arial" w:cs="Arial"/>
        </w:rPr>
        <w:t xml:space="preserve">were decided. Unless the word ‘trust’ is used (which would usually be conclusive), whether or not there is certainty of intention is a matter of construction. The aforementioned </w:t>
      </w:r>
      <w:r w:rsidRPr="00437356">
        <w:rPr>
          <w:rFonts w:ascii="Arial" w:hAnsi="Arial" w:cs="Arial"/>
          <w:i/>
        </w:rPr>
        <w:t xml:space="preserve">Re </w:t>
      </w:r>
      <w:proofErr w:type="spellStart"/>
      <w:r w:rsidRPr="00437356">
        <w:rPr>
          <w:rFonts w:ascii="Arial" w:hAnsi="Arial" w:cs="Arial"/>
          <w:i/>
        </w:rPr>
        <w:t>Kayford</w:t>
      </w:r>
      <w:proofErr w:type="spellEnd"/>
      <w:r w:rsidRPr="00437356">
        <w:rPr>
          <w:rFonts w:ascii="Arial" w:hAnsi="Arial" w:cs="Arial"/>
          <w:i/>
        </w:rPr>
        <w:t xml:space="preserve"> </w:t>
      </w:r>
      <w:r w:rsidRPr="00437356">
        <w:rPr>
          <w:rFonts w:ascii="Arial" w:hAnsi="Arial" w:cs="Arial"/>
        </w:rPr>
        <w:t>provides an excellent example of the modern approach.</w:t>
      </w:r>
    </w:p>
    <w:p w14:paraId="5971636F" w14:textId="77777777" w:rsidR="000D6BFC" w:rsidRPr="00437356" w:rsidRDefault="000D6BFC" w:rsidP="00C526E7">
      <w:pPr>
        <w:snapToGrid w:val="0"/>
        <w:spacing w:after="120" w:line="360" w:lineRule="auto"/>
        <w:jc w:val="both"/>
        <w:rPr>
          <w:rFonts w:ascii="Arial" w:eastAsia="MS Mincho" w:hAnsi="Arial" w:cs="Arial"/>
          <w:lang w:bidi="en-US"/>
        </w:rPr>
      </w:pPr>
    </w:p>
    <w:p w14:paraId="6E008CDC" w14:textId="416D4E84" w:rsidR="000D6BFC" w:rsidRPr="00437356" w:rsidRDefault="000D6BFC" w:rsidP="00C526E7">
      <w:pPr>
        <w:pStyle w:val="ListParagraph"/>
        <w:numPr>
          <w:ilvl w:val="0"/>
          <w:numId w:val="32"/>
        </w:numPr>
        <w:snapToGrid w:val="0"/>
        <w:spacing w:after="120" w:line="360" w:lineRule="auto"/>
        <w:contextualSpacing w:val="0"/>
        <w:jc w:val="both"/>
        <w:rPr>
          <w:rFonts w:ascii="Arial" w:eastAsia="MS Mincho" w:hAnsi="Arial" w:cs="Arial"/>
          <w:b/>
          <w:lang w:bidi="en-US"/>
        </w:rPr>
      </w:pPr>
      <w:r w:rsidRPr="00437356">
        <w:rPr>
          <w:rFonts w:ascii="Arial" w:eastAsia="MS Mincho" w:hAnsi="Arial" w:cs="Arial"/>
          <w:b/>
          <w:lang w:bidi="en-US"/>
        </w:rPr>
        <w:t>Self-</w:t>
      </w:r>
      <w:r w:rsidR="00EF3408" w:rsidRPr="00437356">
        <w:rPr>
          <w:rFonts w:ascii="Arial" w:eastAsia="MS Mincho" w:hAnsi="Arial" w:cs="Arial"/>
          <w:b/>
          <w:lang w:bidi="en-US"/>
        </w:rPr>
        <w:t>D</w:t>
      </w:r>
      <w:r w:rsidRPr="00437356">
        <w:rPr>
          <w:rFonts w:ascii="Arial" w:eastAsia="MS Mincho" w:hAnsi="Arial" w:cs="Arial"/>
          <w:b/>
          <w:lang w:bidi="en-US"/>
        </w:rPr>
        <w:t>eclarations</w:t>
      </w:r>
      <w:r w:rsidR="00F5111A" w:rsidRPr="00437356">
        <w:rPr>
          <w:rFonts w:ascii="Arial" w:eastAsia="MS Mincho" w:hAnsi="Arial" w:cs="Arial"/>
          <w:b/>
          <w:lang w:bidi="en-US"/>
        </w:rPr>
        <w:t xml:space="preserve"> of Trust</w:t>
      </w:r>
    </w:p>
    <w:p w14:paraId="635EE554" w14:textId="77777777" w:rsidR="00EF3408" w:rsidRPr="00437356"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Declarations in which the settlor declares him/herself a trustee do not necessarily have to involve a single instance of </w:t>
      </w:r>
      <w:proofErr w:type="gramStart"/>
      <w:r w:rsidRPr="00437356">
        <w:rPr>
          <w:rFonts w:ascii="Arial" w:eastAsia="MS Mincho" w:hAnsi="Arial" w:cs="Arial"/>
          <w:lang w:bidi="en-US"/>
        </w:rPr>
        <w:t>declaration</w:t>
      </w:r>
      <w:proofErr w:type="gramEnd"/>
      <w:r w:rsidRPr="00437356">
        <w:rPr>
          <w:rFonts w:ascii="Arial" w:eastAsia="MS Mincho" w:hAnsi="Arial" w:cs="Arial"/>
          <w:lang w:bidi="en-US"/>
        </w:rPr>
        <w:t xml:space="preserve"> nor do they need to use specific words. An example of this is the case of </w:t>
      </w:r>
      <w:r w:rsidRPr="0095595E">
        <w:rPr>
          <w:rFonts w:ascii="Arial" w:eastAsia="MS Mincho" w:hAnsi="Arial" w:cs="Arial"/>
          <w:i/>
          <w:u w:val="single"/>
          <w:lang w:bidi="en-US"/>
        </w:rPr>
        <w:t>Paul v Constance</w:t>
      </w:r>
      <w:r w:rsidRPr="0095595E">
        <w:rPr>
          <w:rFonts w:ascii="Arial" w:eastAsia="MS Mincho" w:hAnsi="Arial" w:cs="Arial"/>
          <w:u w:val="single"/>
          <w:lang w:bidi="en-US"/>
        </w:rPr>
        <w:t xml:space="preserve"> [1977] 1 WLR 527</w:t>
      </w:r>
      <w:r w:rsidRPr="00437356">
        <w:rPr>
          <w:rFonts w:ascii="Arial" w:eastAsia="MS Mincho" w:hAnsi="Arial" w:cs="Arial"/>
          <w:lang w:bidi="en-US"/>
        </w:rPr>
        <w:t xml:space="preserve">: Dennis Constance was separated from his wife and lived with the plaintiff Doreen Paul. He endured an injury at work for which he received £950 damages. The money was placed in a bank account held in Constance’s name but used for the benefit of both. On numerous occasions Constance told Paul that the money was as much hers as his. Constance died intestate (without leaving a will) and because he had not divorced his wife, under the rules of intestacy his wife was entitled to all of his estate. </w:t>
      </w:r>
      <w:proofErr w:type="gramStart"/>
      <w:r w:rsidRPr="00437356">
        <w:rPr>
          <w:rFonts w:ascii="Arial" w:eastAsia="MS Mincho" w:hAnsi="Arial" w:cs="Arial"/>
          <w:lang w:bidi="en-US"/>
        </w:rPr>
        <w:t>So</w:t>
      </w:r>
      <w:proofErr w:type="gramEnd"/>
      <w:r w:rsidRPr="00437356">
        <w:rPr>
          <w:rFonts w:ascii="Arial" w:eastAsia="MS Mincho" w:hAnsi="Arial" w:cs="Arial"/>
          <w:lang w:bidi="en-US"/>
        </w:rPr>
        <w:t xml:space="preserve"> Paul brought an action arguing that Constance had declared an express trust over the money which would not therefore form part of his estate. Scarman LJ stated at 532: </w:t>
      </w:r>
    </w:p>
    <w:p w14:paraId="2628D793" w14:textId="7BAA47DC" w:rsidR="000D6BFC" w:rsidRPr="00437356" w:rsidRDefault="00B562A0" w:rsidP="00C526E7">
      <w:pPr>
        <w:snapToGrid w:val="0"/>
        <w:spacing w:after="120" w:line="360" w:lineRule="auto"/>
        <w:ind w:left="720"/>
        <w:jc w:val="both"/>
        <w:rPr>
          <w:rFonts w:ascii="Arial" w:eastAsia="MS Mincho" w:hAnsi="Arial" w:cs="Arial"/>
          <w:lang w:bidi="en-US"/>
        </w:rPr>
      </w:pPr>
      <w:r w:rsidRPr="00437356">
        <w:rPr>
          <w:rFonts w:ascii="Arial" w:eastAsia="MS Mincho" w:hAnsi="Arial" w:cs="Arial"/>
          <w:lang w:bidi="en-US"/>
        </w:rPr>
        <w:t>“</w:t>
      </w:r>
      <w:r w:rsidR="000D6BFC" w:rsidRPr="00437356">
        <w:rPr>
          <w:rFonts w:ascii="Arial" w:eastAsia="MS Mincho" w:hAnsi="Arial" w:cs="Arial"/>
          <w:lang w:bidi="en-US"/>
        </w:rPr>
        <w:t xml:space="preserve">The question </w:t>
      </w:r>
      <w:r w:rsidR="009D5787" w:rsidRPr="00437356">
        <w:rPr>
          <w:rFonts w:ascii="Arial" w:eastAsia="MS Mincho" w:hAnsi="Arial" w:cs="Arial"/>
          <w:lang w:bidi="en-US"/>
        </w:rPr>
        <w:t>…</w:t>
      </w:r>
      <w:r w:rsidR="000D6BFC" w:rsidRPr="00437356">
        <w:rPr>
          <w:rFonts w:ascii="Arial" w:eastAsia="MS Mincho" w:hAnsi="Arial" w:cs="Arial"/>
          <w:lang w:bidi="en-US"/>
        </w:rPr>
        <w:t xml:space="preserve"> is whether, in all the circumstances, the use of those words on numerous occasions as between the deceased and the plaintiff constituted an express declaration of trust. The judge found that they did. For myself, I think he was right so to find. I therefore would dismiss the appeal.</w:t>
      </w:r>
      <w:r w:rsidRPr="00437356">
        <w:rPr>
          <w:rFonts w:ascii="Arial" w:eastAsia="MS Mincho" w:hAnsi="Arial" w:cs="Arial"/>
          <w:lang w:bidi="en-US"/>
        </w:rPr>
        <w:t>”</w:t>
      </w:r>
    </w:p>
    <w:p w14:paraId="0C409786" w14:textId="77777777" w:rsidR="0095595E" w:rsidRDefault="000D6BFC"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However, an expression of trust will not be found where there is merely loose conversion, or where it would serve to perfect an imperfect gift. </w:t>
      </w:r>
    </w:p>
    <w:p w14:paraId="2508A0D8" w14:textId="2501AA33" w:rsidR="000D6BFC" w:rsidRPr="00437356" w:rsidRDefault="000D6BFC" w:rsidP="00C526E7">
      <w:pPr>
        <w:snapToGrid w:val="0"/>
        <w:spacing w:after="120" w:line="360" w:lineRule="auto"/>
        <w:jc w:val="both"/>
        <w:rPr>
          <w:rFonts w:ascii="Arial" w:eastAsia="MS Mincho" w:hAnsi="Arial" w:cs="Arial"/>
          <w:i/>
          <w:lang w:bidi="en-US"/>
        </w:rPr>
      </w:pPr>
      <w:r w:rsidRPr="00437356">
        <w:rPr>
          <w:rFonts w:ascii="Arial" w:eastAsia="MS Mincho" w:hAnsi="Arial" w:cs="Arial"/>
          <w:lang w:bidi="en-US"/>
        </w:rPr>
        <w:t xml:space="preserve">In </w:t>
      </w:r>
      <w:r w:rsidRPr="0095595E">
        <w:rPr>
          <w:rFonts w:ascii="Arial" w:eastAsia="MS Mincho" w:hAnsi="Arial" w:cs="Arial"/>
          <w:i/>
          <w:u w:val="single"/>
          <w:lang w:bidi="en-US"/>
        </w:rPr>
        <w:t>Jones v Lock (1865)</w:t>
      </w:r>
      <w:r w:rsidRPr="00437356">
        <w:rPr>
          <w:rFonts w:ascii="Arial" w:eastAsia="MS Mincho" w:hAnsi="Arial" w:cs="Arial"/>
          <w:lang w:bidi="en-US"/>
        </w:rPr>
        <w:t xml:space="preserve"> LR 1 Ch App 25, Mr Jones had come back from a business trip. The nurse of Jones’ baby son told him off for not bringing back a gift for the son. At this point Jones produced a cheque for £900 (payable to himself) and said: “Look you here, I give this to baby; it is for himself, and I am going to put it away for </w:t>
      </w:r>
      <w:proofErr w:type="gramStart"/>
      <w:r w:rsidRPr="00437356">
        <w:rPr>
          <w:rFonts w:ascii="Arial" w:eastAsia="MS Mincho" w:hAnsi="Arial" w:cs="Arial"/>
          <w:lang w:bidi="en-US"/>
        </w:rPr>
        <w:t>him, and</w:t>
      </w:r>
      <w:proofErr w:type="gramEnd"/>
      <w:r w:rsidRPr="00437356">
        <w:rPr>
          <w:rFonts w:ascii="Arial" w:eastAsia="MS Mincho" w:hAnsi="Arial" w:cs="Arial"/>
          <w:lang w:bidi="en-US"/>
        </w:rPr>
        <w:t xml:space="preserve"> will give him a great deal more along with it.” Mr Jones died a few days later and the question arose as to whether he had made an effective declaration of trust. </w:t>
      </w:r>
      <w:r w:rsidR="00011CDE" w:rsidRPr="00437356">
        <w:rPr>
          <w:rFonts w:ascii="Arial" w:eastAsia="MS Mincho" w:hAnsi="Arial" w:cs="Arial"/>
          <w:lang w:bidi="en-US"/>
        </w:rPr>
        <w:t>It was held that h</w:t>
      </w:r>
      <w:r w:rsidRPr="00437356">
        <w:rPr>
          <w:rFonts w:ascii="Arial" w:eastAsia="MS Mincho" w:hAnsi="Arial" w:cs="Arial"/>
          <w:lang w:bidi="en-US"/>
        </w:rPr>
        <w:t>e had not. While there was an intention to make a gift, no intention to create a trust could be found.</w:t>
      </w:r>
      <w:r w:rsidR="00011CDE" w:rsidRPr="00437356">
        <w:rPr>
          <w:rFonts w:ascii="Arial" w:eastAsia="MS Mincho" w:hAnsi="Arial" w:cs="Arial"/>
          <w:lang w:bidi="en-US"/>
        </w:rPr>
        <w:t xml:space="preserve"> The testator’s ‘loose words’ did not demonstrate sufficient certainty of intention to create a trust.</w:t>
      </w:r>
    </w:p>
    <w:p w14:paraId="19DA8E11" w14:textId="77777777" w:rsidR="000D6BFC" w:rsidRPr="00437356" w:rsidRDefault="000D6BFC" w:rsidP="00C526E7">
      <w:pPr>
        <w:snapToGrid w:val="0"/>
        <w:spacing w:after="120" w:line="360" w:lineRule="auto"/>
        <w:jc w:val="both"/>
        <w:rPr>
          <w:rFonts w:ascii="Arial" w:eastAsia="MS Mincho" w:hAnsi="Arial" w:cs="Arial"/>
          <w:lang w:bidi="en-US"/>
        </w:rPr>
      </w:pPr>
      <w:bookmarkStart w:id="0" w:name="_Toc431463014"/>
    </w:p>
    <w:p w14:paraId="7088DC2B" w14:textId="403768ED" w:rsidR="000D6BFC" w:rsidRPr="00437356" w:rsidRDefault="000D6BFC" w:rsidP="00C526E7">
      <w:pPr>
        <w:pStyle w:val="ListParagraph"/>
        <w:numPr>
          <w:ilvl w:val="0"/>
          <w:numId w:val="32"/>
        </w:numPr>
        <w:snapToGrid w:val="0"/>
        <w:spacing w:after="120" w:line="360" w:lineRule="auto"/>
        <w:contextualSpacing w:val="0"/>
        <w:jc w:val="both"/>
        <w:rPr>
          <w:rFonts w:ascii="Arial" w:eastAsia="MS Mincho" w:hAnsi="Arial" w:cs="Arial"/>
          <w:b/>
          <w:lang w:bidi="en-US"/>
        </w:rPr>
      </w:pPr>
      <w:r w:rsidRPr="00437356">
        <w:rPr>
          <w:rFonts w:ascii="Arial" w:eastAsia="MS Mincho" w:hAnsi="Arial" w:cs="Arial"/>
          <w:b/>
          <w:lang w:bidi="en-US"/>
        </w:rPr>
        <w:t xml:space="preserve">The Consequences of a lack of </w:t>
      </w:r>
      <w:r w:rsidR="00EF3408" w:rsidRPr="00437356">
        <w:rPr>
          <w:rFonts w:ascii="Arial" w:eastAsia="MS Mincho" w:hAnsi="Arial" w:cs="Arial"/>
          <w:b/>
          <w:lang w:bidi="en-US"/>
        </w:rPr>
        <w:t>C</w:t>
      </w:r>
      <w:r w:rsidRPr="00437356">
        <w:rPr>
          <w:rFonts w:ascii="Arial" w:eastAsia="MS Mincho" w:hAnsi="Arial" w:cs="Arial"/>
          <w:b/>
          <w:lang w:bidi="en-US"/>
        </w:rPr>
        <w:t xml:space="preserve">ertainty of </w:t>
      </w:r>
      <w:r w:rsidR="00EF3408" w:rsidRPr="00437356">
        <w:rPr>
          <w:rFonts w:ascii="Arial" w:eastAsia="MS Mincho" w:hAnsi="Arial" w:cs="Arial"/>
          <w:b/>
          <w:lang w:bidi="en-US"/>
        </w:rPr>
        <w:t>I</w:t>
      </w:r>
      <w:r w:rsidRPr="00437356">
        <w:rPr>
          <w:rFonts w:ascii="Arial" w:eastAsia="MS Mincho" w:hAnsi="Arial" w:cs="Arial"/>
          <w:b/>
          <w:lang w:bidi="en-US"/>
        </w:rPr>
        <w:t>ntention</w:t>
      </w:r>
      <w:bookmarkEnd w:id="0"/>
    </w:p>
    <w:p w14:paraId="4D734E17" w14:textId="2C2ABF95" w:rsidR="000D6BFC" w:rsidRPr="0095595E" w:rsidRDefault="000D6BFC" w:rsidP="00C526E7">
      <w:pPr>
        <w:snapToGrid w:val="0"/>
        <w:spacing w:after="120" w:line="360" w:lineRule="auto"/>
        <w:jc w:val="both"/>
        <w:rPr>
          <w:rFonts w:ascii="Arial" w:eastAsia="MS Mincho" w:hAnsi="Arial" w:cs="Arial"/>
          <w:u w:val="single"/>
          <w:lang w:bidi="en-US"/>
        </w:rPr>
      </w:pPr>
      <w:r w:rsidRPr="00437356">
        <w:rPr>
          <w:rFonts w:ascii="Arial" w:eastAsia="MS Mincho" w:hAnsi="Arial" w:cs="Arial"/>
          <w:lang w:bidi="en-US"/>
        </w:rPr>
        <w:t>If the words in question were used in conjunction with a transfer of property to another (</w:t>
      </w:r>
      <w:r w:rsidRPr="00437356">
        <w:rPr>
          <w:rFonts w:ascii="Arial" w:eastAsia="MS Mincho" w:hAnsi="Arial" w:cs="Arial"/>
          <w:i/>
          <w:lang w:bidi="en-US"/>
        </w:rPr>
        <w:t xml:space="preserve">inter </w:t>
      </w:r>
      <w:proofErr w:type="spellStart"/>
      <w:r w:rsidRPr="00437356">
        <w:rPr>
          <w:rFonts w:ascii="Arial" w:eastAsia="MS Mincho" w:hAnsi="Arial" w:cs="Arial"/>
          <w:i/>
          <w:lang w:bidi="en-US"/>
        </w:rPr>
        <w:t>vivos</w:t>
      </w:r>
      <w:proofErr w:type="spellEnd"/>
      <w:r w:rsidRPr="00437356">
        <w:rPr>
          <w:rFonts w:ascii="Arial" w:eastAsia="MS Mincho" w:hAnsi="Arial" w:cs="Arial"/>
          <w:lang w:bidi="en-US"/>
        </w:rPr>
        <w:t xml:space="preserve"> or by will), the transferee generally acquires the property free of any trust</w:t>
      </w:r>
      <w:r w:rsidR="00F5111A" w:rsidRPr="00437356">
        <w:rPr>
          <w:rFonts w:ascii="Arial" w:eastAsia="MS Mincho" w:hAnsi="Arial" w:cs="Arial"/>
          <w:lang w:bidi="en-US"/>
        </w:rPr>
        <w:t xml:space="preserve">- </w:t>
      </w:r>
      <w:proofErr w:type="spellStart"/>
      <w:r w:rsidR="00F5111A" w:rsidRPr="00437356">
        <w:rPr>
          <w:rFonts w:ascii="Arial" w:eastAsia="MS Mincho" w:hAnsi="Arial" w:cs="Arial"/>
          <w:lang w:bidi="en-US"/>
        </w:rPr>
        <w:t>i.e</w:t>
      </w:r>
      <w:proofErr w:type="spellEnd"/>
      <w:r w:rsidR="00F5111A" w:rsidRPr="00437356">
        <w:rPr>
          <w:rFonts w:ascii="Arial" w:eastAsia="MS Mincho" w:hAnsi="Arial" w:cs="Arial"/>
          <w:lang w:bidi="en-US"/>
        </w:rPr>
        <w:t xml:space="preserve"> the </w:t>
      </w:r>
      <w:r w:rsidR="00F5111A" w:rsidRPr="00437356">
        <w:rPr>
          <w:rFonts w:ascii="Arial" w:eastAsia="MS Mincho" w:hAnsi="Arial" w:cs="Arial"/>
          <w:lang w:bidi="en-US"/>
        </w:rPr>
        <w:lastRenderedPageBreak/>
        <w:t>disposition operates as an absolute gift in favour of the transferee. So</w:t>
      </w:r>
      <w:r w:rsidR="009D5787" w:rsidRPr="00437356">
        <w:rPr>
          <w:rFonts w:ascii="Arial" w:eastAsia="MS Mincho" w:hAnsi="Arial" w:cs="Arial"/>
          <w:lang w:bidi="en-US"/>
        </w:rPr>
        <w:t>,</w:t>
      </w:r>
      <w:r w:rsidR="00F5111A" w:rsidRPr="00437356">
        <w:rPr>
          <w:rFonts w:ascii="Arial" w:eastAsia="MS Mincho" w:hAnsi="Arial" w:cs="Arial"/>
          <w:lang w:bidi="en-US"/>
        </w:rPr>
        <w:t xml:space="preserve"> in </w:t>
      </w:r>
      <w:r w:rsidR="00F5111A" w:rsidRPr="0095595E">
        <w:rPr>
          <w:rFonts w:ascii="Arial" w:eastAsia="MS Mincho" w:hAnsi="Arial" w:cs="Arial"/>
          <w:i/>
          <w:iCs/>
          <w:u w:val="single"/>
          <w:lang w:bidi="en-US"/>
        </w:rPr>
        <w:t>Adams</w:t>
      </w:r>
      <w:r w:rsidR="00F5111A" w:rsidRPr="0095595E">
        <w:rPr>
          <w:rFonts w:ascii="Arial" w:eastAsia="MS Mincho" w:hAnsi="Arial" w:cs="Arial"/>
          <w:u w:val="single"/>
          <w:lang w:bidi="en-US"/>
        </w:rPr>
        <w:t>,</w:t>
      </w:r>
      <w:r w:rsidR="00F5111A" w:rsidRPr="00437356">
        <w:rPr>
          <w:rFonts w:ascii="Arial" w:eastAsia="MS Mincho" w:hAnsi="Arial" w:cs="Arial"/>
          <w:lang w:bidi="en-US"/>
        </w:rPr>
        <w:t xml:space="preserve"> the testator’s wife took the estate absolutely</w:t>
      </w:r>
      <w:r w:rsidR="00F5111A" w:rsidRPr="0095595E">
        <w:rPr>
          <w:rFonts w:ascii="Arial" w:eastAsia="MS Mincho" w:hAnsi="Arial" w:cs="Arial"/>
          <w:u w:val="single"/>
          <w:lang w:bidi="en-US"/>
        </w:rPr>
        <w:t xml:space="preserve">.  </w:t>
      </w:r>
      <w:r w:rsidRPr="0095595E">
        <w:rPr>
          <w:rFonts w:ascii="Arial" w:eastAsia="MS Mincho" w:hAnsi="Arial" w:cs="Arial"/>
          <w:u w:val="single"/>
          <w:lang w:bidi="en-US"/>
        </w:rPr>
        <w:t>I</w:t>
      </w:r>
      <w:r w:rsidR="00F5111A" w:rsidRPr="0095595E">
        <w:rPr>
          <w:rFonts w:ascii="Arial" w:eastAsia="MS Mincho" w:hAnsi="Arial" w:cs="Arial"/>
          <w:u w:val="single"/>
          <w:lang w:bidi="en-US"/>
        </w:rPr>
        <w:t>n cases in which it is alleged that a person has declared themselves trustee, but there is insu</w:t>
      </w:r>
      <w:r w:rsidRPr="0095595E">
        <w:rPr>
          <w:rFonts w:ascii="Arial" w:eastAsia="MS Mincho" w:hAnsi="Arial" w:cs="Arial"/>
          <w:u w:val="single"/>
          <w:lang w:bidi="en-US"/>
        </w:rPr>
        <w:t>f</w:t>
      </w:r>
      <w:r w:rsidR="00F5111A" w:rsidRPr="0095595E">
        <w:rPr>
          <w:rFonts w:ascii="Arial" w:eastAsia="MS Mincho" w:hAnsi="Arial" w:cs="Arial"/>
          <w:u w:val="single"/>
          <w:lang w:bidi="en-US"/>
        </w:rPr>
        <w:t xml:space="preserve">ficient certainty of intention, </w:t>
      </w:r>
      <w:r w:rsidRPr="0095595E">
        <w:rPr>
          <w:rFonts w:ascii="Arial" w:eastAsia="MS Mincho" w:hAnsi="Arial" w:cs="Arial"/>
          <w:u w:val="single"/>
          <w:lang w:bidi="en-US"/>
        </w:rPr>
        <w:t>th</w:t>
      </w:r>
      <w:r w:rsidR="00F5111A" w:rsidRPr="0095595E">
        <w:rPr>
          <w:rFonts w:ascii="Arial" w:eastAsia="MS Mincho" w:hAnsi="Arial" w:cs="Arial"/>
          <w:u w:val="single"/>
          <w:lang w:bidi="en-US"/>
        </w:rPr>
        <w:t>at person</w:t>
      </w:r>
      <w:r w:rsidRPr="0095595E">
        <w:rPr>
          <w:rFonts w:ascii="Arial" w:eastAsia="MS Mincho" w:hAnsi="Arial" w:cs="Arial"/>
          <w:u w:val="single"/>
          <w:lang w:bidi="en-US"/>
        </w:rPr>
        <w:t xml:space="preserve"> remains the outright owner</w:t>
      </w:r>
      <w:r w:rsidR="00F5111A" w:rsidRPr="0095595E">
        <w:rPr>
          <w:rFonts w:ascii="Arial" w:eastAsia="MS Mincho" w:hAnsi="Arial" w:cs="Arial"/>
          <w:u w:val="single"/>
          <w:lang w:bidi="en-US"/>
        </w:rPr>
        <w:t xml:space="preserve"> of the property.</w:t>
      </w:r>
    </w:p>
    <w:p w14:paraId="3C241304" w14:textId="77777777" w:rsidR="00C3444E" w:rsidRPr="00437356" w:rsidRDefault="00C3444E" w:rsidP="00C526E7">
      <w:pPr>
        <w:snapToGrid w:val="0"/>
        <w:spacing w:after="120" w:line="360" w:lineRule="auto"/>
        <w:jc w:val="both"/>
        <w:rPr>
          <w:rFonts w:ascii="Arial" w:eastAsia="MS Mincho" w:hAnsi="Arial" w:cs="Arial"/>
          <w:lang w:bidi="en-US"/>
        </w:rPr>
      </w:pPr>
    </w:p>
    <w:p w14:paraId="3F738ED0" w14:textId="1FEC9C15" w:rsidR="009D5787" w:rsidRPr="00437356" w:rsidRDefault="00A05EF1" w:rsidP="00C526E7">
      <w:pPr>
        <w:pStyle w:val="ListParagraph"/>
        <w:numPr>
          <w:ilvl w:val="0"/>
          <w:numId w:val="2"/>
        </w:numPr>
        <w:snapToGrid w:val="0"/>
        <w:spacing w:before="120" w:after="240" w:line="360" w:lineRule="auto"/>
        <w:ind w:left="357" w:hanging="357"/>
        <w:contextualSpacing w:val="0"/>
        <w:jc w:val="both"/>
        <w:rPr>
          <w:rFonts w:ascii="Arial" w:eastAsia="MS Mincho" w:hAnsi="Arial" w:cs="Arial"/>
          <w:b/>
          <w:bCs/>
          <w:sz w:val="24"/>
          <w:szCs w:val="24"/>
          <w:lang w:bidi="en-US"/>
        </w:rPr>
      </w:pPr>
      <w:r w:rsidRPr="00437356">
        <w:rPr>
          <w:rFonts w:ascii="Arial" w:eastAsia="MS Mincho" w:hAnsi="Arial" w:cs="Arial"/>
          <w:b/>
          <w:bCs/>
          <w:sz w:val="24"/>
          <w:szCs w:val="24"/>
          <w:lang w:bidi="en-US"/>
        </w:rPr>
        <w:t>Certainty of Subject Matter</w:t>
      </w:r>
    </w:p>
    <w:p w14:paraId="232CC1FC" w14:textId="32A81AD3" w:rsidR="00C3444E" w:rsidRPr="00437356" w:rsidRDefault="00C3444E" w:rsidP="00C526E7">
      <w:pPr>
        <w:pStyle w:val="ListParagraph"/>
        <w:numPr>
          <w:ilvl w:val="0"/>
          <w:numId w:val="34"/>
        </w:numPr>
        <w:snapToGrid w:val="0"/>
        <w:spacing w:after="120" w:line="360" w:lineRule="auto"/>
        <w:contextualSpacing w:val="0"/>
        <w:jc w:val="both"/>
        <w:rPr>
          <w:rFonts w:ascii="Arial" w:eastAsia="Times New Roman" w:hAnsi="Arial" w:cs="Arial"/>
          <w:b/>
          <w:bCs/>
          <w:iCs/>
          <w:lang w:bidi="en-US"/>
        </w:rPr>
      </w:pPr>
      <w:r w:rsidRPr="00437356">
        <w:rPr>
          <w:rFonts w:ascii="Arial" w:eastAsia="Times New Roman" w:hAnsi="Arial" w:cs="Arial"/>
          <w:b/>
          <w:bCs/>
          <w:iCs/>
          <w:lang w:bidi="en-US"/>
        </w:rPr>
        <w:t>Introduction</w:t>
      </w:r>
    </w:p>
    <w:p w14:paraId="071A95AD" w14:textId="10384E31" w:rsidR="00C3444E" w:rsidRPr="00437356" w:rsidRDefault="00C3444E" w:rsidP="00C526E7">
      <w:pPr>
        <w:snapToGrid w:val="0"/>
        <w:spacing w:after="120" w:line="360" w:lineRule="auto"/>
        <w:jc w:val="both"/>
        <w:rPr>
          <w:rFonts w:ascii="Arial" w:eastAsia="Times New Roman" w:hAnsi="Arial" w:cs="Arial"/>
          <w:iCs/>
          <w:lang w:bidi="en-US"/>
        </w:rPr>
      </w:pPr>
      <w:r w:rsidRPr="00437356">
        <w:rPr>
          <w:rFonts w:ascii="Arial" w:eastAsia="Times New Roman" w:hAnsi="Arial" w:cs="Arial"/>
          <w:iCs/>
          <w:lang w:bidi="en-US"/>
        </w:rPr>
        <w:t xml:space="preserve">In addition to there being present an intention to create a trust by the settlor or testator (certainty of intention), the assets </w:t>
      </w:r>
      <w:r w:rsidR="009D5787" w:rsidRPr="00437356">
        <w:rPr>
          <w:rFonts w:ascii="Arial" w:eastAsia="Times New Roman" w:hAnsi="Arial" w:cs="Arial"/>
          <w:iCs/>
          <w:lang w:bidi="en-US"/>
        </w:rPr>
        <w:t xml:space="preserve">– the trust property or trust fund – </w:t>
      </w:r>
      <w:r w:rsidRPr="00437356">
        <w:rPr>
          <w:rFonts w:ascii="Arial" w:eastAsia="Times New Roman" w:hAnsi="Arial" w:cs="Arial"/>
          <w:iCs/>
          <w:lang w:bidi="en-US"/>
        </w:rPr>
        <w:t xml:space="preserve">that are subject to the trust must also be certain (certainty of subject matter). The question of subject matter usually poses fewer problems where a trust is created by transferring property to a trustee, as this property will need to be clearly identified in order to be transferred. However, where the trust is self-declared or arises over a portion of property already held by the trustee, the wording of the trust declaration is crucial.   </w:t>
      </w:r>
    </w:p>
    <w:p w14:paraId="21ECB902" w14:textId="77777777" w:rsidR="00C3444E" w:rsidRPr="00437356" w:rsidRDefault="00C3444E" w:rsidP="00C526E7">
      <w:pPr>
        <w:snapToGrid w:val="0"/>
        <w:spacing w:after="120" w:line="360" w:lineRule="auto"/>
        <w:jc w:val="both"/>
        <w:rPr>
          <w:rFonts w:ascii="Arial" w:eastAsia="Times New Roman" w:hAnsi="Arial" w:cs="Arial"/>
          <w:lang w:bidi="en-US"/>
        </w:rPr>
      </w:pPr>
    </w:p>
    <w:p w14:paraId="11824D2F" w14:textId="741D6CCE" w:rsidR="00C3444E" w:rsidRPr="00437356" w:rsidRDefault="00C3444E" w:rsidP="00C526E7">
      <w:pPr>
        <w:pStyle w:val="ListParagraph"/>
        <w:numPr>
          <w:ilvl w:val="0"/>
          <w:numId w:val="34"/>
        </w:numPr>
        <w:snapToGrid w:val="0"/>
        <w:spacing w:after="120" w:line="360" w:lineRule="auto"/>
        <w:contextualSpacing w:val="0"/>
        <w:jc w:val="both"/>
        <w:rPr>
          <w:rFonts w:ascii="Arial" w:eastAsia="Times New Roman" w:hAnsi="Arial" w:cs="Arial"/>
          <w:b/>
          <w:bCs/>
          <w:lang w:bidi="en-US"/>
        </w:rPr>
      </w:pPr>
      <w:r w:rsidRPr="00437356">
        <w:rPr>
          <w:rFonts w:ascii="Arial" w:eastAsia="Times New Roman" w:hAnsi="Arial" w:cs="Arial"/>
          <w:b/>
          <w:bCs/>
          <w:lang w:bidi="en-US"/>
        </w:rPr>
        <w:t>Portions</w:t>
      </w:r>
    </w:p>
    <w:p w14:paraId="60460F83" w14:textId="0D63891A" w:rsidR="00011CDE" w:rsidRPr="00437356" w:rsidRDefault="00C3444E" w:rsidP="00C526E7">
      <w:pPr>
        <w:snapToGrid w:val="0"/>
        <w:spacing w:after="120" w:line="360" w:lineRule="auto"/>
        <w:jc w:val="both"/>
        <w:rPr>
          <w:rFonts w:ascii="Arial" w:eastAsia="MS Mincho" w:hAnsi="Arial" w:cs="Arial"/>
          <w:i/>
          <w:lang w:bidi="en-US"/>
        </w:rPr>
      </w:pPr>
      <w:r w:rsidRPr="000D3EF9">
        <w:rPr>
          <w:rFonts w:ascii="Arial" w:eastAsia="Times New Roman" w:hAnsi="Arial" w:cs="Arial"/>
          <w:u w:val="single"/>
          <w:lang w:bidi="en-US"/>
        </w:rPr>
        <w:t>No trust is created when the provisions do not allow the subject matter of the trust to be clearly identified</w:t>
      </w:r>
      <w:r w:rsidRPr="00437356">
        <w:rPr>
          <w:rFonts w:ascii="Arial" w:eastAsia="Times New Roman" w:hAnsi="Arial" w:cs="Arial"/>
          <w:lang w:bidi="en-US"/>
        </w:rPr>
        <w:t xml:space="preserve">. </w:t>
      </w:r>
      <w:r w:rsidR="00011CDE" w:rsidRPr="00437356">
        <w:rPr>
          <w:rFonts w:ascii="Arial" w:eastAsia="Times New Roman" w:hAnsi="Arial" w:cs="Arial"/>
          <w:lang w:bidi="en-US"/>
        </w:rPr>
        <w:t xml:space="preserve">These kinds of cases have tended to arise when there is a gift by will to a legatee, coupled with a provision that attempts to require the legatee to hold a </w:t>
      </w:r>
      <w:proofErr w:type="gramStart"/>
      <w:r w:rsidR="00011CDE" w:rsidRPr="00437356">
        <w:rPr>
          <w:rFonts w:ascii="Arial" w:eastAsia="Times New Roman" w:hAnsi="Arial" w:cs="Arial"/>
          <w:lang w:bidi="en-US"/>
        </w:rPr>
        <w:t>poorly-defined</w:t>
      </w:r>
      <w:proofErr w:type="gramEnd"/>
      <w:r w:rsidR="00011CDE" w:rsidRPr="00437356">
        <w:rPr>
          <w:rFonts w:ascii="Arial" w:eastAsia="Times New Roman" w:hAnsi="Arial" w:cs="Arial"/>
          <w:lang w:bidi="en-US"/>
        </w:rPr>
        <w:t xml:space="preserve"> portion of the legacy on trust for someone else. For example, </w:t>
      </w:r>
      <w:r w:rsidR="00011CDE" w:rsidRPr="00437356">
        <w:rPr>
          <w:rFonts w:ascii="Arial" w:hAnsi="Arial" w:cs="Arial"/>
        </w:rPr>
        <w:t xml:space="preserve">in </w:t>
      </w:r>
      <w:proofErr w:type="spellStart"/>
      <w:r w:rsidR="00011CDE" w:rsidRPr="00437356">
        <w:rPr>
          <w:rFonts w:ascii="Arial" w:hAnsi="Arial" w:cs="Arial"/>
          <w:i/>
        </w:rPr>
        <w:t>Sprange</w:t>
      </w:r>
      <w:proofErr w:type="spellEnd"/>
      <w:r w:rsidR="00011CDE" w:rsidRPr="00437356">
        <w:rPr>
          <w:rFonts w:ascii="Arial" w:hAnsi="Arial" w:cs="Arial"/>
          <w:i/>
        </w:rPr>
        <w:t xml:space="preserve"> v Barnard</w:t>
      </w:r>
      <w:r w:rsidR="00011CDE" w:rsidRPr="00437356">
        <w:rPr>
          <w:rFonts w:ascii="Arial" w:hAnsi="Arial" w:cs="Arial"/>
        </w:rPr>
        <w:t xml:space="preserve"> (1789) 2 Bro CC 585, the </w:t>
      </w:r>
      <w:r w:rsidR="009D5787" w:rsidRPr="00437356">
        <w:rPr>
          <w:rFonts w:ascii="Arial" w:hAnsi="Arial" w:cs="Arial"/>
        </w:rPr>
        <w:t>testatrix</w:t>
      </w:r>
      <w:r w:rsidR="00011CDE" w:rsidRPr="00437356">
        <w:rPr>
          <w:rFonts w:ascii="Arial" w:hAnsi="Arial" w:cs="Arial"/>
        </w:rPr>
        <w:t xml:space="preserve"> bequeathed property to her husband ‘for his sole use; and at his death, the remaining part of what is left, that he does not want for his own wants and use to be divided between my brother </w:t>
      </w:r>
      <w:r w:rsidR="00011CDE" w:rsidRPr="00437356">
        <w:rPr>
          <w:rStyle w:val="Emphasis"/>
          <w:rFonts w:ascii="Arial" w:hAnsi="Arial" w:cs="Arial"/>
        </w:rPr>
        <w:t xml:space="preserve">John </w:t>
      </w:r>
      <w:proofErr w:type="spellStart"/>
      <w:proofErr w:type="gramStart"/>
      <w:r w:rsidR="00011CDE" w:rsidRPr="00437356">
        <w:rPr>
          <w:rStyle w:val="Emphasis"/>
          <w:rFonts w:ascii="Arial" w:hAnsi="Arial" w:cs="Arial"/>
        </w:rPr>
        <w:t>Crapps</w:t>
      </w:r>
      <w:proofErr w:type="spellEnd"/>
      <w:r w:rsidR="00011CDE" w:rsidRPr="00437356">
        <w:rPr>
          <w:rStyle w:val="Emphasis"/>
          <w:rFonts w:ascii="Arial" w:hAnsi="Arial" w:cs="Arial"/>
        </w:rPr>
        <w:t xml:space="preserve"> </w:t>
      </w:r>
      <w:r w:rsidR="00011CDE" w:rsidRPr="00437356">
        <w:rPr>
          <w:rFonts w:ascii="Arial" w:hAnsi="Arial" w:cs="Arial"/>
        </w:rPr>
        <w:t>,</w:t>
      </w:r>
      <w:proofErr w:type="gramEnd"/>
      <w:r w:rsidR="00011CDE" w:rsidRPr="00437356">
        <w:rPr>
          <w:rFonts w:ascii="Arial" w:hAnsi="Arial" w:cs="Arial"/>
        </w:rPr>
        <w:t xml:space="preserve"> my sister </w:t>
      </w:r>
      <w:r w:rsidR="00011CDE" w:rsidRPr="00437356">
        <w:rPr>
          <w:rStyle w:val="Emphasis"/>
          <w:rFonts w:ascii="Arial" w:hAnsi="Arial" w:cs="Arial"/>
        </w:rPr>
        <w:t xml:space="preserve">Wickenden </w:t>
      </w:r>
      <w:r w:rsidR="00011CDE" w:rsidRPr="00437356">
        <w:rPr>
          <w:rFonts w:ascii="Arial" w:hAnsi="Arial" w:cs="Arial"/>
        </w:rPr>
        <w:t xml:space="preserve">, and my sister </w:t>
      </w:r>
      <w:proofErr w:type="spellStart"/>
      <w:r w:rsidR="00011CDE" w:rsidRPr="00437356">
        <w:rPr>
          <w:rStyle w:val="Emphasis"/>
          <w:rFonts w:ascii="Arial" w:hAnsi="Arial" w:cs="Arial"/>
        </w:rPr>
        <w:t>Bauden</w:t>
      </w:r>
      <w:proofErr w:type="spellEnd"/>
      <w:r w:rsidR="00011CDE" w:rsidRPr="00437356">
        <w:rPr>
          <w:rStyle w:val="Emphasis"/>
          <w:rFonts w:ascii="Arial" w:hAnsi="Arial" w:cs="Arial"/>
        </w:rPr>
        <w:t xml:space="preserve"> </w:t>
      </w:r>
      <w:r w:rsidR="00011CDE" w:rsidRPr="00437356">
        <w:rPr>
          <w:rFonts w:ascii="Arial" w:hAnsi="Arial" w:cs="Arial"/>
        </w:rPr>
        <w:t xml:space="preserve">, to be equally divided between them.’ After the death of the testatrix, the husband claimed that the property was his absolutely, whilst the brother and sister claimed that there was a trust. It was held that there was no trust because the subject matter was uncertain. Thus, the husband took absolutely. Similarly, </w:t>
      </w:r>
      <w:r w:rsidR="00011CDE" w:rsidRPr="00437356">
        <w:rPr>
          <w:rFonts w:ascii="Arial" w:eastAsia="Times New Roman" w:hAnsi="Arial" w:cs="Arial"/>
          <w:lang w:bidi="en-US"/>
        </w:rPr>
        <w:t xml:space="preserve">In </w:t>
      </w:r>
      <w:r w:rsidR="00011CDE" w:rsidRPr="00437356">
        <w:rPr>
          <w:rFonts w:ascii="Arial" w:eastAsia="Times New Roman" w:hAnsi="Arial" w:cs="Arial"/>
          <w:i/>
          <w:lang w:bidi="en-US"/>
        </w:rPr>
        <w:t>Palmer v Simmonds</w:t>
      </w:r>
      <w:r w:rsidR="00011CDE" w:rsidRPr="00437356">
        <w:rPr>
          <w:rFonts w:ascii="Arial" w:eastAsia="Times New Roman" w:hAnsi="Arial" w:cs="Arial"/>
          <w:lang w:bidi="en-US"/>
        </w:rPr>
        <w:t xml:space="preserve"> (1854) 2 Drew 221 a testatrix attempted to create a trust of “the bulk of my residuary estate.” There was no valid trust because the term ‘bulk’ was too uncertain to identify a definite part of the estate. However, ‘everything’ or ‘my entire wealth’ is sufficiently certain (</w:t>
      </w:r>
      <w:r w:rsidR="00011CDE" w:rsidRPr="00437356">
        <w:rPr>
          <w:rFonts w:ascii="Arial" w:eastAsia="Times New Roman" w:hAnsi="Arial" w:cs="Arial"/>
          <w:i/>
          <w:lang w:bidi="en-US"/>
        </w:rPr>
        <w:t xml:space="preserve">T. </w:t>
      </w:r>
      <w:proofErr w:type="spellStart"/>
      <w:r w:rsidR="00011CDE" w:rsidRPr="00437356">
        <w:rPr>
          <w:rFonts w:ascii="Arial" w:eastAsia="Times New Roman" w:hAnsi="Arial" w:cs="Arial"/>
          <w:i/>
          <w:lang w:bidi="en-US"/>
        </w:rPr>
        <w:t>Choithram</w:t>
      </w:r>
      <w:proofErr w:type="spellEnd"/>
      <w:r w:rsidR="00011CDE" w:rsidRPr="00437356">
        <w:rPr>
          <w:rFonts w:ascii="Arial" w:eastAsia="Times New Roman" w:hAnsi="Arial" w:cs="Arial"/>
          <w:i/>
          <w:lang w:bidi="en-US"/>
        </w:rPr>
        <w:t xml:space="preserve"> </w:t>
      </w:r>
      <w:proofErr w:type="spellStart"/>
      <w:r w:rsidR="00011CDE" w:rsidRPr="00437356">
        <w:rPr>
          <w:rFonts w:ascii="Arial" w:eastAsia="Times New Roman" w:hAnsi="Arial" w:cs="Arial"/>
          <w:i/>
          <w:lang w:bidi="en-US"/>
        </w:rPr>
        <w:t>Inernational</w:t>
      </w:r>
      <w:proofErr w:type="spellEnd"/>
      <w:r w:rsidR="00011CDE" w:rsidRPr="00437356">
        <w:rPr>
          <w:rFonts w:ascii="Arial" w:eastAsia="Times New Roman" w:hAnsi="Arial" w:cs="Arial"/>
          <w:i/>
          <w:lang w:bidi="en-US"/>
        </w:rPr>
        <w:t xml:space="preserve"> SA v </w:t>
      </w:r>
      <w:proofErr w:type="spellStart"/>
      <w:r w:rsidR="00011CDE" w:rsidRPr="00437356">
        <w:rPr>
          <w:rFonts w:ascii="Arial" w:eastAsia="Times New Roman" w:hAnsi="Arial" w:cs="Arial"/>
          <w:i/>
          <w:lang w:bidi="en-US"/>
        </w:rPr>
        <w:t>Pagarani</w:t>
      </w:r>
      <w:proofErr w:type="spellEnd"/>
      <w:r w:rsidR="00011CDE" w:rsidRPr="00437356">
        <w:rPr>
          <w:rFonts w:ascii="Arial" w:eastAsia="Times New Roman" w:hAnsi="Arial" w:cs="Arial"/>
          <w:lang w:bidi="en-US"/>
        </w:rPr>
        <w:t xml:space="preserve"> [2001] 1 WLR 1</w:t>
      </w:r>
      <w:r w:rsidR="00EE6142" w:rsidRPr="00437356">
        <w:rPr>
          <w:rFonts w:ascii="Arial" w:eastAsia="Times New Roman" w:hAnsi="Arial" w:cs="Arial"/>
          <w:lang w:bidi="en-US"/>
        </w:rPr>
        <w:t>, even if the case is a bit controversial</w:t>
      </w:r>
      <w:r w:rsidR="00011CDE" w:rsidRPr="00437356">
        <w:rPr>
          <w:rFonts w:ascii="Arial" w:eastAsia="Times New Roman" w:hAnsi="Arial" w:cs="Arial"/>
          <w:lang w:bidi="en-US"/>
        </w:rPr>
        <w:t xml:space="preserve">). </w:t>
      </w:r>
    </w:p>
    <w:p w14:paraId="0F250836" w14:textId="35CA8105" w:rsidR="00C3444E" w:rsidRPr="00437356" w:rsidRDefault="00011CDE" w:rsidP="00C526E7">
      <w:pPr>
        <w:widowControl w:val="0"/>
        <w:suppressAutoHyphens/>
        <w:snapToGrid w:val="0"/>
        <w:spacing w:after="120" w:line="360" w:lineRule="auto"/>
        <w:jc w:val="both"/>
        <w:textAlignment w:val="baseline"/>
        <w:rPr>
          <w:rFonts w:ascii="Arial" w:hAnsi="Arial" w:cs="Arial"/>
          <w:b/>
        </w:rPr>
      </w:pPr>
      <w:r w:rsidRPr="00437356">
        <w:rPr>
          <w:rFonts w:ascii="Arial" w:eastAsia="Times New Roman" w:hAnsi="Arial" w:cs="Arial"/>
          <w:lang w:bidi="en-US"/>
        </w:rPr>
        <w:t xml:space="preserve">Note that, </w:t>
      </w:r>
      <w:r w:rsidRPr="00437356">
        <w:rPr>
          <w:rFonts w:ascii="Arial" w:hAnsi="Arial" w:cs="Arial"/>
        </w:rPr>
        <w:t xml:space="preserve">in all cases where there is an absolute gift with a failed trust over ‘whatever is left’, the would-be-trustee, like the husband in </w:t>
      </w:r>
      <w:proofErr w:type="spellStart"/>
      <w:r w:rsidRPr="00437356">
        <w:rPr>
          <w:rFonts w:ascii="Arial" w:hAnsi="Arial" w:cs="Arial"/>
          <w:i/>
        </w:rPr>
        <w:t>Sprange</w:t>
      </w:r>
      <w:proofErr w:type="spellEnd"/>
      <w:r w:rsidRPr="00437356">
        <w:rPr>
          <w:rFonts w:ascii="Arial" w:hAnsi="Arial" w:cs="Arial"/>
          <w:i/>
        </w:rPr>
        <w:t xml:space="preserve">, </w:t>
      </w:r>
      <w:r w:rsidRPr="00437356">
        <w:rPr>
          <w:rFonts w:ascii="Arial" w:hAnsi="Arial" w:cs="Arial"/>
        </w:rPr>
        <w:t>takes absolutely.</w:t>
      </w:r>
      <w:r w:rsidRPr="00437356">
        <w:rPr>
          <w:rFonts w:ascii="Arial" w:hAnsi="Arial" w:cs="Arial"/>
          <w:b/>
        </w:rPr>
        <w:t xml:space="preserve"> </w:t>
      </w:r>
      <w:r w:rsidRPr="00437356">
        <w:rPr>
          <w:rFonts w:ascii="Arial" w:hAnsi="Arial" w:cs="Arial"/>
        </w:rPr>
        <w:t xml:space="preserve">This is known as the rule in </w:t>
      </w:r>
      <w:r w:rsidRPr="00437356">
        <w:rPr>
          <w:rFonts w:ascii="Arial" w:hAnsi="Arial" w:cs="Arial"/>
          <w:i/>
          <w:iCs/>
        </w:rPr>
        <w:t xml:space="preserve">Hancock v Watson </w:t>
      </w:r>
      <w:r w:rsidRPr="00437356">
        <w:rPr>
          <w:rFonts w:ascii="Arial" w:hAnsi="Arial" w:cs="Arial"/>
        </w:rPr>
        <w:t xml:space="preserve">[1902] AC 14. Lord Davey explained the rule thus [at 22]: ‘if you find an </w:t>
      </w:r>
      <w:r w:rsidRPr="00437356">
        <w:rPr>
          <w:rFonts w:ascii="Arial" w:hAnsi="Arial" w:cs="Arial"/>
        </w:rPr>
        <w:lastRenderedPageBreak/>
        <w:t>absolute gift to a legatee… and trusts are engrafted or imposed on that absolute interest which fail… then the absolute gift takes effect’.</w:t>
      </w:r>
    </w:p>
    <w:p w14:paraId="1AB8ABC1" w14:textId="77777777" w:rsidR="00C3444E" w:rsidRPr="00437356" w:rsidRDefault="00C3444E" w:rsidP="00C526E7">
      <w:pPr>
        <w:snapToGrid w:val="0"/>
        <w:spacing w:after="120" w:line="360" w:lineRule="auto"/>
        <w:jc w:val="both"/>
        <w:rPr>
          <w:rFonts w:ascii="Arial" w:eastAsia="MS Mincho" w:hAnsi="Arial" w:cs="Arial"/>
          <w:lang w:bidi="en-US"/>
        </w:rPr>
      </w:pPr>
    </w:p>
    <w:p w14:paraId="39A1BE11" w14:textId="58880943" w:rsidR="00C3444E" w:rsidRPr="00437356" w:rsidRDefault="00C3444E" w:rsidP="00C526E7">
      <w:pPr>
        <w:pStyle w:val="ListParagraph"/>
        <w:numPr>
          <w:ilvl w:val="0"/>
          <w:numId w:val="34"/>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t>Tangible property in a homogenous mass</w:t>
      </w:r>
    </w:p>
    <w:p w14:paraId="0D055970" w14:textId="4F386EB9"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A trust over some parts of a mass of tangible property made up of identical parts (e.g., sheep, bottles of wine etc.) will fail unless the individual parts to be held on trust have been identified (e.g., through segregation). Trusts over the whole or a percentage part (e.g., 50%) are however valid (</w:t>
      </w:r>
      <w:r w:rsidRPr="00437356">
        <w:rPr>
          <w:rFonts w:ascii="Arial" w:eastAsia="MS Mincho" w:hAnsi="Arial" w:cs="Arial"/>
          <w:i/>
          <w:lang w:bidi="en-US"/>
        </w:rPr>
        <w:t>Re London Wine Co (Shippers) Ltd</w:t>
      </w:r>
      <w:r w:rsidRPr="00437356">
        <w:rPr>
          <w:rFonts w:ascii="Arial" w:eastAsia="MS Mincho" w:hAnsi="Arial" w:cs="Arial"/>
          <w:lang w:bidi="en-US"/>
        </w:rPr>
        <w:t xml:space="preserve"> (1986) PCC 121).</w:t>
      </w:r>
    </w:p>
    <w:p w14:paraId="2144C733" w14:textId="77777777"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i/>
          <w:lang w:bidi="en-US"/>
        </w:rPr>
        <w:t>Re London Wine Co (Shippers) Ltd</w:t>
      </w:r>
      <w:r w:rsidRPr="00437356">
        <w:rPr>
          <w:rFonts w:ascii="Arial" w:eastAsia="MS Mincho" w:hAnsi="Arial" w:cs="Arial"/>
          <w:lang w:bidi="en-US"/>
        </w:rPr>
        <w:t xml:space="preserve"> (1986) PCC 121 concerned wine merchants who had large stocks of wine stored in various warehouses. They operated a system whereby customers would purchase wine from them for investment or laying down. The contracts of sale contemplated that the wine would become the property of customers but would be stored by the company. Customers’ purchases would be entered into the company’s stock book and allocated a reference number identifying in which warehouse they were located. The company provided its customers with a certificate which stated that customers were sole beneficial owners of the wine they had purchased. However, customers’ orders were not segregated from the general stocks of wine until actual delivery. When the company went into liquidation the question arose whether the arrangement created trusts for the customers. Oliver J held that there were no valid trusts. There was a lack of certainty of subject matter because the wine had not been appropriated from the general stock. No particular customer was able to point to specific bottles of wine that were theirs. </w:t>
      </w:r>
    </w:p>
    <w:p w14:paraId="669ABB21" w14:textId="77777777"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i/>
          <w:iCs/>
          <w:lang w:bidi="en-US"/>
        </w:rPr>
        <w:t>Re Goldcorp Exchange</w:t>
      </w:r>
      <w:r w:rsidRPr="00437356">
        <w:rPr>
          <w:rFonts w:ascii="Arial" w:eastAsia="MS Mincho" w:hAnsi="Arial" w:cs="Arial"/>
          <w:lang w:bidi="en-US"/>
        </w:rPr>
        <w:t xml:space="preserve"> Ltd [1995] 1 AC 74 concerned a bullion exchange that went into insolvency. It acted for clients by acquiring bullion for them. However, it offered a further service as well; it would act as a depositary for the bullion which its clients had asked it to buy. The terms of the contract with its clients required Goldcorp to buy and physically hold in its vaults all of the weight of bullion specified in the client’s order rather than simply requiring Goldcorp to acquire that amount of bullion should the buyer ask for delivery of the bullion. Each customer received a certificate or invoice verifying his/her ownership of the bullion. The problem was that Goldcorp was in financial difficulties and in breach of its contracts with its clients; it failed to buy all of the bullion in the customers’ orders. When Goldcorp went into insolvency, it therefore did not hold enough bullion to satisfy all of its clients’ orders even though the clients had already paid for the bullion. The clients tried to establish that the bullion held in stock was held on trust for them. The Privy Council held that no trust had been declared or intended, as the bullion stock was constantly fluctuating and was made up of sold and unsold bullion, so that it was not possible to identify which belonged to which customer.</w:t>
      </w:r>
    </w:p>
    <w:p w14:paraId="5909C564" w14:textId="77777777"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lastRenderedPageBreak/>
        <w:t>Note that</w:t>
      </w:r>
      <w:r w:rsidRPr="00437356">
        <w:rPr>
          <w:rFonts w:ascii="Arial" w:eastAsia="MS Mincho" w:hAnsi="Arial" w:cs="Arial"/>
          <w:i/>
          <w:lang w:bidi="en-US"/>
        </w:rPr>
        <w:t xml:space="preserve"> </w:t>
      </w:r>
      <w:r w:rsidRPr="00437356">
        <w:rPr>
          <w:rFonts w:ascii="Arial" w:eastAsia="MS Mincho" w:hAnsi="Arial" w:cs="Arial"/>
          <w:lang w:bidi="en-US"/>
        </w:rPr>
        <w:t xml:space="preserve">when </w:t>
      </w:r>
      <w:r w:rsidRPr="00437356">
        <w:rPr>
          <w:rFonts w:ascii="Arial" w:eastAsia="MS Mincho" w:hAnsi="Arial" w:cs="Arial"/>
          <w:i/>
          <w:lang w:bidi="en-US"/>
        </w:rPr>
        <w:t>Re Goldcorp</w:t>
      </w:r>
      <w:r w:rsidRPr="00437356">
        <w:rPr>
          <w:rFonts w:ascii="Arial" w:eastAsia="MS Mincho" w:hAnsi="Arial" w:cs="Arial"/>
          <w:lang w:bidi="en-US"/>
        </w:rPr>
        <w:t xml:space="preserve"> was being heard by the Privy Council, the Court of Appeal had not yet given judgment in </w:t>
      </w:r>
      <w:r w:rsidRPr="00437356">
        <w:rPr>
          <w:rFonts w:ascii="Arial" w:eastAsia="MS Mincho" w:hAnsi="Arial" w:cs="Arial"/>
          <w:i/>
          <w:lang w:bidi="en-US"/>
        </w:rPr>
        <w:t>Hunter v Moss</w:t>
      </w:r>
      <w:r w:rsidRPr="00437356">
        <w:rPr>
          <w:rFonts w:ascii="Arial" w:eastAsia="MS Mincho" w:hAnsi="Arial" w:cs="Arial"/>
          <w:lang w:bidi="en-US"/>
        </w:rPr>
        <w:t xml:space="preserve"> (see below).</w:t>
      </w:r>
    </w:p>
    <w:p w14:paraId="66E67673" w14:textId="77777777" w:rsidR="00C3444E" w:rsidRPr="00437356" w:rsidRDefault="00C3444E" w:rsidP="00C526E7">
      <w:pPr>
        <w:snapToGrid w:val="0"/>
        <w:spacing w:after="120" w:line="360" w:lineRule="auto"/>
        <w:jc w:val="both"/>
        <w:rPr>
          <w:rFonts w:ascii="Arial" w:eastAsia="MS Mincho" w:hAnsi="Arial" w:cs="Arial"/>
          <w:lang w:bidi="en-US"/>
        </w:rPr>
      </w:pPr>
    </w:p>
    <w:p w14:paraId="325B13E9" w14:textId="31732364" w:rsidR="00C3444E" w:rsidRPr="00437356" w:rsidRDefault="00C3444E" w:rsidP="00C526E7">
      <w:pPr>
        <w:pStyle w:val="ListParagraph"/>
        <w:numPr>
          <w:ilvl w:val="0"/>
          <w:numId w:val="34"/>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t>Intangible property in a homogenous mass</w:t>
      </w:r>
    </w:p>
    <w:p w14:paraId="6B17AE54" w14:textId="0C045A76"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A trust over some parts of a mass of intangible property made up of identical parts (e.g., money, shares etc.) will be valid even if no segregation occurred. In </w:t>
      </w:r>
      <w:r w:rsidRPr="00437356">
        <w:rPr>
          <w:rFonts w:ascii="Arial" w:eastAsia="MS Mincho" w:hAnsi="Arial" w:cs="Arial"/>
          <w:i/>
          <w:lang w:bidi="en-US"/>
        </w:rPr>
        <w:t>Hunter v Moss</w:t>
      </w:r>
      <w:r w:rsidRPr="00437356">
        <w:rPr>
          <w:rFonts w:ascii="Arial" w:eastAsia="MS Mincho" w:hAnsi="Arial" w:cs="Arial"/>
          <w:lang w:bidi="en-US"/>
        </w:rPr>
        <w:t xml:space="preserve"> [1994] 1 WLR 452 Mr Moss, who owned 950 shares in a private company, made an oral declaration of trust of 5 per cent of the issued share capital in favour of Mr Hunter. As the issued share capital was 1,000 shares, 5 per cent would have been 50 shares. However, there had been no appropriation or segregation of these shares. At first instance (</w:t>
      </w:r>
      <w:r w:rsidRPr="00437356">
        <w:rPr>
          <w:rFonts w:ascii="Arial" w:eastAsia="MS Mincho" w:hAnsi="Arial" w:cs="Arial"/>
          <w:i/>
          <w:lang w:bidi="en-US"/>
        </w:rPr>
        <w:t>Hunter v Moss</w:t>
      </w:r>
      <w:r w:rsidRPr="00437356">
        <w:rPr>
          <w:rFonts w:ascii="Arial" w:eastAsia="MS Mincho" w:hAnsi="Arial" w:cs="Arial"/>
          <w:lang w:bidi="en-US"/>
        </w:rPr>
        <w:t xml:space="preserve"> (1993) 1 WLR 934), Colin Rimer QC at 940 distinguished </w:t>
      </w:r>
      <w:r w:rsidRPr="00437356">
        <w:rPr>
          <w:rFonts w:ascii="Arial" w:eastAsia="MS Mincho" w:hAnsi="Arial" w:cs="Arial"/>
          <w:i/>
          <w:lang w:bidi="en-US"/>
        </w:rPr>
        <w:t>Re London Wine</w:t>
      </w:r>
      <w:r w:rsidRPr="00437356">
        <w:rPr>
          <w:rFonts w:ascii="Arial" w:eastAsia="MS Mincho" w:hAnsi="Arial" w:cs="Arial"/>
          <w:lang w:bidi="en-US"/>
        </w:rPr>
        <w:t xml:space="preserve">: </w:t>
      </w:r>
    </w:p>
    <w:p w14:paraId="0687C0CF" w14:textId="7172FFB8" w:rsidR="00C3444E" w:rsidRPr="00437356" w:rsidRDefault="00C3444E" w:rsidP="00C526E7">
      <w:pPr>
        <w:snapToGrid w:val="0"/>
        <w:spacing w:after="120" w:line="360" w:lineRule="auto"/>
        <w:ind w:left="720"/>
        <w:jc w:val="both"/>
        <w:rPr>
          <w:rFonts w:ascii="Arial" w:eastAsia="MS Mincho" w:hAnsi="Arial" w:cs="Arial"/>
          <w:lang w:bidi="en-US"/>
        </w:rPr>
      </w:pPr>
      <w:r w:rsidRPr="00437356">
        <w:rPr>
          <w:rFonts w:ascii="Arial" w:eastAsia="MS Mincho" w:hAnsi="Arial" w:cs="Arial"/>
          <w:lang w:bidi="en-US"/>
        </w:rPr>
        <w:t xml:space="preserve">“The decision was concerned solely with an alleged declaration of trust in respect of tangible assets in the nature of cases of wine. Even tangible assets which are regarded as forming part of a homogeneous mass are physically separate, and so distinguishable, from other assets comprised within the same mass. Further, certain of the assets in a group of ostensibly similar or identical assets may in fact have characteristics which distinguish them from other assets in the class. Consignments of wine provide a good example. Some of the cases in it may contain wine that is </w:t>
      </w:r>
      <w:proofErr w:type="gramStart"/>
      <w:r w:rsidRPr="00437356">
        <w:rPr>
          <w:rFonts w:ascii="Arial" w:eastAsia="MS Mincho" w:hAnsi="Arial" w:cs="Arial"/>
          <w:lang w:bidi="en-US"/>
        </w:rPr>
        <w:t>corked, or</w:t>
      </w:r>
      <w:proofErr w:type="gramEnd"/>
      <w:r w:rsidRPr="00437356">
        <w:rPr>
          <w:rFonts w:ascii="Arial" w:eastAsia="MS Mincho" w:hAnsi="Arial" w:cs="Arial"/>
          <w:lang w:bidi="en-US"/>
        </w:rPr>
        <w:t xml:space="preserve"> may have been stored badly and have deteriorated or may have other inherent defects. Oliver J. [in </w:t>
      </w:r>
      <w:r w:rsidRPr="00437356">
        <w:rPr>
          <w:rFonts w:ascii="Arial" w:eastAsia="MS Mincho" w:hAnsi="Arial" w:cs="Arial"/>
          <w:i/>
          <w:lang w:bidi="en-US"/>
        </w:rPr>
        <w:t>Re London Wine</w:t>
      </w:r>
      <w:r w:rsidRPr="00437356">
        <w:rPr>
          <w:rFonts w:ascii="Arial" w:eastAsia="MS Mincho" w:hAnsi="Arial" w:cs="Arial"/>
          <w:lang w:bidi="en-US"/>
        </w:rPr>
        <w:t xml:space="preserve">] held that, before any trust could be said to attach to any tangible assets comprised within a class of assets, the particular assets have to be identified. I do not, however, consider that the principle which he applied with regard to the </w:t>
      </w:r>
      <w:r w:rsidR="0072424D" w:rsidRPr="00437356">
        <w:rPr>
          <w:rFonts w:ascii="Arial" w:eastAsia="MS Mincho" w:hAnsi="Arial" w:cs="Arial"/>
          <w:lang w:bidi="en-US"/>
        </w:rPr>
        <w:t>certainty’s</w:t>
      </w:r>
      <w:r w:rsidRPr="00437356">
        <w:rPr>
          <w:rFonts w:ascii="Arial" w:eastAsia="MS Mincho" w:hAnsi="Arial" w:cs="Arial"/>
          <w:lang w:bidi="en-US"/>
        </w:rPr>
        <w:t xml:space="preserve"> requisite for the purposes of a trust relating to tangible assets is one which is necessarily also applicable by analogy to trusts of intangible assets, for example, to a purported trust of a specific sum of money forming part of a larger credit balance in a particular bank account. The latter trust will of course only be valid if its subject matter is certain. But the determination of whether the requisite degree of certainty has been achieved is, in my judgment, not necessarily governed by principles analogous to those which apply in the case of tangible assets.”</w:t>
      </w:r>
    </w:p>
    <w:p w14:paraId="20FC7515" w14:textId="77777777"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The distinction between tangible and intangible property set out in </w:t>
      </w:r>
      <w:r w:rsidRPr="00437356">
        <w:rPr>
          <w:rFonts w:ascii="Arial" w:eastAsia="MS Mincho" w:hAnsi="Arial" w:cs="Arial"/>
          <w:i/>
          <w:lang w:bidi="en-US"/>
        </w:rPr>
        <w:t>Hunter v Moss</w:t>
      </w:r>
      <w:r w:rsidRPr="00437356">
        <w:rPr>
          <w:rFonts w:ascii="Arial" w:eastAsia="MS Mincho" w:hAnsi="Arial" w:cs="Arial"/>
          <w:lang w:bidi="en-US"/>
        </w:rPr>
        <w:t xml:space="preserve"> was followed in </w:t>
      </w:r>
      <w:r w:rsidRPr="00437356">
        <w:rPr>
          <w:rFonts w:ascii="Arial" w:eastAsia="MS Mincho" w:hAnsi="Arial" w:cs="Arial"/>
          <w:i/>
          <w:lang w:bidi="en-US"/>
        </w:rPr>
        <w:t>Re Harvard Securities Ltd</w:t>
      </w:r>
      <w:r w:rsidRPr="00437356">
        <w:rPr>
          <w:rFonts w:ascii="Arial" w:eastAsia="MS Mincho" w:hAnsi="Arial" w:cs="Arial"/>
          <w:lang w:bidi="en-US"/>
        </w:rPr>
        <w:t xml:space="preserve"> [1997] 2 BCLC 369. In future, courts may adopt reasoning analogous to that employed for contracts for a quantity of unascertained goods; here, the purchaser becomes the co-owner (tenant in common) of the goods according to his/her share (see s. 20A Sale of Goods Act 1979).</w:t>
      </w:r>
    </w:p>
    <w:p w14:paraId="10245CBB" w14:textId="77777777" w:rsidR="00C3444E" w:rsidRPr="00437356" w:rsidRDefault="00C3444E" w:rsidP="00C526E7">
      <w:pPr>
        <w:snapToGrid w:val="0"/>
        <w:spacing w:after="120" w:line="360" w:lineRule="auto"/>
        <w:jc w:val="both"/>
        <w:rPr>
          <w:rFonts w:ascii="Arial" w:eastAsia="MS Mincho" w:hAnsi="Arial" w:cs="Arial"/>
          <w:lang w:bidi="en-US"/>
        </w:rPr>
      </w:pPr>
    </w:p>
    <w:p w14:paraId="5E062AF4" w14:textId="5F3D2CBA" w:rsidR="00C3444E" w:rsidRPr="00437356" w:rsidRDefault="00C3444E" w:rsidP="00C526E7">
      <w:pPr>
        <w:pStyle w:val="ListParagraph"/>
        <w:numPr>
          <w:ilvl w:val="0"/>
          <w:numId w:val="34"/>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lastRenderedPageBreak/>
        <w:t>Residue</w:t>
      </w:r>
    </w:p>
    <w:p w14:paraId="2DAAB53F" w14:textId="686C3831" w:rsidR="00C3444E" w:rsidRPr="00437356" w:rsidRDefault="00C3444E" w:rsidP="00C526E7">
      <w:pPr>
        <w:snapToGrid w:val="0"/>
        <w:spacing w:after="120" w:line="360" w:lineRule="auto"/>
        <w:jc w:val="both"/>
        <w:rPr>
          <w:rFonts w:ascii="Arial" w:eastAsia="Times New Roman" w:hAnsi="Arial" w:cs="Arial"/>
          <w:lang w:bidi="en-US"/>
        </w:rPr>
      </w:pPr>
      <w:r w:rsidRPr="00437356">
        <w:rPr>
          <w:rFonts w:ascii="Arial" w:eastAsia="Times New Roman" w:hAnsi="Arial" w:cs="Arial"/>
          <w:lang w:bidi="en-US"/>
        </w:rPr>
        <w:t xml:space="preserve">The term ‘residue’ does not present a problem as it has a clear legal meaning. It is what is left of the estate after all liabilities have been met and bequests made. </w:t>
      </w:r>
      <w:r w:rsidR="0072424D" w:rsidRPr="00437356">
        <w:rPr>
          <w:rFonts w:ascii="Arial" w:eastAsia="Times New Roman" w:hAnsi="Arial" w:cs="Arial"/>
          <w:lang w:bidi="en-US"/>
        </w:rPr>
        <w:t>So,</w:t>
      </w:r>
      <w:r w:rsidR="00BF04EF" w:rsidRPr="00437356">
        <w:rPr>
          <w:rFonts w:ascii="Arial" w:eastAsia="Times New Roman" w:hAnsi="Arial" w:cs="Arial"/>
          <w:lang w:bidi="en-US"/>
        </w:rPr>
        <w:t xml:space="preserve"> a trust of the residue of an estate will not fail for uncertainty of subject matter (see </w:t>
      </w:r>
      <w:r w:rsidR="00BF04EF" w:rsidRPr="00437356">
        <w:rPr>
          <w:rFonts w:ascii="Arial" w:eastAsia="Times New Roman" w:hAnsi="Arial" w:cs="Arial"/>
          <w:i/>
          <w:iCs/>
          <w:lang w:bidi="en-US"/>
        </w:rPr>
        <w:t>Re in the Estate of Last</w:t>
      </w:r>
      <w:r w:rsidR="00762745" w:rsidRPr="00437356">
        <w:rPr>
          <w:rFonts w:ascii="Arial" w:eastAsia="Times New Roman" w:hAnsi="Arial" w:cs="Arial"/>
          <w:i/>
          <w:iCs/>
          <w:lang w:bidi="en-US"/>
        </w:rPr>
        <w:t xml:space="preserve"> </w:t>
      </w:r>
      <w:r w:rsidR="00762745" w:rsidRPr="00437356">
        <w:rPr>
          <w:rFonts w:ascii="Arial" w:eastAsia="Times New Roman" w:hAnsi="Arial" w:cs="Arial"/>
          <w:lang w:bidi="en-US"/>
        </w:rPr>
        <w:t>[1958] P 137)</w:t>
      </w:r>
      <w:r w:rsidR="00BF04EF" w:rsidRPr="00437356">
        <w:rPr>
          <w:rFonts w:ascii="Arial" w:eastAsia="Times New Roman" w:hAnsi="Arial" w:cs="Arial"/>
          <w:i/>
          <w:iCs/>
          <w:lang w:bidi="en-US"/>
        </w:rPr>
        <w:t xml:space="preserve">. </w:t>
      </w:r>
      <w:r w:rsidRPr="00437356">
        <w:rPr>
          <w:rFonts w:ascii="Arial" w:eastAsia="Times New Roman" w:hAnsi="Arial" w:cs="Arial"/>
          <w:lang w:bidi="en-US"/>
        </w:rPr>
        <w:t xml:space="preserve">Note, however, that </w:t>
      </w:r>
      <w:r w:rsidR="00BF04EF" w:rsidRPr="00437356">
        <w:rPr>
          <w:rFonts w:ascii="Arial" w:eastAsia="Times New Roman" w:hAnsi="Arial" w:cs="Arial"/>
          <w:lang w:bidi="en-US"/>
        </w:rPr>
        <w:t xml:space="preserve">as we have seen,  </w:t>
      </w:r>
      <w:r w:rsidRPr="00437356">
        <w:rPr>
          <w:rFonts w:ascii="Arial" w:eastAsia="Times New Roman" w:hAnsi="Arial" w:cs="Arial"/>
          <w:lang w:bidi="en-US"/>
        </w:rPr>
        <w:t xml:space="preserve">a trust of the kind ‘to </w:t>
      </w:r>
      <w:r w:rsidR="00762745" w:rsidRPr="00437356">
        <w:rPr>
          <w:rFonts w:ascii="Arial" w:eastAsia="Times New Roman" w:hAnsi="Arial" w:cs="Arial"/>
          <w:lang w:bidi="en-US"/>
        </w:rPr>
        <w:t xml:space="preserve">X </w:t>
      </w:r>
      <w:r w:rsidRPr="00437356">
        <w:rPr>
          <w:rFonts w:ascii="Arial" w:eastAsia="Times New Roman" w:hAnsi="Arial" w:cs="Arial"/>
          <w:lang w:bidi="en-US"/>
        </w:rPr>
        <w:t xml:space="preserve">absolutely, and whatever is left that </w:t>
      </w:r>
      <w:r w:rsidR="00762745" w:rsidRPr="00437356">
        <w:rPr>
          <w:rFonts w:ascii="Arial" w:eastAsia="Times New Roman" w:hAnsi="Arial" w:cs="Arial"/>
          <w:lang w:bidi="en-US"/>
        </w:rPr>
        <w:t>X</w:t>
      </w:r>
      <w:r w:rsidRPr="00437356">
        <w:rPr>
          <w:rFonts w:ascii="Arial" w:eastAsia="Times New Roman" w:hAnsi="Arial" w:cs="Arial"/>
          <w:lang w:bidi="en-US"/>
        </w:rPr>
        <w:t xml:space="preserve"> does not want for </w:t>
      </w:r>
      <w:r w:rsidR="00762745" w:rsidRPr="00437356">
        <w:rPr>
          <w:rFonts w:ascii="Arial" w:eastAsia="Times New Roman" w:hAnsi="Arial" w:cs="Arial"/>
          <w:lang w:bidi="en-US"/>
        </w:rPr>
        <w:t>her</w:t>
      </w:r>
      <w:r w:rsidRPr="00437356">
        <w:rPr>
          <w:rFonts w:ascii="Arial" w:eastAsia="Times New Roman" w:hAnsi="Arial" w:cs="Arial"/>
          <w:lang w:bidi="en-US"/>
        </w:rPr>
        <w:t xml:space="preserve"> own use, to </w:t>
      </w:r>
      <w:r w:rsidR="00762745" w:rsidRPr="00437356">
        <w:rPr>
          <w:rFonts w:ascii="Arial" w:eastAsia="Times New Roman" w:hAnsi="Arial" w:cs="Arial"/>
          <w:lang w:bidi="en-US"/>
        </w:rPr>
        <w:t>Y</w:t>
      </w:r>
      <w:r w:rsidRPr="00437356">
        <w:rPr>
          <w:rFonts w:ascii="Arial" w:eastAsia="Times New Roman" w:hAnsi="Arial" w:cs="Arial"/>
          <w:lang w:bidi="en-US"/>
        </w:rPr>
        <w:t>’ fails for lack of certainty of subject matter (</w:t>
      </w:r>
      <w:proofErr w:type="spellStart"/>
      <w:r w:rsidRPr="00437356">
        <w:rPr>
          <w:rFonts w:ascii="Arial" w:eastAsia="Times New Roman" w:hAnsi="Arial" w:cs="Arial"/>
          <w:i/>
          <w:lang w:bidi="en-US"/>
        </w:rPr>
        <w:t>Sprange</w:t>
      </w:r>
      <w:proofErr w:type="spellEnd"/>
      <w:r w:rsidRPr="00437356">
        <w:rPr>
          <w:rFonts w:ascii="Arial" w:eastAsia="Times New Roman" w:hAnsi="Arial" w:cs="Arial"/>
          <w:i/>
          <w:lang w:bidi="en-US"/>
        </w:rPr>
        <w:t xml:space="preserve"> v Barnard</w:t>
      </w:r>
      <w:r w:rsidRPr="00437356">
        <w:rPr>
          <w:rFonts w:ascii="Arial" w:eastAsia="Times New Roman" w:hAnsi="Arial" w:cs="Arial"/>
          <w:lang w:bidi="en-US"/>
        </w:rPr>
        <w:t xml:space="preserve"> (1789) 2 Bro CC 585), as it cannot be said at the time that the trust comes into being what property will be left to be held on trust for </w:t>
      </w:r>
      <w:r w:rsidR="00762745" w:rsidRPr="00437356">
        <w:rPr>
          <w:rFonts w:ascii="Arial" w:eastAsia="Times New Roman" w:hAnsi="Arial" w:cs="Arial"/>
          <w:lang w:bidi="en-US"/>
        </w:rPr>
        <w:t>Y</w:t>
      </w:r>
      <w:r w:rsidRPr="00437356">
        <w:rPr>
          <w:rFonts w:ascii="Arial" w:eastAsia="Times New Roman" w:hAnsi="Arial" w:cs="Arial"/>
          <w:lang w:bidi="en-US"/>
        </w:rPr>
        <w:t xml:space="preserve"> (the </w:t>
      </w:r>
      <w:r w:rsidR="00762745" w:rsidRPr="00437356">
        <w:rPr>
          <w:rFonts w:ascii="Arial" w:eastAsia="Times New Roman" w:hAnsi="Arial" w:cs="Arial"/>
          <w:lang w:bidi="en-US"/>
        </w:rPr>
        <w:t>would-be-beneficiary</w:t>
      </w:r>
      <w:r w:rsidRPr="00437356">
        <w:rPr>
          <w:rFonts w:ascii="Arial" w:eastAsia="Times New Roman" w:hAnsi="Arial" w:cs="Arial"/>
          <w:lang w:bidi="en-US"/>
        </w:rPr>
        <w:t xml:space="preserve">). The solution in such a case might be to regard the trust obligation as ‘floating’ or ‘suspended’ until the death of </w:t>
      </w:r>
      <w:r w:rsidR="00762745" w:rsidRPr="00437356">
        <w:rPr>
          <w:rFonts w:ascii="Arial" w:eastAsia="Times New Roman" w:hAnsi="Arial" w:cs="Arial"/>
          <w:lang w:bidi="en-US"/>
        </w:rPr>
        <w:t>X</w:t>
      </w:r>
      <w:r w:rsidRPr="00437356">
        <w:rPr>
          <w:rFonts w:ascii="Arial" w:eastAsia="Times New Roman" w:hAnsi="Arial" w:cs="Arial"/>
          <w:lang w:bidi="en-US"/>
        </w:rPr>
        <w:t xml:space="preserve"> (the primary </w:t>
      </w:r>
      <w:proofErr w:type="spellStart"/>
      <w:r w:rsidRPr="00437356">
        <w:rPr>
          <w:rFonts w:ascii="Arial" w:eastAsia="Times New Roman" w:hAnsi="Arial" w:cs="Arial"/>
          <w:lang w:bidi="en-US"/>
        </w:rPr>
        <w:t>donee</w:t>
      </w:r>
      <w:proofErr w:type="spellEnd"/>
      <w:r w:rsidRPr="00437356">
        <w:rPr>
          <w:rFonts w:ascii="Arial" w:eastAsia="Times New Roman" w:hAnsi="Arial" w:cs="Arial"/>
          <w:lang w:bidi="en-US"/>
        </w:rPr>
        <w:t>), but there is a lack of relevant litigation in this area</w:t>
      </w:r>
      <w:r w:rsidR="00762745" w:rsidRPr="00437356">
        <w:rPr>
          <w:rFonts w:ascii="Arial" w:eastAsia="Times New Roman" w:hAnsi="Arial" w:cs="Arial"/>
          <w:lang w:bidi="en-US"/>
        </w:rPr>
        <w:t>, and no authorities which support this point.</w:t>
      </w:r>
    </w:p>
    <w:p w14:paraId="008459BB" w14:textId="77777777" w:rsidR="00C3444E" w:rsidRPr="00437356" w:rsidRDefault="00C3444E" w:rsidP="00C526E7">
      <w:pPr>
        <w:snapToGrid w:val="0"/>
        <w:spacing w:after="120" w:line="360" w:lineRule="auto"/>
        <w:jc w:val="both"/>
        <w:rPr>
          <w:rFonts w:ascii="Arial" w:eastAsia="Times New Roman" w:hAnsi="Arial" w:cs="Arial"/>
          <w:iCs/>
          <w:lang w:bidi="en-US"/>
        </w:rPr>
      </w:pPr>
    </w:p>
    <w:p w14:paraId="5705114C" w14:textId="3D4362C8" w:rsidR="003A3A06" w:rsidRPr="00437356" w:rsidRDefault="00C3444E" w:rsidP="00C526E7">
      <w:pPr>
        <w:pStyle w:val="ListParagraph"/>
        <w:numPr>
          <w:ilvl w:val="0"/>
          <w:numId w:val="34"/>
        </w:numPr>
        <w:snapToGrid w:val="0"/>
        <w:spacing w:after="120" w:line="360" w:lineRule="auto"/>
        <w:contextualSpacing w:val="0"/>
        <w:jc w:val="both"/>
        <w:rPr>
          <w:rFonts w:ascii="Arial" w:eastAsia="Times New Roman" w:hAnsi="Arial" w:cs="Arial"/>
          <w:b/>
          <w:bCs/>
          <w:iCs/>
          <w:lang w:bidi="en-US"/>
        </w:rPr>
      </w:pPr>
      <w:r w:rsidRPr="00437356">
        <w:rPr>
          <w:rFonts w:ascii="Arial" w:eastAsia="Times New Roman" w:hAnsi="Arial" w:cs="Arial"/>
          <w:b/>
          <w:bCs/>
          <w:iCs/>
          <w:lang w:bidi="en-US"/>
        </w:rPr>
        <w:t xml:space="preserve">Identifiable </w:t>
      </w:r>
      <w:r w:rsidR="00762745" w:rsidRPr="00437356">
        <w:rPr>
          <w:rFonts w:ascii="Arial" w:eastAsia="Times New Roman" w:hAnsi="Arial" w:cs="Arial"/>
          <w:b/>
          <w:bCs/>
          <w:iCs/>
          <w:lang w:bidi="en-US"/>
        </w:rPr>
        <w:t>P</w:t>
      </w:r>
      <w:r w:rsidRPr="00437356">
        <w:rPr>
          <w:rFonts w:ascii="Arial" w:eastAsia="Times New Roman" w:hAnsi="Arial" w:cs="Arial"/>
          <w:b/>
          <w:bCs/>
          <w:iCs/>
          <w:lang w:bidi="en-US"/>
        </w:rPr>
        <w:t>roperty</w:t>
      </w:r>
    </w:p>
    <w:p w14:paraId="578019F2" w14:textId="2C5B26D4" w:rsidR="000B788C" w:rsidRPr="00437356" w:rsidRDefault="000B788C" w:rsidP="00C526E7">
      <w:pPr>
        <w:snapToGrid w:val="0"/>
        <w:spacing w:after="120" w:line="360" w:lineRule="auto"/>
        <w:jc w:val="both"/>
        <w:rPr>
          <w:rFonts w:ascii="Arial" w:eastAsia="Times New Roman" w:hAnsi="Arial" w:cs="Arial"/>
          <w:lang w:bidi="en-US"/>
        </w:rPr>
      </w:pPr>
      <w:r w:rsidRPr="00437356">
        <w:rPr>
          <w:rFonts w:ascii="Arial" w:eastAsia="Times New Roman" w:hAnsi="Arial" w:cs="Arial"/>
          <w:lang w:bidi="en-US"/>
        </w:rPr>
        <w:t xml:space="preserve">A trust can only exist in relation to specific property. In </w:t>
      </w:r>
      <w:proofErr w:type="spellStart"/>
      <w:r w:rsidRPr="00437356">
        <w:rPr>
          <w:rFonts w:ascii="Arial" w:eastAsia="Times New Roman" w:hAnsi="Arial" w:cs="Arial"/>
          <w:i/>
          <w:iCs/>
          <w:lang w:bidi="en-US"/>
        </w:rPr>
        <w:t>Hemmens</w:t>
      </w:r>
      <w:proofErr w:type="spellEnd"/>
      <w:r w:rsidRPr="00437356">
        <w:rPr>
          <w:rFonts w:ascii="Arial" w:eastAsia="Times New Roman" w:hAnsi="Arial" w:cs="Arial"/>
          <w:i/>
          <w:iCs/>
          <w:lang w:bidi="en-US"/>
        </w:rPr>
        <w:t xml:space="preserve"> v Wilson Browne</w:t>
      </w:r>
      <w:r w:rsidRPr="00437356">
        <w:rPr>
          <w:rFonts w:ascii="Arial" w:eastAsia="Times New Roman" w:hAnsi="Arial" w:cs="Arial"/>
          <w:lang w:bidi="en-US"/>
        </w:rPr>
        <w:t xml:space="preserve"> (a firm) [1995] Ch 223, a negligence case, a solicitor was instructed by his client to draft a document granting the plaintiff, the client’s mistress, an immediately enforceable right to receive £110,000 on a specific date to enable her to purchase a house for herself and her daughter. After the document was drafted and executed, the solicitor informed the plaintiff that its effect was “akin to a trust” but advised her to consult her own solicitors regarding the matter. When the client subsequently refused to pay, one of the key issues was the effect of the document.</w:t>
      </w:r>
    </w:p>
    <w:p w14:paraId="085E8AEF" w14:textId="1034193A" w:rsidR="00C3444E" w:rsidRPr="00437356" w:rsidRDefault="000B788C" w:rsidP="00C526E7">
      <w:pPr>
        <w:snapToGrid w:val="0"/>
        <w:spacing w:after="120" w:line="360" w:lineRule="auto"/>
        <w:jc w:val="both"/>
        <w:rPr>
          <w:rFonts w:ascii="Arial" w:eastAsia="Times New Roman" w:hAnsi="Arial" w:cs="Arial"/>
          <w:lang w:bidi="en-US"/>
        </w:rPr>
      </w:pPr>
      <w:r w:rsidRPr="00437356">
        <w:rPr>
          <w:rFonts w:ascii="Arial" w:eastAsia="Times New Roman" w:hAnsi="Arial" w:cs="Arial"/>
          <w:lang w:bidi="en-US"/>
        </w:rPr>
        <w:t xml:space="preserve">The court found that there was no valid contract, as there was no </w:t>
      </w:r>
      <w:proofErr w:type="gramStart"/>
      <w:r w:rsidRPr="00437356">
        <w:rPr>
          <w:rFonts w:ascii="Arial" w:eastAsia="Times New Roman" w:hAnsi="Arial" w:cs="Arial"/>
          <w:lang w:bidi="en-US"/>
        </w:rPr>
        <w:t>consideration</w:t>
      </w:r>
      <w:proofErr w:type="gramEnd"/>
      <w:r w:rsidRPr="00437356">
        <w:rPr>
          <w:rFonts w:ascii="Arial" w:eastAsia="Times New Roman" w:hAnsi="Arial" w:cs="Arial"/>
          <w:lang w:bidi="en-US"/>
        </w:rPr>
        <w:t xml:space="preserve"> and the document was neither a deed nor a trust. Importantly, no specific property had been identified, which would have resulted in a trust over the client’s general assets. Consequently, the court concluded that there was no valid trust because there was “no identifiable fund to which any trust could attach</w:t>
      </w:r>
      <w:r w:rsidR="00C3444E" w:rsidRPr="00437356">
        <w:rPr>
          <w:rFonts w:ascii="Arial" w:eastAsia="Times New Roman" w:hAnsi="Arial" w:cs="Arial"/>
          <w:lang w:bidi="en-US"/>
        </w:rPr>
        <w:t>.”</w:t>
      </w:r>
    </w:p>
    <w:p w14:paraId="2E04ADCB" w14:textId="77777777" w:rsidR="00C3444E" w:rsidRPr="00437356" w:rsidRDefault="00C3444E" w:rsidP="00C526E7">
      <w:pPr>
        <w:snapToGrid w:val="0"/>
        <w:spacing w:after="120" w:line="360" w:lineRule="auto"/>
        <w:jc w:val="both"/>
        <w:rPr>
          <w:rFonts w:ascii="Arial" w:eastAsia="Times New Roman" w:hAnsi="Arial" w:cs="Arial"/>
          <w:lang w:bidi="en-US"/>
        </w:rPr>
      </w:pPr>
    </w:p>
    <w:p w14:paraId="048C1CB7" w14:textId="3BADA834" w:rsidR="00C3444E" w:rsidRPr="00437356" w:rsidRDefault="00C3444E" w:rsidP="00C526E7">
      <w:pPr>
        <w:pStyle w:val="ListParagraph"/>
        <w:numPr>
          <w:ilvl w:val="0"/>
          <w:numId w:val="34"/>
        </w:numPr>
        <w:snapToGrid w:val="0"/>
        <w:spacing w:after="120" w:line="360" w:lineRule="auto"/>
        <w:contextualSpacing w:val="0"/>
        <w:jc w:val="both"/>
        <w:rPr>
          <w:rFonts w:ascii="Arial" w:eastAsia="Times New Roman" w:hAnsi="Arial" w:cs="Arial"/>
          <w:b/>
          <w:bCs/>
          <w:lang w:bidi="en-US"/>
        </w:rPr>
      </w:pPr>
      <w:r w:rsidRPr="00437356">
        <w:rPr>
          <w:rFonts w:ascii="Arial" w:eastAsia="Times New Roman" w:hAnsi="Arial" w:cs="Arial"/>
          <w:b/>
          <w:bCs/>
          <w:lang w:bidi="en-US"/>
        </w:rPr>
        <w:t>Future property</w:t>
      </w:r>
    </w:p>
    <w:p w14:paraId="0E365567" w14:textId="77777777" w:rsidR="00C3444E" w:rsidRPr="00437356" w:rsidRDefault="00C3444E"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Property that is made subject to a trust must already be in existence; expectations of future property (such as the expectation to inherit under the will of a living person) cannot be the subject matter of a trust. A beneficiary’s rights under a trust can be the subject matter of a trust; not, however, future property that the beneficiary expects to receive as a result of holding rights under a trust (</w:t>
      </w:r>
      <w:r w:rsidRPr="00437356">
        <w:rPr>
          <w:rFonts w:ascii="Arial" w:eastAsia="MS Mincho" w:hAnsi="Arial" w:cs="Arial"/>
          <w:i/>
          <w:lang w:bidi="en-US"/>
        </w:rPr>
        <w:t>Williams v IRC</w:t>
      </w:r>
      <w:r w:rsidRPr="00437356">
        <w:rPr>
          <w:rFonts w:ascii="Arial" w:eastAsia="MS Mincho" w:hAnsi="Arial" w:cs="Arial"/>
          <w:lang w:bidi="en-US"/>
        </w:rPr>
        <w:t xml:space="preserve"> [1965] NZLR 395).</w:t>
      </w:r>
    </w:p>
    <w:p w14:paraId="3C343ECA" w14:textId="77777777" w:rsidR="003A3A06" w:rsidRPr="00437356" w:rsidRDefault="003A3A06" w:rsidP="00C526E7">
      <w:pPr>
        <w:snapToGrid w:val="0"/>
        <w:spacing w:after="120" w:line="360" w:lineRule="auto"/>
        <w:jc w:val="both"/>
        <w:rPr>
          <w:rFonts w:ascii="Arial" w:eastAsia="MS Mincho" w:hAnsi="Arial" w:cs="Arial"/>
          <w:lang w:bidi="en-US"/>
        </w:rPr>
      </w:pPr>
    </w:p>
    <w:p w14:paraId="3B85672E" w14:textId="3F433447" w:rsidR="00BF04EF" w:rsidRPr="00437356" w:rsidRDefault="00BF04EF" w:rsidP="00C526E7">
      <w:pPr>
        <w:pStyle w:val="ListParagraph"/>
        <w:numPr>
          <w:ilvl w:val="0"/>
          <w:numId w:val="34"/>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lastRenderedPageBreak/>
        <w:t xml:space="preserve">Individual </w:t>
      </w:r>
      <w:r w:rsidR="00762745" w:rsidRPr="00437356">
        <w:rPr>
          <w:rFonts w:ascii="Arial" w:eastAsia="MS Mincho" w:hAnsi="Arial" w:cs="Arial"/>
          <w:b/>
          <w:bCs/>
          <w:lang w:bidi="en-US"/>
        </w:rPr>
        <w:t>E</w:t>
      </w:r>
      <w:r w:rsidRPr="00437356">
        <w:rPr>
          <w:rFonts w:ascii="Arial" w:eastAsia="MS Mincho" w:hAnsi="Arial" w:cs="Arial"/>
          <w:b/>
          <w:bCs/>
          <w:lang w:bidi="en-US"/>
        </w:rPr>
        <w:t>ntitlement</w:t>
      </w:r>
    </w:p>
    <w:p w14:paraId="07D418FF" w14:textId="32142C8F" w:rsidR="00BF04EF" w:rsidRPr="00437356" w:rsidRDefault="00BF04EF"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Where the property is </w:t>
      </w:r>
      <w:proofErr w:type="gramStart"/>
      <w:r w:rsidRPr="00437356">
        <w:rPr>
          <w:rFonts w:ascii="Arial" w:eastAsia="MS Mincho" w:hAnsi="Arial" w:cs="Arial"/>
          <w:lang w:bidi="en-US"/>
        </w:rPr>
        <w:t>certain</w:t>
      </w:r>
      <w:proofErr w:type="gramEnd"/>
      <w:r w:rsidRPr="00437356">
        <w:rPr>
          <w:rFonts w:ascii="Arial" w:eastAsia="MS Mincho" w:hAnsi="Arial" w:cs="Arial"/>
          <w:lang w:bidi="en-US"/>
        </w:rPr>
        <w:t xml:space="preserve"> but the individual entitlement is not, the trust fails. In </w:t>
      </w:r>
      <w:r w:rsidRPr="00437356">
        <w:rPr>
          <w:rFonts w:ascii="Arial" w:eastAsia="MS Mincho" w:hAnsi="Arial" w:cs="Arial"/>
          <w:i/>
          <w:lang w:bidi="en-US"/>
        </w:rPr>
        <w:t>Boyce v Boyce</w:t>
      </w:r>
      <w:r w:rsidRPr="00437356">
        <w:rPr>
          <w:rFonts w:ascii="Arial" w:eastAsia="MS Mincho" w:hAnsi="Arial" w:cs="Arial"/>
          <w:lang w:bidi="en-US"/>
        </w:rPr>
        <w:t xml:space="preserve"> (1849) 16 Sim 476 the testator had two houses. He bequeathed them on trust to his executors who were directed to convey whichever house his daughter Maria should choose to his daughter </w:t>
      </w:r>
      <w:proofErr w:type="gramStart"/>
      <w:r w:rsidRPr="00437356">
        <w:rPr>
          <w:rFonts w:ascii="Arial" w:eastAsia="MS Mincho" w:hAnsi="Arial" w:cs="Arial"/>
          <w:lang w:bidi="en-US"/>
        </w:rPr>
        <w:t>Maria, and</w:t>
      </w:r>
      <w:proofErr w:type="gramEnd"/>
      <w:r w:rsidRPr="00437356">
        <w:rPr>
          <w:rFonts w:ascii="Arial" w:eastAsia="MS Mincho" w:hAnsi="Arial" w:cs="Arial"/>
          <w:lang w:bidi="en-US"/>
        </w:rPr>
        <w:t xml:space="preserve"> convey the other house (i.e. the one she did not choose) to the other daughter, Charlotte. Maria died during the testator’s lifetime. </w:t>
      </w:r>
      <w:r w:rsidR="003A3A06" w:rsidRPr="00437356">
        <w:rPr>
          <w:rFonts w:ascii="Arial" w:eastAsia="MS Mincho" w:hAnsi="Arial" w:cs="Arial"/>
          <w:lang w:bidi="en-US"/>
        </w:rPr>
        <w:t xml:space="preserve">It was held that </w:t>
      </w:r>
      <w:r w:rsidRPr="00437356">
        <w:rPr>
          <w:rFonts w:ascii="Arial" w:eastAsia="MS Mincho" w:hAnsi="Arial" w:cs="Arial"/>
          <w:lang w:bidi="en-US"/>
        </w:rPr>
        <w:t xml:space="preserve">Maria’s death had made it impossible to ascertain the subject matter of the trust for Charlotte. The trust therefore failed. </w:t>
      </w:r>
      <w:r w:rsidR="003A3A06" w:rsidRPr="00437356">
        <w:rPr>
          <w:rFonts w:ascii="Arial" w:eastAsia="MS Mincho" w:hAnsi="Arial" w:cs="Arial"/>
          <w:lang w:bidi="en-US"/>
        </w:rPr>
        <w:t xml:space="preserve">In cases like </w:t>
      </w:r>
      <w:r w:rsidR="003A3A06" w:rsidRPr="00437356">
        <w:rPr>
          <w:rFonts w:ascii="Arial" w:eastAsia="MS Mincho" w:hAnsi="Arial" w:cs="Arial"/>
          <w:i/>
          <w:iCs/>
          <w:lang w:bidi="en-US"/>
        </w:rPr>
        <w:t xml:space="preserve">Boyce, </w:t>
      </w:r>
      <w:r w:rsidR="003A3A06" w:rsidRPr="00437356">
        <w:rPr>
          <w:rFonts w:ascii="Arial" w:eastAsia="MS Mincho" w:hAnsi="Arial" w:cs="Arial"/>
          <w:lang w:bidi="en-US"/>
        </w:rPr>
        <w:t>there will be a resulting trust for the settlor (or, if he is dead, his estate). This is because it is clear that the recipient of the property has taken it as a trustee, so there is no possibility of that person keeping it for themselves. But it is not clear which part of the trust property is to go to which beneficiary, so the intended trust is void.</w:t>
      </w:r>
    </w:p>
    <w:p w14:paraId="3180F6B6" w14:textId="77777777" w:rsidR="00BF04EF" w:rsidRPr="00437356" w:rsidRDefault="00BF04EF" w:rsidP="00C526E7">
      <w:pPr>
        <w:snapToGrid w:val="0"/>
        <w:spacing w:after="120" w:line="360" w:lineRule="auto"/>
        <w:jc w:val="both"/>
        <w:rPr>
          <w:rFonts w:ascii="Arial" w:eastAsia="MS Mincho" w:hAnsi="Arial" w:cs="Arial"/>
          <w:lang w:bidi="en-US"/>
        </w:rPr>
      </w:pPr>
    </w:p>
    <w:p w14:paraId="4FFD2F76" w14:textId="4CCE8801" w:rsidR="00C3444E" w:rsidRPr="00437356" w:rsidRDefault="00C3444E" w:rsidP="00C526E7">
      <w:pPr>
        <w:pStyle w:val="ListParagraph"/>
        <w:numPr>
          <w:ilvl w:val="0"/>
          <w:numId w:val="34"/>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t xml:space="preserve">Objective </w:t>
      </w:r>
      <w:r w:rsidR="00762745" w:rsidRPr="00437356">
        <w:rPr>
          <w:rFonts w:ascii="Arial" w:eastAsia="MS Mincho" w:hAnsi="Arial" w:cs="Arial"/>
          <w:b/>
          <w:bCs/>
          <w:lang w:bidi="en-US"/>
        </w:rPr>
        <w:t>D</w:t>
      </w:r>
      <w:r w:rsidRPr="00437356">
        <w:rPr>
          <w:rFonts w:ascii="Arial" w:eastAsia="MS Mincho" w:hAnsi="Arial" w:cs="Arial"/>
          <w:b/>
          <w:bCs/>
          <w:lang w:bidi="en-US"/>
        </w:rPr>
        <w:t xml:space="preserve">etermination of </w:t>
      </w:r>
      <w:r w:rsidR="00762745" w:rsidRPr="00437356">
        <w:rPr>
          <w:rFonts w:ascii="Arial" w:eastAsia="MS Mincho" w:hAnsi="Arial" w:cs="Arial"/>
          <w:b/>
          <w:bCs/>
          <w:lang w:bidi="en-US"/>
        </w:rPr>
        <w:t>P</w:t>
      </w:r>
      <w:r w:rsidRPr="00437356">
        <w:rPr>
          <w:rFonts w:ascii="Arial" w:eastAsia="MS Mincho" w:hAnsi="Arial" w:cs="Arial"/>
          <w:b/>
          <w:bCs/>
          <w:lang w:bidi="en-US"/>
        </w:rPr>
        <w:t>roperty</w:t>
      </w:r>
    </w:p>
    <w:p w14:paraId="3F1298EF" w14:textId="77777777" w:rsidR="00C3444E" w:rsidRPr="00437356" w:rsidRDefault="00C3444E" w:rsidP="00C526E7">
      <w:pPr>
        <w:snapToGrid w:val="0"/>
        <w:spacing w:after="120" w:line="360" w:lineRule="auto"/>
        <w:jc w:val="both"/>
        <w:rPr>
          <w:rFonts w:ascii="Arial" w:eastAsia="Times New Roman" w:hAnsi="Arial" w:cs="Arial"/>
          <w:lang w:bidi="en-US"/>
        </w:rPr>
      </w:pPr>
      <w:r w:rsidRPr="00437356">
        <w:rPr>
          <w:rFonts w:ascii="Arial" w:eastAsia="MS Mincho" w:hAnsi="Arial" w:cs="Arial"/>
          <w:lang w:bidi="en-US"/>
        </w:rPr>
        <w:t xml:space="preserve">Where the court can use objective measures to ascertain the trust property, the trust may be upheld. For example, </w:t>
      </w:r>
      <w:r w:rsidRPr="00437356">
        <w:rPr>
          <w:rFonts w:ascii="Arial" w:eastAsia="Times New Roman" w:hAnsi="Arial" w:cs="Arial"/>
          <w:lang w:bidi="en-US"/>
        </w:rPr>
        <w:t xml:space="preserve">‘reasonable income’ has been found to be sufficiently certain as it allowed the court to take an objective view of the income required in the circumstances. In </w:t>
      </w:r>
      <w:r w:rsidRPr="00437356">
        <w:rPr>
          <w:rFonts w:ascii="Arial" w:eastAsia="Times New Roman" w:hAnsi="Arial" w:cs="Arial"/>
          <w:i/>
          <w:lang w:bidi="en-US"/>
        </w:rPr>
        <w:t xml:space="preserve">Re </w:t>
      </w:r>
      <w:proofErr w:type="spellStart"/>
      <w:r w:rsidRPr="00437356">
        <w:rPr>
          <w:rFonts w:ascii="Arial" w:eastAsia="Times New Roman" w:hAnsi="Arial" w:cs="Arial"/>
          <w:i/>
          <w:lang w:bidi="en-US"/>
        </w:rPr>
        <w:t>Golay’s</w:t>
      </w:r>
      <w:proofErr w:type="spellEnd"/>
      <w:r w:rsidRPr="00437356">
        <w:rPr>
          <w:rFonts w:ascii="Arial" w:eastAsia="Times New Roman" w:hAnsi="Arial" w:cs="Arial"/>
          <w:i/>
          <w:lang w:bidi="en-US"/>
        </w:rPr>
        <w:t xml:space="preserve"> Will Trusts </w:t>
      </w:r>
      <w:r w:rsidRPr="00437356">
        <w:rPr>
          <w:rFonts w:ascii="Arial" w:eastAsia="Times New Roman" w:hAnsi="Arial" w:cs="Arial"/>
          <w:lang w:bidi="en-US"/>
        </w:rPr>
        <w:t xml:space="preserve">[1965] 1 WLR 969 the testator provided that a legatee was to receive a reasonable income from the property: “I direct my executors to let </w:t>
      </w:r>
      <w:proofErr w:type="spellStart"/>
      <w:r w:rsidRPr="00437356">
        <w:rPr>
          <w:rFonts w:ascii="Arial" w:eastAsia="Times New Roman" w:hAnsi="Arial" w:cs="Arial"/>
          <w:lang w:bidi="en-US"/>
        </w:rPr>
        <w:t>Tossy</w:t>
      </w:r>
      <w:proofErr w:type="spellEnd"/>
      <w:r w:rsidRPr="00437356">
        <w:rPr>
          <w:rFonts w:ascii="Arial" w:eastAsia="Times New Roman" w:hAnsi="Arial" w:cs="Arial"/>
          <w:lang w:bidi="en-US"/>
        </w:rPr>
        <w:t xml:space="preserve"> — Mrs. F. Bridgewater — to enjoy one of my flats during her lifetime and to receive a reasonable income from my other properties.” </w:t>
      </w:r>
      <w:proofErr w:type="spellStart"/>
      <w:r w:rsidRPr="00437356">
        <w:rPr>
          <w:rFonts w:ascii="Arial" w:eastAsia="Times New Roman" w:hAnsi="Arial" w:cs="Arial"/>
          <w:lang w:bidi="en-US"/>
        </w:rPr>
        <w:t>Ungoed</w:t>
      </w:r>
      <w:proofErr w:type="spellEnd"/>
      <w:r w:rsidRPr="00437356">
        <w:rPr>
          <w:rFonts w:ascii="Arial" w:eastAsia="Times New Roman" w:hAnsi="Arial" w:cs="Arial"/>
          <w:lang w:bidi="en-US"/>
        </w:rPr>
        <w:t xml:space="preserve">-Thomas J stated at 972: “In this case, however, the yardstick indicated by the testator is not what he or some other specified person subjectively considers to be reasonable but what he identifies objectively as ‘reasonable income.’ The court is constantly involved in making such objective assessments of what is </w:t>
      </w:r>
      <w:proofErr w:type="gramStart"/>
      <w:r w:rsidRPr="00437356">
        <w:rPr>
          <w:rFonts w:ascii="Arial" w:eastAsia="Times New Roman" w:hAnsi="Arial" w:cs="Arial"/>
          <w:lang w:bidi="en-US"/>
        </w:rPr>
        <w:t>reasonable</w:t>
      </w:r>
      <w:proofErr w:type="gramEnd"/>
      <w:r w:rsidRPr="00437356">
        <w:rPr>
          <w:rFonts w:ascii="Arial" w:eastAsia="Times New Roman" w:hAnsi="Arial" w:cs="Arial"/>
          <w:lang w:bidi="en-US"/>
        </w:rPr>
        <w:t xml:space="preserve"> and it is not to be deterred from doing so because subjective influences can never be wholly excluded. In my view the testator intended by “reasonable income” the yardstick which the court could and would apply in quantifying the amount so that the direction in the will is not in my view defeated by uncertainty.” On the other hand, trusts that require a subjective judgement (e.g., ‘my favourite dress’) fail.</w:t>
      </w:r>
    </w:p>
    <w:p w14:paraId="4781E536" w14:textId="77777777" w:rsidR="00C3444E" w:rsidRPr="00437356" w:rsidRDefault="00C3444E" w:rsidP="00C526E7">
      <w:pPr>
        <w:snapToGrid w:val="0"/>
        <w:spacing w:after="120" w:line="360" w:lineRule="auto"/>
        <w:jc w:val="both"/>
        <w:rPr>
          <w:rFonts w:ascii="Arial" w:eastAsia="MS Mincho" w:hAnsi="Arial" w:cs="Arial"/>
          <w:lang w:bidi="en-US"/>
        </w:rPr>
      </w:pPr>
    </w:p>
    <w:p w14:paraId="5D432108" w14:textId="5D8DFF36" w:rsidR="00C3444E" w:rsidRPr="00437356" w:rsidRDefault="00C3444E" w:rsidP="00C526E7">
      <w:pPr>
        <w:pStyle w:val="ListParagraph"/>
        <w:numPr>
          <w:ilvl w:val="0"/>
          <w:numId w:val="34"/>
        </w:numPr>
        <w:snapToGrid w:val="0"/>
        <w:spacing w:after="120" w:line="360" w:lineRule="auto"/>
        <w:contextualSpacing w:val="0"/>
        <w:jc w:val="both"/>
        <w:rPr>
          <w:rFonts w:ascii="Arial" w:eastAsia="MS Mincho" w:hAnsi="Arial" w:cs="Arial"/>
          <w:b/>
          <w:bCs/>
          <w:lang w:bidi="en-US"/>
        </w:rPr>
      </w:pPr>
      <w:bookmarkStart w:id="1" w:name="_Toc431463020"/>
      <w:r w:rsidRPr="00437356">
        <w:rPr>
          <w:rFonts w:ascii="Arial" w:eastAsia="MS Mincho" w:hAnsi="Arial" w:cs="Arial"/>
          <w:b/>
          <w:bCs/>
          <w:lang w:bidi="en-US"/>
        </w:rPr>
        <w:t>The consequences of lack of certainty of subject matter</w:t>
      </w:r>
      <w:bookmarkEnd w:id="1"/>
    </w:p>
    <w:p w14:paraId="628A0A7C" w14:textId="6C293F9E" w:rsidR="00146F8D" w:rsidRPr="00C524DD" w:rsidRDefault="00C3444E" w:rsidP="00C524DD">
      <w:pPr>
        <w:snapToGrid w:val="0"/>
        <w:spacing w:after="120" w:line="360" w:lineRule="auto"/>
        <w:jc w:val="both"/>
        <w:rPr>
          <w:rFonts w:ascii="Arial" w:eastAsia="Times New Roman" w:hAnsi="Arial" w:cs="Arial"/>
          <w:lang w:bidi="en-US"/>
        </w:rPr>
      </w:pPr>
      <w:r w:rsidRPr="00437356">
        <w:rPr>
          <w:rFonts w:ascii="Arial" w:eastAsia="Times New Roman" w:hAnsi="Arial" w:cs="Arial"/>
          <w:lang w:bidi="en-US"/>
        </w:rPr>
        <w:t>If the settlor has already effectively transferred property to an intended recipient</w:t>
      </w:r>
      <w:r w:rsidR="005F4F9C" w:rsidRPr="00437356">
        <w:rPr>
          <w:rFonts w:ascii="Arial" w:eastAsia="Times New Roman" w:hAnsi="Arial" w:cs="Arial"/>
          <w:lang w:bidi="en-US"/>
        </w:rPr>
        <w:t xml:space="preserve"> and instructed them to hold an undefined portion of it on trust,</w:t>
      </w:r>
      <w:r w:rsidRPr="00437356">
        <w:rPr>
          <w:rFonts w:ascii="Arial" w:eastAsia="Times New Roman" w:hAnsi="Arial" w:cs="Arial"/>
          <w:lang w:bidi="en-US"/>
        </w:rPr>
        <w:t xml:space="preserve"> the lack of certainty of subject matter</w:t>
      </w:r>
      <w:r w:rsidR="005F4F9C" w:rsidRPr="00437356">
        <w:rPr>
          <w:rFonts w:ascii="Arial" w:eastAsia="Times New Roman" w:hAnsi="Arial" w:cs="Arial"/>
          <w:lang w:bidi="en-US"/>
        </w:rPr>
        <w:t xml:space="preserve"> </w:t>
      </w:r>
      <w:r w:rsidRPr="00437356">
        <w:rPr>
          <w:rFonts w:ascii="Arial" w:eastAsia="Times New Roman" w:hAnsi="Arial" w:cs="Arial"/>
          <w:lang w:bidi="en-US"/>
        </w:rPr>
        <w:t>means that the recipient will take the property free from any trust</w:t>
      </w:r>
      <w:r w:rsidR="003A3A06" w:rsidRPr="00437356">
        <w:rPr>
          <w:rFonts w:ascii="Arial" w:eastAsia="Times New Roman" w:hAnsi="Arial" w:cs="Arial"/>
          <w:lang w:bidi="en-US"/>
        </w:rPr>
        <w:t xml:space="preserve"> (i.e. as an absolute gift)</w:t>
      </w:r>
      <w:r w:rsidRPr="00437356">
        <w:rPr>
          <w:rFonts w:ascii="Arial" w:eastAsia="Times New Roman" w:hAnsi="Arial" w:cs="Arial"/>
          <w:lang w:bidi="en-US"/>
        </w:rPr>
        <w:t>.</w:t>
      </w:r>
      <w:r w:rsidR="003A3A06" w:rsidRPr="00437356">
        <w:rPr>
          <w:rFonts w:ascii="Arial" w:eastAsia="Times New Roman" w:hAnsi="Arial" w:cs="Arial"/>
          <w:lang w:bidi="en-US"/>
        </w:rPr>
        <w:t xml:space="preserve"> </w:t>
      </w:r>
      <w:r w:rsidRPr="00437356">
        <w:rPr>
          <w:rFonts w:ascii="Arial" w:eastAsia="Times New Roman" w:hAnsi="Arial" w:cs="Arial"/>
          <w:lang w:bidi="en-US"/>
        </w:rPr>
        <w:t xml:space="preserve">If the settlor has not yet effectively transferred property to an intended recipient, such as when the settlor </w:t>
      </w:r>
      <w:r w:rsidRPr="00437356">
        <w:rPr>
          <w:rFonts w:ascii="Arial" w:eastAsia="Times New Roman" w:hAnsi="Arial" w:cs="Arial"/>
          <w:lang w:bidi="en-US"/>
        </w:rPr>
        <w:lastRenderedPageBreak/>
        <w:t>has declared himself trustee or during the execution of a will, the settlor will remain the outright owner of the property or the property will be held by the executor on resulting trust for the testator’s estate.</w:t>
      </w:r>
      <w:r w:rsidR="003A3A06" w:rsidRPr="00437356">
        <w:rPr>
          <w:rFonts w:ascii="Arial" w:eastAsia="Times New Roman" w:hAnsi="Arial" w:cs="Arial"/>
          <w:lang w:bidi="en-US"/>
        </w:rPr>
        <w:t xml:space="preserve"> </w:t>
      </w:r>
      <w:r w:rsidRPr="00437356">
        <w:rPr>
          <w:rFonts w:ascii="Arial" w:eastAsia="Times New Roman" w:hAnsi="Arial" w:cs="Arial"/>
          <w:lang w:bidi="en-US"/>
        </w:rPr>
        <w:t>If the subject matter of the trust is certain and only the individual entitlement is not, the property will be held on resulting trust to the settlor (or the testator’s estate).</w:t>
      </w:r>
    </w:p>
    <w:sectPr w:rsidR="00146F8D" w:rsidRPr="00C524DD" w:rsidSect="00B869B7">
      <w:headerReference w:type="default" r:id="rId8"/>
      <w:footerReference w:type="default" r:id="rId9"/>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430F0F" w14:textId="77777777" w:rsidR="004C0556" w:rsidRDefault="004C0556" w:rsidP="00177ED8">
      <w:pPr>
        <w:spacing w:after="0" w:line="240" w:lineRule="auto"/>
      </w:pPr>
      <w:r>
        <w:separator/>
      </w:r>
    </w:p>
  </w:endnote>
  <w:endnote w:type="continuationSeparator" w:id="0">
    <w:p w14:paraId="7928CBDA" w14:textId="77777777" w:rsidR="004C0556" w:rsidRDefault="004C0556"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2516BB77" w14:textId="690B6A44"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5D38EC">
              <w:rPr>
                <w:rFonts w:ascii="Arial" w:hAnsi="Arial" w:cs="Arial"/>
                <w:bCs/>
                <w:noProof/>
                <w:sz w:val="20"/>
                <w:szCs w:val="20"/>
              </w:rPr>
              <w:t>14</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5D38EC">
              <w:rPr>
                <w:rFonts w:ascii="Arial" w:hAnsi="Arial" w:cs="Arial"/>
                <w:bCs/>
                <w:noProof/>
                <w:sz w:val="20"/>
                <w:szCs w:val="20"/>
              </w:rPr>
              <w:t>14</w:t>
            </w:r>
            <w:r w:rsidRPr="00B869B7">
              <w:rPr>
                <w:rFonts w:ascii="Arial" w:hAnsi="Arial" w:cs="Arial"/>
                <w:bCs/>
                <w:sz w:val="20"/>
                <w:szCs w:val="20"/>
              </w:rPr>
              <w:fldChar w:fldCharType="end"/>
            </w:r>
          </w:p>
        </w:sdtContent>
      </w:sdt>
    </w:sdtContent>
  </w:sdt>
  <w:p w14:paraId="4DDBEF00"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86C4C" w14:textId="77777777" w:rsidR="004C0556" w:rsidRDefault="004C0556" w:rsidP="00177ED8">
      <w:pPr>
        <w:spacing w:after="0" w:line="240" w:lineRule="auto"/>
      </w:pPr>
      <w:r>
        <w:separator/>
      </w:r>
    </w:p>
  </w:footnote>
  <w:footnote w:type="continuationSeparator" w:id="0">
    <w:p w14:paraId="68920E04" w14:textId="77777777" w:rsidR="004C0556" w:rsidRDefault="004C0556"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E26C7" w14:textId="5CB01BD2" w:rsidR="00FB760A" w:rsidRPr="00FB760A" w:rsidRDefault="00FB760A" w:rsidP="006259AB">
    <w:pPr>
      <w:pStyle w:val="Header"/>
      <w:jc w:val="right"/>
      <w:rPr>
        <w:rFonts w:ascii="Arial" w:hAnsi="Arial" w:cs="Arial"/>
      </w:rPr>
    </w:pPr>
    <w:r>
      <w:rPr>
        <w:rFonts w:ascii="Arial" w:hAnsi="Arial" w:cs="Arial"/>
      </w:rPr>
      <w:t>Trusts Law Wee</w:t>
    </w:r>
    <w:r w:rsidR="00D45FCD">
      <w:rPr>
        <w:rFonts w:ascii="Arial" w:hAnsi="Arial" w:cs="Arial"/>
      </w:rPr>
      <w:t xml:space="preserve">k </w:t>
    </w:r>
    <w:r w:rsidR="007238E8">
      <w:rPr>
        <w:rFonts w:ascii="Arial" w:hAnsi="Arial" w:cs="Arial"/>
      </w:rPr>
      <w:t>5</w:t>
    </w:r>
    <w:r w:rsidR="00D45FCD">
      <w:rPr>
        <w:rFonts w:ascii="Arial" w:hAnsi="Arial" w:cs="Arial"/>
      </w:rPr>
      <w:t xml:space="preserve"> </w:t>
    </w:r>
  </w:p>
  <w:p w14:paraId="1FC39945"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F6302"/>
    <w:multiLevelType w:val="hybridMultilevel"/>
    <w:tmpl w:val="F4C84D1C"/>
    <w:lvl w:ilvl="0" w:tplc="60AAE3B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141E78"/>
    <w:multiLevelType w:val="hybridMultilevel"/>
    <w:tmpl w:val="EF040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827D81"/>
    <w:multiLevelType w:val="hybridMultilevel"/>
    <w:tmpl w:val="74E887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4F32E6"/>
    <w:multiLevelType w:val="hybridMultilevel"/>
    <w:tmpl w:val="67CC8F8A"/>
    <w:lvl w:ilvl="0" w:tplc="29BC564E">
      <w:start w:val="1"/>
      <w:numFmt w:val="upperLetter"/>
      <w:lvlText w:val="%1."/>
      <w:lvlJc w:val="left"/>
      <w:pPr>
        <w:ind w:left="720" w:hanging="360"/>
      </w:pPr>
      <w:rPr>
        <w:rFonts w:eastAsiaTheme="minorHAnsi" w:hint="default"/>
        <w:b/>
        <w:sz w:val="22"/>
        <w:szCs w:val="22"/>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B71D32"/>
    <w:multiLevelType w:val="hybridMultilevel"/>
    <w:tmpl w:val="6AE2F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7C22E45"/>
    <w:multiLevelType w:val="hybridMultilevel"/>
    <w:tmpl w:val="94D072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9435F06"/>
    <w:multiLevelType w:val="hybridMultilevel"/>
    <w:tmpl w:val="5956A6D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55020F"/>
    <w:multiLevelType w:val="hybridMultilevel"/>
    <w:tmpl w:val="606C8C20"/>
    <w:lvl w:ilvl="0" w:tplc="4F700CCC">
      <w:start w:val="1"/>
      <w:numFmt w:val="decimal"/>
      <w:lvlText w:val="%1."/>
      <w:lvlJc w:val="left"/>
      <w:pPr>
        <w:ind w:left="360" w:hanging="360"/>
      </w:pPr>
      <w:rPr>
        <w:rFonts w:hint="default"/>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13E0305"/>
    <w:multiLevelType w:val="hybridMultilevel"/>
    <w:tmpl w:val="E9D65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3F7D60D4"/>
    <w:multiLevelType w:val="hybridMultilevel"/>
    <w:tmpl w:val="F788D6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52F6D65"/>
    <w:multiLevelType w:val="hybridMultilevel"/>
    <w:tmpl w:val="15FE3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81C1BF6"/>
    <w:multiLevelType w:val="hybridMultilevel"/>
    <w:tmpl w:val="D974B9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A671AC1"/>
    <w:multiLevelType w:val="hybridMultilevel"/>
    <w:tmpl w:val="EC5AD49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BEB3FD4"/>
    <w:multiLevelType w:val="hybridMultilevel"/>
    <w:tmpl w:val="D0783DAE"/>
    <w:lvl w:ilvl="0" w:tplc="B5BA57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150DD1"/>
    <w:multiLevelType w:val="hybridMultilevel"/>
    <w:tmpl w:val="EC5AD49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3F776A3"/>
    <w:multiLevelType w:val="hybridMultilevel"/>
    <w:tmpl w:val="15E666BE"/>
    <w:lvl w:ilvl="0" w:tplc="F69AFA9C">
      <w:start w:val="1"/>
      <w:numFmt w:val="bullet"/>
      <w:lvlText w:val="·"/>
      <w:lvlJc w:val="left"/>
      <w:pPr>
        <w:ind w:left="720" w:hanging="360"/>
      </w:pPr>
      <w:rPr>
        <w:rFonts w:ascii="Symbol" w:hAnsi="Symbol" w:hint="default"/>
      </w:rPr>
    </w:lvl>
    <w:lvl w:ilvl="1" w:tplc="C75C90DC">
      <w:start w:val="1"/>
      <w:numFmt w:val="bullet"/>
      <w:lvlText w:val="o"/>
      <w:lvlJc w:val="left"/>
      <w:pPr>
        <w:ind w:left="1440" w:hanging="360"/>
      </w:pPr>
      <w:rPr>
        <w:rFonts w:ascii="Courier New" w:hAnsi="Courier New" w:hint="default"/>
      </w:rPr>
    </w:lvl>
    <w:lvl w:ilvl="2" w:tplc="B0507738">
      <w:start w:val="1"/>
      <w:numFmt w:val="bullet"/>
      <w:lvlText w:val=""/>
      <w:lvlJc w:val="left"/>
      <w:pPr>
        <w:ind w:left="2160" w:hanging="360"/>
      </w:pPr>
      <w:rPr>
        <w:rFonts w:ascii="Wingdings" w:hAnsi="Wingdings" w:hint="default"/>
      </w:rPr>
    </w:lvl>
    <w:lvl w:ilvl="3" w:tplc="17D0ED78">
      <w:start w:val="1"/>
      <w:numFmt w:val="bullet"/>
      <w:lvlText w:val=""/>
      <w:lvlJc w:val="left"/>
      <w:pPr>
        <w:ind w:left="2880" w:hanging="360"/>
      </w:pPr>
      <w:rPr>
        <w:rFonts w:ascii="Symbol" w:hAnsi="Symbol" w:hint="default"/>
      </w:rPr>
    </w:lvl>
    <w:lvl w:ilvl="4" w:tplc="AF2A78DA">
      <w:start w:val="1"/>
      <w:numFmt w:val="bullet"/>
      <w:lvlText w:val="o"/>
      <w:lvlJc w:val="left"/>
      <w:pPr>
        <w:ind w:left="3600" w:hanging="360"/>
      </w:pPr>
      <w:rPr>
        <w:rFonts w:ascii="Courier New" w:hAnsi="Courier New" w:hint="default"/>
      </w:rPr>
    </w:lvl>
    <w:lvl w:ilvl="5" w:tplc="C0703486">
      <w:start w:val="1"/>
      <w:numFmt w:val="bullet"/>
      <w:lvlText w:val=""/>
      <w:lvlJc w:val="left"/>
      <w:pPr>
        <w:ind w:left="4320" w:hanging="360"/>
      </w:pPr>
      <w:rPr>
        <w:rFonts w:ascii="Wingdings" w:hAnsi="Wingdings" w:hint="default"/>
      </w:rPr>
    </w:lvl>
    <w:lvl w:ilvl="6" w:tplc="62A485F4">
      <w:start w:val="1"/>
      <w:numFmt w:val="bullet"/>
      <w:lvlText w:val=""/>
      <w:lvlJc w:val="left"/>
      <w:pPr>
        <w:ind w:left="5040" w:hanging="360"/>
      </w:pPr>
      <w:rPr>
        <w:rFonts w:ascii="Symbol" w:hAnsi="Symbol" w:hint="default"/>
      </w:rPr>
    </w:lvl>
    <w:lvl w:ilvl="7" w:tplc="690C8E70">
      <w:start w:val="1"/>
      <w:numFmt w:val="bullet"/>
      <w:lvlText w:val="o"/>
      <w:lvlJc w:val="left"/>
      <w:pPr>
        <w:ind w:left="5760" w:hanging="360"/>
      </w:pPr>
      <w:rPr>
        <w:rFonts w:ascii="Courier New" w:hAnsi="Courier New" w:hint="default"/>
      </w:rPr>
    </w:lvl>
    <w:lvl w:ilvl="8" w:tplc="E0944F00">
      <w:start w:val="1"/>
      <w:numFmt w:val="bullet"/>
      <w:lvlText w:val=""/>
      <w:lvlJc w:val="left"/>
      <w:pPr>
        <w:ind w:left="6480" w:hanging="360"/>
      </w:pPr>
      <w:rPr>
        <w:rFonts w:ascii="Wingdings" w:hAnsi="Wingdings" w:hint="default"/>
      </w:rPr>
    </w:lvl>
  </w:abstractNum>
  <w:abstractNum w:abstractNumId="29"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12335A9"/>
    <w:multiLevelType w:val="hybridMultilevel"/>
    <w:tmpl w:val="B09830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1EA2830"/>
    <w:multiLevelType w:val="hybridMultilevel"/>
    <w:tmpl w:val="495001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D06F4E"/>
    <w:multiLevelType w:val="hybridMultilevel"/>
    <w:tmpl w:val="63506E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7EB01B4"/>
    <w:multiLevelType w:val="hybridMultilevel"/>
    <w:tmpl w:val="348A1C54"/>
    <w:lvl w:ilvl="0" w:tplc="08090001">
      <w:start w:val="1"/>
      <w:numFmt w:val="bullet"/>
      <w:lvlText w:val=""/>
      <w:lvlJc w:val="left"/>
      <w:pPr>
        <w:ind w:left="360" w:hanging="360"/>
      </w:pPr>
      <w:rPr>
        <w:rFonts w:ascii="Symbol" w:hAnsi="Symbol" w:hint="default"/>
      </w:rPr>
    </w:lvl>
    <w:lvl w:ilvl="1" w:tplc="08090017">
      <w:start w:val="1"/>
      <w:numFmt w:val="lowerLetter"/>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98F5198"/>
    <w:multiLevelType w:val="hybridMultilevel"/>
    <w:tmpl w:val="5930F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AE34F09"/>
    <w:multiLevelType w:val="hybridMultilevel"/>
    <w:tmpl w:val="C16E12BC"/>
    <w:lvl w:ilvl="0" w:tplc="3E025B90">
      <w:start w:val="1"/>
      <w:numFmt w:val="bullet"/>
      <w:lvlText w:val=""/>
      <w:lvlJc w:val="left"/>
      <w:pPr>
        <w:tabs>
          <w:tab w:val="num" w:pos="720"/>
        </w:tabs>
        <w:ind w:left="720" w:hanging="360"/>
      </w:pPr>
      <w:rPr>
        <w:rFonts w:ascii="Symbol" w:hAnsi="Symbol" w:hint="default"/>
        <w:sz w:val="20"/>
      </w:rPr>
    </w:lvl>
    <w:lvl w:ilvl="1" w:tplc="33026480" w:tentative="1">
      <w:start w:val="1"/>
      <w:numFmt w:val="bullet"/>
      <w:lvlText w:val=""/>
      <w:lvlJc w:val="left"/>
      <w:pPr>
        <w:tabs>
          <w:tab w:val="num" w:pos="1440"/>
        </w:tabs>
        <w:ind w:left="1440" w:hanging="360"/>
      </w:pPr>
      <w:rPr>
        <w:rFonts w:ascii="Symbol" w:hAnsi="Symbol" w:hint="default"/>
        <w:sz w:val="20"/>
      </w:rPr>
    </w:lvl>
    <w:lvl w:ilvl="2" w:tplc="FA7ADEAA" w:tentative="1">
      <w:start w:val="1"/>
      <w:numFmt w:val="bullet"/>
      <w:lvlText w:val=""/>
      <w:lvlJc w:val="left"/>
      <w:pPr>
        <w:tabs>
          <w:tab w:val="num" w:pos="2160"/>
        </w:tabs>
        <w:ind w:left="2160" w:hanging="360"/>
      </w:pPr>
      <w:rPr>
        <w:rFonts w:ascii="Symbol" w:hAnsi="Symbol" w:hint="default"/>
        <w:sz w:val="20"/>
      </w:rPr>
    </w:lvl>
    <w:lvl w:ilvl="3" w:tplc="CE564244" w:tentative="1">
      <w:start w:val="1"/>
      <w:numFmt w:val="bullet"/>
      <w:lvlText w:val=""/>
      <w:lvlJc w:val="left"/>
      <w:pPr>
        <w:tabs>
          <w:tab w:val="num" w:pos="2880"/>
        </w:tabs>
        <w:ind w:left="2880" w:hanging="360"/>
      </w:pPr>
      <w:rPr>
        <w:rFonts w:ascii="Symbol" w:hAnsi="Symbol" w:hint="default"/>
        <w:sz w:val="20"/>
      </w:rPr>
    </w:lvl>
    <w:lvl w:ilvl="4" w:tplc="9482ADBE" w:tentative="1">
      <w:start w:val="1"/>
      <w:numFmt w:val="bullet"/>
      <w:lvlText w:val=""/>
      <w:lvlJc w:val="left"/>
      <w:pPr>
        <w:tabs>
          <w:tab w:val="num" w:pos="3600"/>
        </w:tabs>
        <w:ind w:left="3600" w:hanging="360"/>
      </w:pPr>
      <w:rPr>
        <w:rFonts w:ascii="Symbol" w:hAnsi="Symbol" w:hint="default"/>
        <w:sz w:val="20"/>
      </w:rPr>
    </w:lvl>
    <w:lvl w:ilvl="5" w:tplc="EE48F508" w:tentative="1">
      <w:start w:val="1"/>
      <w:numFmt w:val="bullet"/>
      <w:lvlText w:val=""/>
      <w:lvlJc w:val="left"/>
      <w:pPr>
        <w:tabs>
          <w:tab w:val="num" w:pos="4320"/>
        </w:tabs>
        <w:ind w:left="4320" w:hanging="360"/>
      </w:pPr>
      <w:rPr>
        <w:rFonts w:ascii="Symbol" w:hAnsi="Symbol" w:hint="default"/>
        <w:sz w:val="20"/>
      </w:rPr>
    </w:lvl>
    <w:lvl w:ilvl="6" w:tplc="B858BAB8" w:tentative="1">
      <w:start w:val="1"/>
      <w:numFmt w:val="bullet"/>
      <w:lvlText w:val=""/>
      <w:lvlJc w:val="left"/>
      <w:pPr>
        <w:tabs>
          <w:tab w:val="num" w:pos="5040"/>
        </w:tabs>
        <w:ind w:left="5040" w:hanging="360"/>
      </w:pPr>
      <w:rPr>
        <w:rFonts w:ascii="Symbol" w:hAnsi="Symbol" w:hint="default"/>
        <w:sz w:val="20"/>
      </w:rPr>
    </w:lvl>
    <w:lvl w:ilvl="7" w:tplc="BB240C1A" w:tentative="1">
      <w:start w:val="1"/>
      <w:numFmt w:val="bullet"/>
      <w:lvlText w:val=""/>
      <w:lvlJc w:val="left"/>
      <w:pPr>
        <w:tabs>
          <w:tab w:val="num" w:pos="5760"/>
        </w:tabs>
        <w:ind w:left="5760" w:hanging="360"/>
      </w:pPr>
      <w:rPr>
        <w:rFonts w:ascii="Symbol" w:hAnsi="Symbol" w:hint="default"/>
        <w:sz w:val="20"/>
      </w:rPr>
    </w:lvl>
    <w:lvl w:ilvl="8" w:tplc="A83EF906"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8F4909"/>
    <w:multiLevelType w:val="hybridMultilevel"/>
    <w:tmpl w:val="25C2DD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EF7BF1"/>
    <w:multiLevelType w:val="hybridMultilevel"/>
    <w:tmpl w:val="B9822A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21676F1"/>
    <w:multiLevelType w:val="hybridMultilevel"/>
    <w:tmpl w:val="A0C2DB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060CCE"/>
    <w:multiLevelType w:val="hybridMultilevel"/>
    <w:tmpl w:val="F4D8C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4226057">
    <w:abstractNumId w:val="45"/>
  </w:num>
  <w:num w:numId="2" w16cid:durableId="307712114">
    <w:abstractNumId w:val="9"/>
  </w:num>
  <w:num w:numId="3" w16cid:durableId="1400129267">
    <w:abstractNumId w:val="13"/>
  </w:num>
  <w:num w:numId="4" w16cid:durableId="1192232548">
    <w:abstractNumId w:val="31"/>
  </w:num>
  <w:num w:numId="5" w16cid:durableId="898247945">
    <w:abstractNumId w:val="30"/>
  </w:num>
  <w:num w:numId="6" w16cid:durableId="2029064822">
    <w:abstractNumId w:val="18"/>
  </w:num>
  <w:num w:numId="7" w16cid:durableId="42563452">
    <w:abstractNumId w:val="37"/>
  </w:num>
  <w:num w:numId="8" w16cid:durableId="1049063298">
    <w:abstractNumId w:val="12"/>
  </w:num>
  <w:num w:numId="9" w16cid:durableId="1556550377">
    <w:abstractNumId w:val="44"/>
  </w:num>
  <w:num w:numId="10" w16cid:durableId="1826774766">
    <w:abstractNumId w:val="24"/>
  </w:num>
  <w:num w:numId="11" w16cid:durableId="245193909">
    <w:abstractNumId w:val="43"/>
  </w:num>
  <w:num w:numId="12" w16cid:durableId="1055859269">
    <w:abstractNumId w:val="36"/>
  </w:num>
  <w:num w:numId="13" w16cid:durableId="547035048">
    <w:abstractNumId w:val="11"/>
  </w:num>
  <w:num w:numId="14" w16cid:durableId="1561595084">
    <w:abstractNumId w:val="29"/>
  </w:num>
  <w:num w:numId="15" w16cid:durableId="593441439">
    <w:abstractNumId w:val="46"/>
  </w:num>
  <w:num w:numId="16" w16cid:durableId="1572540488">
    <w:abstractNumId w:val="20"/>
  </w:num>
  <w:num w:numId="17" w16cid:durableId="831723525">
    <w:abstractNumId w:val="16"/>
  </w:num>
  <w:num w:numId="18" w16cid:durableId="1196580858">
    <w:abstractNumId w:val="14"/>
  </w:num>
  <w:num w:numId="19" w16cid:durableId="295336273">
    <w:abstractNumId w:val="21"/>
  </w:num>
  <w:num w:numId="20" w16cid:durableId="790902315">
    <w:abstractNumId w:val="3"/>
  </w:num>
  <w:num w:numId="21" w16cid:durableId="771626094">
    <w:abstractNumId w:val="35"/>
  </w:num>
  <w:num w:numId="22" w16cid:durableId="1782845424">
    <w:abstractNumId w:val="17"/>
  </w:num>
  <w:num w:numId="23" w16cid:durableId="1279528740">
    <w:abstractNumId w:val="15"/>
  </w:num>
  <w:num w:numId="24" w16cid:durableId="944850082">
    <w:abstractNumId w:val="34"/>
  </w:num>
  <w:num w:numId="25" w16cid:durableId="1972781271">
    <w:abstractNumId w:val="22"/>
  </w:num>
  <w:num w:numId="26" w16cid:durableId="1025130611">
    <w:abstractNumId w:val="23"/>
  </w:num>
  <w:num w:numId="27" w16cid:durableId="1960263735">
    <w:abstractNumId w:val="38"/>
  </w:num>
  <w:num w:numId="28" w16cid:durableId="2094203321">
    <w:abstractNumId w:val="0"/>
  </w:num>
  <w:num w:numId="29" w16cid:durableId="2083486623">
    <w:abstractNumId w:val="28"/>
  </w:num>
  <w:num w:numId="30" w16cid:durableId="2124181276">
    <w:abstractNumId w:val="4"/>
  </w:num>
  <w:num w:numId="31" w16cid:durableId="279650920">
    <w:abstractNumId w:val="26"/>
  </w:num>
  <w:num w:numId="32" w16cid:durableId="1484738049">
    <w:abstractNumId w:val="8"/>
  </w:num>
  <w:num w:numId="33" w16cid:durableId="1919172547">
    <w:abstractNumId w:val="6"/>
  </w:num>
  <w:num w:numId="34" w16cid:durableId="798841711">
    <w:abstractNumId w:val="5"/>
  </w:num>
  <w:num w:numId="35" w16cid:durableId="1397312851">
    <w:abstractNumId w:val="39"/>
  </w:num>
  <w:num w:numId="36" w16cid:durableId="1205363108">
    <w:abstractNumId w:val="19"/>
  </w:num>
  <w:num w:numId="37" w16cid:durableId="725178823">
    <w:abstractNumId w:val="2"/>
  </w:num>
  <w:num w:numId="38" w16cid:durableId="373233263">
    <w:abstractNumId w:val="7"/>
  </w:num>
  <w:num w:numId="39" w16cid:durableId="2117673073">
    <w:abstractNumId w:val="10"/>
  </w:num>
  <w:num w:numId="40" w16cid:durableId="36128979">
    <w:abstractNumId w:val="33"/>
  </w:num>
  <w:num w:numId="41" w16cid:durableId="896554058">
    <w:abstractNumId w:val="32"/>
  </w:num>
  <w:num w:numId="42" w16cid:durableId="532381214">
    <w:abstractNumId w:val="1"/>
  </w:num>
  <w:num w:numId="43" w16cid:durableId="2559054">
    <w:abstractNumId w:val="27"/>
  </w:num>
  <w:num w:numId="44" w16cid:durableId="49572834">
    <w:abstractNumId w:val="25"/>
  </w:num>
  <w:num w:numId="45" w16cid:durableId="116611792">
    <w:abstractNumId w:val="41"/>
  </w:num>
  <w:num w:numId="46" w16cid:durableId="438333314">
    <w:abstractNumId w:val="42"/>
  </w:num>
  <w:num w:numId="47" w16cid:durableId="20553498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removePersonalInformation/>
  <w:removeDateAndTim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11CDE"/>
    <w:rsid w:val="0002295D"/>
    <w:rsid w:val="00024CE4"/>
    <w:rsid w:val="0004604C"/>
    <w:rsid w:val="00085FFC"/>
    <w:rsid w:val="00094462"/>
    <w:rsid w:val="000A467B"/>
    <w:rsid w:val="000A7816"/>
    <w:rsid w:val="000B0EB6"/>
    <w:rsid w:val="000B5A12"/>
    <w:rsid w:val="000B5CE1"/>
    <w:rsid w:val="000B5F20"/>
    <w:rsid w:val="000B787A"/>
    <w:rsid w:val="000B788C"/>
    <w:rsid w:val="000D0FA1"/>
    <w:rsid w:val="000D21D2"/>
    <w:rsid w:val="000D2494"/>
    <w:rsid w:val="000D3EF9"/>
    <w:rsid w:val="000D6BFC"/>
    <w:rsid w:val="000E366B"/>
    <w:rsid w:val="000E51DA"/>
    <w:rsid w:val="000F6052"/>
    <w:rsid w:val="001001D8"/>
    <w:rsid w:val="0010038B"/>
    <w:rsid w:val="001067E9"/>
    <w:rsid w:val="00136955"/>
    <w:rsid w:val="00146F8D"/>
    <w:rsid w:val="00150BC1"/>
    <w:rsid w:val="0015167A"/>
    <w:rsid w:val="00155C00"/>
    <w:rsid w:val="00156AC9"/>
    <w:rsid w:val="00163655"/>
    <w:rsid w:val="00164BD7"/>
    <w:rsid w:val="001662F6"/>
    <w:rsid w:val="00167D14"/>
    <w:rsid w:val="00170269"/>
    <w:rsid w:val="001772B1"/>
    <w:rsid w:val="00177ED8"/>
    <w:rsid w:val="0018683A"/>
    <w:rsid w:val="001B03CA"/>
    <w:rsid w:val="001B2FBC"/>
    <w:rsid w:val="001B5B88"/>
    <w:rsid w:val="001B7A48"/>
    <w:rsid w:val="001D239F"/>
    <w:rsid w:val="001D7484"/>
    <w:rsid w:val="001E1C83"/>
    <w:rsid w:val="002034A0"/>
    <w:rsid w:val="002251D3"/>
    <w:rsid w:val="00225CB1"/>
    <w:rsid w:val="00232954"/>
    <w:rsid w:val="00233B9D"/>
    <w:rsid w:val="00244323"/>
    <w:rsid w:val="002469EC"/>
    <w:rsid w:val="00247BCC"/>
    <w:rsid w:val="002513AE"/>
    <w:rsid w:val="002A2739"/>
    <w:rsid w:val="002E738B"/>
    <w:rsid w:val="002F5035"/>
    <w:rsid w:val="00302136"/>
    <w:rsid w:val="00304F02"/>
    <w:rsid w:val="00317E77"/>
    <w:rsid w:val="003265E5"/>
    <w:rsid w:val="00332E80"/>
    <w:rsid w:val="00350BF2"/>
    <w:rsid w:val="00356EB5"/>
    <w:rsid w:val="00384371"/>
    <w:rsid w:val="003A29BD"/>
    <w:rsid w:val="003A3A06"/>
    <w:rsid w:val="003A5768"/>
    <w:rsid w:val="003B1D6F"/>
    <w:rsid w:val="003C1EAF"/>
    <w:rsid w:val="003C4009"/>
    <w:rsid w:val="003D771D"/>
    <w:rsid w:val="003E03BB"/>
    <w:rsid w:val="003E5ECF"/>
    <w:rsid w:val="003F0863"/>
    <w:rsid w:val="003F2B8E"/>
    <w:rsid w:val="00422C1E"/>
    <w:rsid w:val="00437356"/>
    <w:rsid w:val="00443533"/>
    <w:rsid w:val="00450CA3"/>
    <w:rsid w:val="0045130E"/>
    <w:rsid w:val="00456B01"/>
    <w:rsid w:val="00472839"/>
    <w:rsid w:val="004832AA"/>
    <w:rsid w:val="004A6598"/>
    <w:rsid w:val="004C0556"/>
    <w:rsid w:val="004C7332"/>
    <w:rsid w:val="004C7BA9"/>
    <w:rsid w:val="004F034A"/>
    <w:rsid w:val="004F4236"/>
    <w:rsid w:val="004F7B28"/>
    <w:rsid w:val="00524CC3"/>
    <w:rsid w:val="00533545"/>
    <w:rsid w:val="00544EA6"/>
    <w:rsid w:val="005501DE"/>
    <w:rsid w:val="005620DD"/>
    <w:rsid w:val="00566221"/>
    <w:rsid w:val="00575FFF"/>
    <w:rsid w:val="00581E8C"/>
    <w:rsid w:val="00582160"/>
    <w:rsid w:val="00590756"/>
    <w:rsid w:val="005C18FD"/>
    <w:rsid w:val="005C72A5"/>
    <w:rsid w:val="005D2C1D"/>
    <w:rsid w:val="005D38EC"/>
    <w:rsid w:val="005D4D36"/>
    <w:rsid w:val="005E0E84"/>
    <w:rsid w:val="005E5AEF"/>
    <w:rsid w:val="005F4F9C"/>
    <w:rsid w:val="005F7DBE"/>
    <w:rsid w:val="00605147"/>
    <w:rsid w:val="0061100D"/>
    <w:rsid w:val="006120CC"/>
    <w:rsid w:val="006224EC"/>
    <w:rsid w:val="00623B57"/>
    <w:rsid w:val="006244AF"/>
    <w:rsid w:val="006259AB"/>
    <w:rsid w:val="00625ED1"/>
    <w:rsid w:val="00630854"/>
    <w:rsid w:val="00641DAE"/>
    <w:rsid w:val="00653CE5"/>
    <w:rsid w:val="00691293"/>
    <w:rsid w:val="00693AC7"/>
    <w:rsid w:val="00695FF9"/>
    <w:rsid w:val="006A18F9"/>
    <w:rsid w:val="006A2FD0"/>
    <w:rsid w:val="006B1AF7"/>
    <w:rsid w:val="006B2727"/>
    <w:rsid w:val="006B6F26"/>
    <w:rsid w:val="006B715F"/>
    <w:rsid w:val="006C48D2"/>
    <w:rsid w:val="006E0B58"/>
    <w:rsid w:val="006F45A7"/>
    <w:rsid w:val="007238E8"/>
    <w:rsid w:val="0072424D"/>
    <w:rsid w:val="00762745"/>
    <w:rsid w:val="007636C8"/>
    <w:rsid w:val="00766CC2"/>
    <w:rsid w:val="00771DEC"/>
    <w:rsid w:val="00777A69"/>
    <w:rsid w:val="00797733"/>
    <w:rsid w:val="007A1453"/>
    <w:rsid w:val="007A7136"/>
    <w:rsid w:val="007B3480"/>
    <w:rsid w:val="007C05F8"/>
    <w:rsid w:val="007C40A5"/>
    <w:rsid w:val="007D5F06"/>
    <w:rsid w:val="007E6351"/>
    <w:rsid w:val="008048D9"/>
    <w:rsid w:val="00807836"/>
    <w:rsid w:val="008109B7"/>
    <w:rsid w:val="0081142C"/>
    <w:rsid w:val="00816ADE"/>
    <w:rsid w:val="00841D14"/>
    <w:rsid w:val="00842ED4"/>
    <w:rsid w:val="008532F1"/>
    <w:rsid w:val="00856919"/>
    <w:rsid w:val="008773FA"/>
    <w:rsid w:val="0088171A"/>
    <w:rsid w:val="008A09B8"/>
    <w:rsid w:val="008A4E69"/>
    <w:rsid w:val="008B100A"/>
    <w:rsid w:val="008C20E7"/>
    <w:rsid w:val="008C4A94"/>
    <w:rsid w:val="008D6D47"/>
    <w:rsid w:val="008E0D88"/>
    <w:rsid w:val="008F4CB2"/>
    <w:rsid w:val="008F4CFD"/>
    <w:rsid w:val="009005A6"/>
    <w:rsid w:val="0095595E"/>
    <w:rsid w:val="0095680A"/>
    <w:rsid w:val="00962489"/>
    <w:rsid w:val="00962A1B"/>
    <w:rsid w:val="00964950"/>
    <w:rsid w:val="009778A3"/>
    <w:rsid w:val="00981500"/>
    <w:rsid w:val="009867DF"/>
    <w:rsid w:val="00992FCE"/>
    <w:rsid w:val="009C60F4"/>
    <w:rsid w:val="009D23A1"/>
    <w:rsid w:val="009D5787"/>
    <w:rsid w:val="009E0C97"/>
    <w:rsid w:val="00A013BA"/>
    <w:rsid w:val="00A05EF1"/>
    <w:rsid w:val="00A30BBE"/>
    <w:rsid w:val="00A454FC"/>
    <w:rsid w:val="00A47758"/>
    <w:rsid w:val="00A56247"/>
    <w:rsid w:val="00A708E4"/>
    <w:rsid w:val="00A7692A"/>
    <w:rsid w:val="00A77013"/>
    <w:rsid w:val="00A83129"/>
    <w:rsid w:val="00AA1B8B"/>
    <w:rsid w:val="00AD27BB"/>
    <w:rsid w:val="00AE2B44"/>
    <w:rsid w:val="00B056EE"/>
    <w:rsid w:val="00B160E7"/>
    <w:rsid w:val="00B1649A"/>
    <w:rsid w:val="00B204D3"/>
    <w:rsid w:val="00B325F4"/>
    <w:rsid w:val="00B37EAA"/>
    <w:rsid w:val="00B562A0"/>
    <w:rsid w:val="00B66918"/>
    <w:rsid w:val="00B84EBF"/>
    <w:rsid w:val="00B869B7"/>
    <w:rsid w:val="00B9763D"/>
    <w:rsid w:val="00BA507E"/>
    <w:rsid w:val="00BB64DB"/>
    <w:rsid w:val="00BF04EF"/>
    <w:rsid w:val="00BF59B8"/>
    <w:rsid w:val="00C02453"/>
    <w:rsid w:val="00C15B63"/>
    <w:rsid w:val="00C3444E"/>
    <w:rsid w:val="00C524DD"/>
    <w:rsid w:val="00C526E7"/>
    <w:rsid w:val="00C54BB1"/>
    <w:rsid w:val="00C558CC"/>
    <w:rsid w:val="00C7447F"/>
    <w:rsid w:val="00C93EA1"/>
    <w:rsid w:val="00C973DA"/>
    <w:rsid w:val="00CA213C"/>
    <w:rsid w:val="00CB6080"/>
    <w:rsid w:val="00CB7712"/>
    <w:rsid w:val="00CC3D7B"/>
    <w:rsid w:val="00CD04E4"/>
    <w:rsid w:val="00CD7E72"/>
    <w:rsid w:val="00CD7F53"/>
    <w:rsid w:val="00CE5ADF"/>
    <w:rsid w:val="00CE6067"/>
    <w:rsid w:val="00D0337F"/>
    <w:rsid w:val="00D13AFF"/>
    <w:rsid w:val="00D15974"/>
    <w:rsid w:val="00D17A04"/>
    <w:rsid w:val="00D25B6D"/>
    <w:rsid w:val="00D4213C"/>
    <w:rsid w:val="00D455B0"/>
    <w:rsid w:val="00D45FCD"/>
    <w:rsid w:val="00D56668"/>
    <w:rsid w:val="00D63C77"/>
    <w:rsid w:val="00D70BEB"/>
    <w:rsid w:val="00D73458"/>
    <w:rsid w:val="00D75B37"/>
    <w:rsid w:val="00D84B69"/>
    <w:rsid w:val="00D93CFC"/>
    <w:rsid w:val="00D95C76"/>
    <w:rsid w:val="00DA55A2"/>
    <w:rsid w:val="00DF259A"/>
    <w:rsid w:val="00E043EA"/>
    <w:rsid w:val="00E04EA1"/>
    <w:rsid w:val="00E05852"/>
    <w:rsid w:val="00E13D93"/>
    <w:rsid w:val="00E2013D"/>
    <w:rsid w:val="00E24762"/>
    <w:rsid w:val="00E27C9E"/>
    <w:rsid w:val="00E27E74"/>
    <w:rsid w:val="00E40AF7"/>
    <w:rsid w:val="00E4659D"/>
    <w:rsid w:val="00E523F1"/>
    <w:rsid w:val="00E87453"/>
    <w:rsid w:val="00EB3A79"/>
    <w:rsid w:val="00EC1011"/>
    <w:rsid w:val="00EE2D31"/>
    <w:rsid w:val="00EE6142"/>
    <w:rsid w:val="00EE766C"/>
    <w:rsid w:val="00EF2033"/>
    <w:rsid w:val="00EF3408"/>
    <w:rsid w:val="00EF3C83"/>
    <w:rsid w:val="00F07C39"/>
    <w:rsid w:val="00F5111A"/>
    <w:rsid w:val="00F5524E"/>
    <w:rsid w:val="00F70E24"/>
    <w:rsid w:val="00F72C4B"/>
    <w:rsid w:val="00F77345"/>
    <w:rsid w:val="00F91FF1"/>
    <w:rsid w:val="00F94ECD"/>
    <w:rsid w:val="00F97CBE"/>
    <w:rsid w:val="00FA26DA"/>
    <w:rsid w:val="00FB4D5A"/>
    <w:rsid w:val="00FB760A"/>
    <w:rsid w:val="00FE3697"/>
    <w:rsid w:val="00FE4AA8"/>
    <w:rsid w:val="00FF2DBF"/>
    <w:rsid w:val="3344C548"/>
    <w:rsid w:val="3EB95381"/>
    <w:rsid w:val="523854D2"/>
    <w:rsid w:val="61C858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883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character" w:styleId="Emphasis">
    <w:name w:val="Emphasis"/>
    <w:basedOn w:val="DefaultParagraphFont"/>
    <w:uiPriority w:val="20"/>
    <w:qFormat/>
    <w:rsid w:val="00011CDE"/>
    <w:rPr>
      <w:i/>
      <w:iCs/>
    </w:rPr>
  </w:style>
  <w:style w:type="paragraph" w:customStyle="1" w:styleId="Default">
    <w:name w:val="Default"/>
    <w:rsid w:val="00CD7F53"/>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styleId="NormalWeb">
    <w:name w:val="Normal (Web)"/>
    <w:basedOn w:val="Normal"/>
    <w:rsid w:val="00FE4AA8"/>
    <w:pPr>
      <w:spacing w:before="100" w:beforeAutospacing="1" w:after="100" w:afterAutospacing="1" w:line="240" w:lineRule="auto"/>
    </w:pPr>
    <w:rPr>
      <w:rFonts w:ascii="Arial Unicode MS" w:eastAsia="Arial Unicode MS" w:hAnsi="Arial Unicode MS" w:cs="Arial Unicode MS"/>
      <w:sz w:val="24"/>
      <w:szCs w:val="24"/>
    </w:rPr>
  </w:style>
  <w:style w:type="paragraph" w:styleId="NoSpacing">
    <w:name w:val="No Spacing"/>
    <w:uiPriority w:val="1"/>
    <w:qFormat/>
    <w:rsid w:val="003C4009"/>
    <w:pPr>
      <w:spacing w:after="0" w:line="240" w:lineRule="auto"/>
    </w:pPr>
  </w:style>
  <w:style w:type="character" w:customStyle="1" w:styleId="apple-converted-space">
    <w:name w:val="apple-converted-space"/>
    <w:basedOn w:val="DefaultParagraphFont"/>
    <w:rsid w:val="00A70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606290">
      <w:bodyDiv w:val="1"/>
      <w:marLeft w:val="0"/>
      <w:marRight w:val="0"/>
      <w:marTop w:val="0"/>
      <w:marBottom w:val="0"/>
      <w:divBdr>
        <w:top w:val="none" w:sz="0" w:space="0" w:color="auto"/>
        <w:left w:val="none" w:sz="0" w:space="0" w:color="auto"/>
        <w:bottom w:val="none" w:sz="0" w:space="0" w:color="auto"/>
        <w:right w:val="none" w:sz="0" w:space="0" w:color="auto"/>
      </w:divBdr>
    </w:div>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676462899">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277786315">
      <w:bodyDiv w:val="1"/>
      <w:marLeft w:val="0"/>
      <w:marRight w:val="0"/>
      <w:marTop w:val="0"/>
      <w:marBottom w:val="0"/>
      <w:divBdr>
        <w:top w:val="none" w:sz="0" w:space="0" w:color="auto"/>
        <w:left w:val="none" w:sz="0" w:space="0" w:color="auto"/>
        <w:bottom w:val="none" w:sz="0" w:space="0" w:color="auto"/>
        <w:right w:val="none" w:sz="0" w:space="0" w:color="auto"/>
      </w:divBdr>
    </w:div>
    <w:div w:id="1376395731">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559436652">
      <w:bodyDiv w:val="1"/>
      <w:marLeft w:val="0"/>
      <w:marRight w:val="0"/>
      <w:marTop w:val="0"/>
      <w:marBottom w:val="0"/>
      <w:divBdr>
        <w:top w:val="none" w:sz="0" w:space="0" w:color="auto"/>
        <w:left w:val="none" w:sz="0" w:space="0" w:color="auto"/>
        <w:bottom w:val="none" w:sz="0" w:space="0" w:color="auto"/>
        <w:right w:val="none" w:sz="0" w:space="0" w:color="auto"/>
      </w:divBdr>
    </w:div>
    <w:div w:id="1627157415">
      <w:bodyDiv w:val="1"/>
      <w:marLeft w:val="0"/>
      <w:marRight w:val="0"/>
      <w:marTop w:val="0"/>
      <w:marBottom w:val="0"/>
      <w:divBdr>
        <w:top w:val="none" w:sz="0" w:space="0" w:color="auto"/>
        <w:left w:val="none" w:sz="0" w:space="0" w:color="auto"/>
        <w:bottom w:val="none" w:sz="0" w:space="0" w:color="auto"/>
        <w:right w:val="none" w:sz="0" w:space="0" w:color="auto"/>
      </w:divBdr>
    </w:div>
    <w:div w:id="1635794789">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 w:id="211917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4A7B7-110D-9C46-ADF4-C311408D9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4128</Words>
  <Characters>23532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2024-10-27T19:09:00Z</dcterms:created>
  <dcterms:modified xsi:type="dcterms:W3CDTF">2025-01-07T15:09:00Z</dcterms:modified>
</cp:coreProperties>
</file>