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F0F42" w14:textId="23B9963C" w:rsidR="00177ED8" w:rsidRPr="00437356" w:rsidRDefault="61C85805" w:rsidP="00D0337F">
      <w:pPr>
        <w:pStyle w:val="ListParagraph"/>
        <w:numPr>
          <w:ilvl w:val="0"/>
          <w:numId w:val="2"/>
        </w:numPr>
        <w:spacing w:after="240" w:line="240" w:lineRule="auto"/>
        <w:ind w:left="357" w:hanging="357"/>
        <w:jc w:val="both"/>
        <w:rPr>
          <w:rFonts w:ascii="Arial" w:hAnsi="Arial" w:cs="Arial"/>
          <w:b/>
          <w:bCs/>
          <w:sz w:val="24"/>
          <w:szCs w:val="24"/>
        </w:rPr>
      </w:pPr>
      <w:r w:rsidRPr="00437356">
        <w:rPr>
          <w:rFonts w:ascii="Arial" w:hAnsi="Arial" w:cs="Arial"/>
          <w:b/>
          <w:bCs/>
          <w:sz w:val="24"/>
          <w:szCs w:val="24"/>
        </w:rPr>
        <w:t>R</w:t>
      </w:r>
      <w:r w:rsidR="00D0337F" w:rsidRPr="00437356">
        <w:rPr>
          <w:rFonts w:ascii="Arial" w:hAnsi="Arial" w:cs="Arial"/>
          <w:b/>
          <w:bCs/>
          <w:sz w:val="24"/>
          <w:szCs w:val="24"/>
        </w:rPr>
        <w:t>eading</w:t>
      </w:r>
    </w:p>
    <w:p w14:paraId="51861636" w14:textId="04FEDBA7" w:rsidR="007E6351" w:rsidRPr="00437356" w:rsidRDefault="007E6351" w:rsidP="00D0337F">
      <w:pPr>
        <w:spacing w:before="100" w:beforeAutospacing="1" w:after="120" w:line="240" w:lineRule="auto"/>
        <w:jc w:val="both"/>
        <w:rPr>
          <w:rFonts w:ascii="Arial" w:hAnsi="Arial" w:cs="Arial"/>
        </w:rPr>
      </w:pPr>
      <w:r w:rsidRPr="00437356">
        <w:rPr>
          <w:rFonts w:ascii="Arial" w:hAnsi="Arial" w:cs="Arial"/>
        </w:rPr>
        <w:t>For essential and further reading, please see the Reading List feature on Learn Ultra.</w:t>
      </w:r>
    </w:p>
    <w:p w14:paraId="403D49D2" w14:textId="77777777" w:rsidR="00D0337F" w:rsidRPr="00437356" w:rsidRDefault="00D0337F" w:rsidP="00D0337F">
      <w:pPr>
        <w:spacing w:before="100" w:beforeAutospacing="1" w:after="120" w:line="240" w:lineRule="auto"/>
        <w:jc w:val="both"/>
        <w:rPr>
          <w:rFonts w:ascii="Arial" w:hAnsi="Arial" w:cs="Arial"/>
        </w:rPr>
      </w:pPr>
    </w:p>
    <w:p w14:paraId="14E91E84" w14:textId="2306A8CA" w:rsidR="00FB760A" w:rsidRPr="00437356" w:rsidRDefault="00807836" w:rsidP="007E6351">
      <w:pPr>
        <w:spacing w:after="120" w:line="240" w:lineRule="auto"/>
        <w:jc w:val="both"/>
        <w:rPr>
          <w:rFonts w:ascii="Arial" w:eastAsia="Arial" w:hAnsi="Arial" w:cs="Arial"/>
          <w:u w:val="single"/>
        </w:rPr>
      </w:pPr>
      <w:r w:rsidRPr="00437356">
        <w:rPr>
          <w:rFonts w:ascii="Arial" w:eastAsia="Arial" w:hAnsi="Arial" w:cs="Arial"/>
          <w:u w:val="single"/>
        </w:rPr>
        <w:t xml:space="preserve">Key </w:t>
      </w:r>
      <w:r w:rsidR="00FB760A" w:rsidRPr="00437356">
        <w:rPr>
          <w:rFonts w:ascii="Arial" w:eastAsia="Arial" w:hAnsi="Arial" w:cs="Arial"/>
          <w:u w:val="single"/>
        </w:rPr>
        <w:t>Cases</w:t>
      </w:r>
    </w:p>
    <w:p w14:paraId="04D0E063"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proofErr w:type="spellStart"/>
      <w:r w:rsidRPr="00437356">
        <w:rPr>
          <w:rFonts w:ascii="Arial" w:eastAsia="Times New Roman" w:hAnsi="Arial" w:cs="Arial"/>
          <w:bCs/>
          <w:i/>
          <w:iCs/>
          <w:lang w:bidi="en-US"/>
        </w:rPr>
        <w:t>Morice</w:t>
      </w:r>
      <w:proofErr w:type="spellEnd"/>
      <w:r w:rsidRPr="00437356">
        <w:rPr>
          <w:rFonts w:ascii="Arial" w:eastAsia="Times New Roman" w:hAnsi="Arial" w:cs="Arial"/>
          <w:bCs/>
          <w:i/>
          <w:iCs/>
          <w:lang w:bidi="en-US"/>
        </w:rPr>
        <w:t xml:space="preserve"> v Bishop of Durham</w:t>
      </w:r>
      <w:r w:rsidRPr="00437356">
        <w:rPr>
          <w:rFonts w:ascii="Arial" w:eastAsia="Times New Roman" w:hAnsi="Arial" w:cs="Arial"/>
          <w:bCs/>
          <w:iCs/>
          <w:lang w:bidi="en-US"/>
        </w:rPr>
        <w:t xml:space="preserve"> (1805) 10 Ves Jr. 522</w:t>
      </w:r>
    </w:p>
    <w:p w14:paraId="5C3CDC40"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MS Mincho" w:hAnsi="Arial" w:cs="Arial"/>
          <w:i/>
          <w:lang w:bidi="en-US"/>
        </w:rPr>
        <w:t xml:space="preserve">Re </w:t>
      </w:r>
      <w:proofErr w:type="spellStart"/>
      <w:r w:rsidRPr="00437356">
        <w:rPr>
          <w:rFonts w:ascii="Arial" w:eastAsia="MS Mincho" w:hAnsi="Arial" w:cs="Arial"/>
          <w:i/>
          <w:lang w:bidi="en-US"/>
        </w:rPr>
        <w:t>Gulbenkian’s</w:t>
      </w:r>
      <w:proofErr w:type="spellEnd"/>
      <w:r w:rsidRPr="00437356">
        <w:rPr>
          <w:rFonts w:ascii="Arial" w:eastAsia="MS Mincho" w:hAnsi="Arial" w:cs="Arial"/>
          <w:i/>
          <w:lang w:bidi="en-US"/>
        </w:rPr>
        <w:t xml:space="preserve"> Settlement Trusts</w:t>
      </w:r>
      <w:r w:rsidRPr="00437356">
        <w:rPr>
          <w:rFonts w:ascii="Arial" w:eastAsia="MS Mincho" w:hAnsi="Arial" w:cs="Arial"/>
          <w:lang w:bidi="en-US"/>
        </w:rPr>
        <w:t xml:space="preserve"> [1968] 3 All ER 785</w:t>
      </w:r>
    </w:p>
    <w:p w14:paraId="25DA7C7C"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MS Mincho" w:hAnsi="Arial" w:cs="Arial"/>
          <w:i/>
          <w:lang w:bidi="en-US"/>
        </w:rPr>
        <w:t>McPhail v Doulton</w:t>
      </w:r>
      <w:r w:rsidRPr="00437356">
        <w:rPr>
          <w:rFonts w:ascii="Arial" w:eastAsia="MS Mincho" w:hAnsi="Arial" w:cs="Arial"/>
          <w:lang w:bidi="en-US"/>
        </w:rPr>
        <w:t xml:space="preserve"> [1971] AC 424</w:t>
      </w:r>
    </w:p>
    <w:p w14:paraId="49E676D7"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MS Mincho" w:hAnsi="Arial" w:cs="Arial"/>
          <w:i/>
          <w:lang w:bidi="en-US"/>
        </w:rPr>
        <w:t>Re Baden (No 2)</w:t>
      </w:r>
      <w:r w:rsidRPr="00437356">
        <w:rPr>
          <w:rFonts w:ascii="Arial" w:eastAsia="MS Mincho" w:hAnsi="Arial" w:cs="Arial"/>
          <w:lang w:bidi="en-US"/>
        </w:rPr>
        <w:t xml:space="preserve"> [1973] Ch 9</w:t>
      </w:r>
    </w:p>
    <w:p w14:paraId="60074A02"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Times New Roman" w:hAnsi="Arial" w:cs="Arial"/>
          <w:bCs/>
          <w:i/>
          <w:iCs/>
          <w:lang w:bidi="en-US"/>
        </w:rPr>
        <w:t xml:space="preserve">R v District Auditor ex p West Yorkshire Metropolitan County Council </w:t>
      </w:r>
      <w:r w:rsidRPr="00437356">
        <w:rPr>
          <w:rFonts w:ascii="Arial" w:eastAsia="Times New Roman" w:hAnsi="Arial" w:cs="Arial"/>
          <w:bCs/>
          <w:iCs/>
          <w:lang w:bidi="en-US"/>
        </w:rPr>
        <w:t>[1986] RVR 24</w:t>
      </w:r>
    </w:p>
    <w:p w14:paraId="1710D562" w14:textId="7BD6DC80"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hAnsi="Arial" w:cs="Arial"/>
          <w:bCs/>
          <w:i/>
          <w:iCs/>
          <w:lang w:val="en-US"/>
        </w:rPr>
        <w:t xml:space="preserve">Re Barlow’s WT </w:t>
      </w:r>
      <w:r w:rsidRPr="00437356">
        <w:rPr>
          <w:rFonts w:ascii="Arial" w:hAnsi="Arial" w:cs="Arial"/>
          <w:bCs/>
          <w:lang w:val="en-US"/>
        </w:rPr>
        <w:t>[1979] 1 WLR 278</w:t>
      </w:r>
    </w:p>
    <w:p w14:paraId="5DD846C6" w14:textId="4D20018E" w:rsidR="00807836" w:rsidRPr="00437356" w:rsidRDefault="00807836" w:rsidP="007E6351">
      <w:pPr>
        <w:pStyle w:val="ListParagraph"/>
        <w:numPr>
          <w:ilvl w:val="0"/>
          <w:numId w:val="29"/>
        </w:numPr>
        <w:snapToGrid w:val="0"/>
        <w:spacing w:after="120" w:line="240" w:lineRule="auto"/>
        <w:ind w:left="714" w:hanging="357"/>
        <w:contextualSpacing w:val="0"/>
        <w:jc w:val="both"/>
        <w:rPr>
          <w:rStyle w:val="normaltextrun"/>
          <w:rFonts w:ascii="Arial" w:eastAsia="Arial" w:hAnsi="Arial" w:cs="Arial"/>
        </w:rPr>
      </w:pPr>
      <w:r w:rsidRPr="00437356">
        <w:rPr>
          <w:rFonts w:ascii="Arial" w:hAnsi="Arial" w:cs="Arial"/>
          <w:i/>
        </w:rPr>
        <w:t xml:space="preserve">Re </w:t>
      </w:r>
      <w:proofErr w:type="spellStart"/>
      <w:r w:rsidRPr="00437356">
        <w:rPr>
          <w:rFonts w:ascii="Arial" w:hAnsi="Arial" w:cs="Arial"/>
          <w:i/>
        </w:rPr>
        <w:t>Manisty’s</w:t>
      </w:r>
      <w:proofErr w:type="spellEnd"/>
      <w:r w:rsidRPr="00437356">
        <w:rPr>
          <w:rFonts w:ascii="Arial" w:hAnsi="Arial" w:cs="Arial"/>
          <w:i/>
        </w:rPr>
        <w:t xml:space="preserve"> ST </w:t>
      </w:r>
      <w:r w:rsidRPr="00437356">
        <w:rPr>
          <w:rFonts w:ascii="Arial" w:hAnsi="Arial" w:cs="Arial"/>
        </w:rPr>
        <w:t>[1974] Ch 17</w:t>
      </w:r>
    </w:p>
    <w:p w14:paraId="5AC7591A" w14:textId="77777777"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eastAsia="Times New Roman" w:hAnsi="Arial" w:cs="Arial"/>
          <w:bCs/>
          <w:i/>
          <w:iCs/>
          <w:lang w:bidi="en-US"/>
        </w:rPr>
        <w:t>Re Tuck’s Settlement Trusts</w:t>
      </w:r>
      <w:r w:rsidRPr="00437356">
        <w:rPr>
          <w:rFonts w:ascii="Arial" w:eastAsia="Times New Roman" w:hAnsi="Arial" w:cs="Arial"/>
          <w:bCs/>
          <w:iCs/>
          <w:lang w:bidi="en-US"/>
        </w:rPr>
        <w:t xml:space="preserve"> [1978] 1 All ER 1047</w:t>
      </w:r>
    </w:p>
    <w:p w14:paraId="02FF28C7" w14:textId="4A38D22B" w:rsidR="00807836" w:rsidRPr="00437356" w:rsidRDefault="00807836" w:rsidP="007E6351">
      <w:pPr>
        <w:pStyle w:val="ListParagraph"/>
        <w:numPr>
          <w:ilvl w:val="0"/>
          <w:numId w:val="29"/>
        </w:numPr>
        <w:snapToGrid w:val="0"/>
        <w:spacing w:after="120" w:line="240" w:lineRule="auto"/>
        <w:ind w:left="714" w:hanging="357"/>
        <w:contextualSpacing w:val="0"/>
        <w:jc w:val="both"/>
        <w:rPr>
          <w:rFonts w:ascii="Arial" w:eastAsia="Arial" w:hAnsi="Arial" w:cs="Arial"/>
        </w:rPr>
      </w:pPr>
      <w:r w:rsidRPr="00437356">
        <w:rPr>
          <w:rFonts w:ascii="Arial" w:hAnsi="Arial" w:cs="Arial"/>
          <w:i/>
          <w:color w:val="000000"/>
          <w:lang w:val="en"/>
        </w:rPr>
        <w:t xml:space="preserve">Re </w:t>
      </w:r>
      <w:proofErr w:type="spellStart"/>
      <w:r w:rsidRPr="00437356">
        <w:rPr>
          <w:rFonts w:ascii="Arial" w:hAnsi="Arial" w:cs="Arial"/>
          <w:i/>
          <w:color w:val="000000"/>
          <w:lang w:val="en"/>
        </w:rPr>
        <w:t>Coxen</w:t>
      </w:r>
      <w:proofErr w:type="spellEnd"/>
      <w:r w:rsidRPr="00437356">
        <w:rPr>
          <w:rFonts w:ascii="Arial" w:hAnsi="Arial" w:cs="Arial"/>
          <w:i/>
          <w:color w:val="000000"/>
          <w:lang w:val="en"/>
        </w:rPr>
        <w:t xml:space="preserve"> </w:t>
      </w:r>
      <w:r w:rsidRPr="00437356">
        <w:rPr>
          <w:rFonts w:ascii="Arial" w:hAnsi="Arial" w:cs="Arial"/>
          <w:color w:val="000000"/>
          <w:lang w:val="en"/>
        </w:rPr>
        <w:t>[1948] Ch 747</w:t>
      </w:r>
    </w:p>
    <w:p w14:paraId="15C4128D" w14:textId="09FA5D1E" w:rsidR="00A05EF1" w:rsidRPr="00BA6EF7" w:rsidRDefault="00807836" w:rsidP="00BA6EF7">
      <w:pPr>
        <w:pStyle w:val="ListParagraph"/>
        <w:numPr>
          <w:ilvl w:val="0"/>
          <w:numId w:val="29"/>
        </w:numPr>
        <w:snapToGrid w:val="0"/>
        <w:spacing w:after="120" w:line="240" w:lineRule="auto"/>
        <w:ind w:left="714" w:hanging="357"/>
        <w:contextualSpacing w:val="0"/>
        <w:jc w:val="both"/>
        <w:rPr>
          <w:rFonts w:ascii="Arial" w:hAnsi="Arial" w:cs="Arial"/>
        </w:rPr>
      </w:pPr>
      <w:r w:rsidRPr="00437356">
        <w:rPr>
          <w:rFonts w:ascii="Arial" w:hAnsi="Arial" w:cs="Arial"/>
          <w:i/>
        </w:rPr>
        <w:t xml:space="preserve">Re Leek </w:t>
      </w:r>
      <w:r w:rsidRPr="00437356">
        <w:rPr>
          <w:rFonts w:ascii="Arial" w:hAnsi="Arial" w:cs="Arial"/>
        </w:rPr>
        <w:t>[1969] 1 Ch 563</w:t>
      </w:r>
      <w:r w:rsidR="007E6351" w:rsidRPr="00437356">
        <w:rPr>
          <w:rFonts w:ascii="Arial" w:hAnsi="Arial" w:cs="Arial"/>
        </w:rPr>
        <w:br w:type="page"/>
      </w:r>
    </w:p>
    <w:p w14:paraId="1D1F2769" w14:textId="4D9B81DD" w:rsidR="00762745" w:rsidRPr="00437356" w:rsidRDefault="00A05EF1" w:rsidP="00C526E7">
      <w:pPr>
        <w:pStyle w:val="ListParagraph"/>
        <w:numPr>
          <w:ilvl w:val="0"/>
          <w:numId w:val="2"/>
        </w:numPr>
        <w:snapToGrid w:val="0"/>
        <w:spacing w:before="120" w:after="240" w:line="360" w:lineRule="auto"/>
        <w:ind w:left="357" w:hanging="357"/>
        <w:contextualSpacing w:val="0"/>
        <w:jc w:val="both"/>
        <w:rPr>
          <w:rFonts w:ascii="Arial" w:hAnsi="Arial" w:cs="Arial"/>
          <w:b/>
          <w:sz w:val="24"/>
          <w:szCs w:val="24"/>
        </w:rPr>
      </w:pPr>
      <w:r w:rsidRPr="00437356">
        <w:rPr>
          <w:rFonts w:ascii="Arial" w:hAnsi="Arial" w:cs="Arial"/>
          <w:b/>
          <w:sz w:val="24"/>
          <w:szCs w:val="24"/>
        </w:rPr>
        <w:lastRenderedPageBreak/>
        <w:t>Certainty of Objects</w:t>
      </w:r>
    </w:p>
    <w:p w14:paraId="381C3847" w14:textId="06D1752F" w:rsidR="00FE4AA8" w:rsidRPr="00437356" w:rsidRDefault="00FE4AA8" w:rsidP="00C526E7">
      <w:pPr>
        <w:pStyle w:val="ListParagraph"/>
        <w:numPr>
          <w:ilvl w:val="0"/>
          <w:numId w:val="40"/>
        </w:numPr>
        <w:snapToGrid w:val="0"/>
        <w:spacing w:after="120" w:line="360" w:lineRule="auto"/>
        <w:contextualSpacing w:val="0"/>
        <w:jc w:val="both"/>
        <w:rPr>
          <w:rFonts w:ascii="Arial" w:eastAsia="MS Mincho" w:hAnsi="Arial" w:cs="Arial"/>
          <w:b/>
          <w:bCs/>
          <w:lang w:bidi="en-US"/>
        </w:rPr>
      </w:pPr>
      <w:r w:rsidRPr="00437356">
        <w:rPr>
          <w:rFonts w:ascii="Arial" w:eastAsia="MS Mincho" w:hAnsi="Arial" w:cs="Arial"/>
          <w:b/>
          <w:bCs/>
          <w:lang w:bidi="en-US"/>
        </w:rPr>
        <w:t>Introduction to Certainty of Objects</w:t>
      </w:r>
    </w:p>
    <w:p w14:paraId="2759178A" w14:textId="1E087781" w:rsidR="00FE4AA8" w:rsidRPr="00437356" w:rsidRDefault="00FE4AA8" w:rsidP="00C526E7">
      <w:pPr>
        <w:pStyle w:val="NormalWeb"/>
        <w:snapToGrid w:val="0"/>
        <w:spacing w:before="0" w:beforeAutospacing="0" w:after="120" w:afterAutospacing="0" w:line="360" w:lineRule="auto"/>
        <w:jc w:val="both"/>
        <w:outlineLvl w:val="3"/>
        <w:rPr>
          <w:rFonts w:ascii="Arial" w:hAnsi="Arial" w:cs="Arial"/>
          <w:bCs/>
          <w:sz w:val="22"/>
          <w:szCs w:val="22"/>
          <w:lang w:val="en"/>
        </w:rPr>
      </w:pPr>
      <w:r w:rsidRPr="00437356">
        <w:rPr>
          <w:rFonts w:ascii="Arial" w:hAnsi="Arial" w:cs="Arial"/>
          <w:bCs/>
          <w:sz w:val="22"/>
          <w:szCs w:val="22"/>
          <w:lang w:val="en"/>
        </w:rPr>
        <w:t>The final of the three certainties is certainty of objects. This requires that the trustees are able, from the trust instrument, to ascertain or identify who the beneficiaries are. There are several reasons for this requirement:</w:t>
      </w:r>
    </w:p>
    <w:p w14:paraId="1FE8C035" w14:textId="35344446" w:rsidR="00FE4AA8" w:rsidRPr="00437356" w:rsidRDefault="00FE4AA8" w:rsidP="00C526E7">
      <w:pPr>
        <w:numPr>
          <w:ilvl w:val="0"/>
          <w:numId w:val="41"/>
        </w:numPr>
        <w:snapToGrid w:val="0"/>
        <w:spacing w:after="120" w:line="360" w:lineRule="auto"/>
        <w:ind w:left="851" w:hanging="357"/>
        <w:jc w:val="both"/>
        <w:rPr>
          <w:rFonts w:ascii="Arial" w:hAnsi="Arial" w:cs="Arial"/>
        </w:rPr>
      </w:pPr>
      <w:r w:rsidRPr="00437356">
        <w:rPr>
          <w:rFonts w:ascii="Arial" w:hAnsi="Arial" w:cs="Arial"/>
        </w:rPr>
        <w:t>The trustees must know in whose favour they are to perform the trust</w:t>
      </w:r>
      <w:r w:rsidR="00E24762" w:rsidRPr="00437356">
        <w:rPr>
          <w:rFonts w:ascii="Arial" w:hAnsi="Arial" w:cs="Arial"/>
        </w:rPr>
        <w:t xml:space="preserve"> </w:t>
      </w:r>
      <w:r w:rsidRPr="00437356">
        <w:rPr>
          <w:rFonts w:ascii="Arial" w:hAnsi="Arial" w:cs="Arial"/>
        </w:rPr>
        <w:t>- i.e</w:t>
      </w:r>
      <w:r w:rsidR="00E24762" w:rsidRPr="00437356">
        <w:rPr>
          <w:rFonts w:ascii="Arial" w:hAnsi="Arial" w:cs="Arial"/>
        </w:rPr>
        <w:t xml:space="preserve">. </w:t>
      </w:r>
      <w:r w:rsidRPr="00437356">
        <w:rPr>
          <w:rFonts w:ascii="Arial" w:hAnsi="Arial" w:cs="Arial"/>
        </w:rPr>
        <w:t>- to whom must they distribute the trust property, in whose best interests must they act and to whom they owe fiduciary duties</w:t>
      </w:r>
    </w:p>
    <w:p w14:paraId="3F227823" w14:textId="77777777" w:rsidR="00FE4AA8" w:rsidRPr="00437356" w:rsidRDefault="00FE4AA8" w:rsidP="00C526E7">
      <w:pPr>
        <w:numPr>
          <w:ilvl w:val="0"/>
          <w:numId w:val="41"/>
        </w:numPr>
        <w:snapToGrid w:val="0"/>
        <w:spacing w:after="120" w:line="360" w:lineRule="auto"/>
        <w:ind w:left="851" w:hanging="357"/>
        <w:jc w:val="both"/>
        <w:rPr>
          <w:rFonts w:ascii="Arial" w:hAnsi="Arial" w:cs="Arial"/>
        </w:rPr>
      </w:pPr>
      <w:r w:rsidRPr="00437356">
        <w:rPr>
          <w:rFonts w:ascii="Arial" w:hAnsi="Arial" w:cs="Arial"/>
        </w:rPr>
        <w:t>A trust can only be enforced by its beneficiaries. If it is not clear who the beneficiaries are, then there is no way in which the trust can be enforced. As a trust is by its very nature mandatory, it is a contradiction in terms for a trust to be unenforceable.</w:t>
      </w:r>
    </w:p>
    <w:p w14:paraId="2BF5D462" w14:textId="7A8D7A14" w:rsidR="00FE4AA8" w:rsidRPr="00437356" w:rsidRDefault="00FE4AA8" w:rsidP="00C526E7">
      <w:pPr>
        <w:numPr>
          <w:ilvl w:val="0"/>
          <w:numId w:val="41"/>
        </w:numPr>
        <w:snapToGrid w:val="0"/>
        <w:spacing w:after="120" w:line="360" w:lineRule="auto"/>
        <w:ind w:left="851" w:hanging="357"/>
        <w:jc w:val="both"/>
        <w:rPr>
          <w:rFonts w:ascii="Arial" w:hAnsi="Arial" w:cs="Arial"/>
        </w:rPr>
      </w:pPr>
      <w:r w:rsidRPr="00437356">
        <w:rPr>
          <w:rFonts w:ascii="Arial" w:hAnsi="Arial" w:cs="Arial"/>
        </w:rPr>
        <w:t xml:space="preserve">In the event of any litigation involving the trust, it may be necessary for the court to ascertain who the beneficiaries are. </w:t>
      </w:r>
    </w:p>
    <w:p w14:paraId="3389ACF0" w14:textId="20913B97" w:rsidR="00FE4AA8" w:rsidRPr="00437356" w:rsidRDefault="00FE4AA8" w:rsidP="00C526E7">
      <w:pPr>
        <w:snapToGrid w:val="0"/>
        <w:spacing w:after="120" w:line="360" w:lineRule="auto"/>
        <w:jc w:val="both"/>
        <w:rPr>
          <w:rFonts w:ascii="Arial" w:hAnsi="Arial" w:cs="Arial"/>
        </w:rPr>
      </w:pPr>
      <w:r w:rsidRPr="00437356">
        <w:rPr>
          <w:rFonts w:ascii="Arial" w:hAnsi="Arial" w:cs="Arial"/>
        </w:rPr>
        <w:t>The consequence of a purported trust having uncertain objects is that the property will be returned to the settlor (or, if he is dead, his estate) by resulting trust.</w:t>
      </w:r>
    </w:p>
    <w:p w14:paraId="43BC3AE5" w14:textId="312BFAA3" w:rsidR="00FE4AA8" w:rsidRPr="00437356" w:rsidRDefault="00FE4AA8" w:rsidP="00C526E7">
      <w:pPr>
        <w:snapToGrid w:val="0"/>
        <w:spacing w:after="120" w:line="360" w:lineRule="auto"/>
        <w:jc w:val="both"/>
        <w:rPr>
          <w:rFonts w:ascii="Arial" w:hAnsi="Arial" w:cs="Arial"/>
        </w:rPr>
      </w:pPr>
      <w:r w:rsidRPr="00437356">
        <w:rPr>
          <w:rFonts w:ascii="Arial" w:hAnsi="Arial" w:cs="Arial"/>
        </w:rPr>
        <w:t>The test for certainty of objects differs depending on what type of trust or power of appointment is being dealt with.</w:t>
      </w:r>
    </w:p>
    <w:p w14:paraId="2B433445" w14:textId="77777777" w:rsidR="00FE4AA8" w:rsidRPr="00437356" w:rsidRDefault="00FE4AA8" w:rsidP="00C526E7">
      <w:pPr>
        <w:snapToGrid w:val="0"/>
        <w:spacing w:after="120" w:line="360" w:lineRule="auto"/>
        <w:jc w:val="both"/>
        <w:rPr>
          <w:rFonts w:ascii="Arial" w:eastAsia="MS Mincho" w:hAnsi="Arial" w:cs="Arial"/>
          <w:b/>
          <w:bCs/>
          <w:lang w:bidi="en-US"/>
        </w:rPr>
      </w:pPr>
    </w:p>
    <w:p w14:paraId="437B6F09" w14:textId="21C7ECAB" w:rsidR="005F4F9C" w:rsidRPr="00437356" w:rsidRDefault="00FE4AA8" w:rsidP="00C526E7">
      <w:pPr>
        <w:pStyle w:val="ListParagraph"/>
        <w:numPr>
          <w:ilvl w:val="0"/>
          <w:numId w:val="40"/>
        </w:numPr>
        <w:snapToGrid w:val="0"/>
        <w:spacing w:after="120" w:line="360" w:lineRule="auto"/>
        <w:contextualSpacing w:val="0"/>
        <w:jc w:val="both"/>
        <w:rPr>
          <w:rFonts w:ascii="Arial" w:eastAsia="MS Mincho" w:hAnsi="Arial" w:cs="Arial"/>
          <w:b/>
          <w:bCs/>
          <w:lang w:bidi="en-US"/>
        </w:rPr>
      </w:pPr>
      <w:r w:rsidRPr="00437356">
        <w:rPr>
          <w:rFonts w:ascii="Arial" w:eastAsia="MS Mincho" w:hAnsi="Arial" w:cs="Arial"/>
          <w:b/>
          <w:bCs/>
          <w:lang w:bidi="en-US"/>
        </w:rPr>
        <w:t>Trusts and Powers of Appointment</w:t>
      </w:r>
    </w:p>
    <w:p w14:paraId="7401E26E" w14:textId="489CFE3B" w:rsidR="00FE4AA8" w:rsidRPr="00437356" w:rsidRDefault="00E24762"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W</w:t>
      </w:r>
      <w:r w:rsidR="00FE4AA8" w:rsidRPr="00437356">
        <w:rPr>
          <w:rFonts w:ascii="Arial" w:eastAsia="MS Mincho" w:hAnsi="Arial" w:cs="Arial"/>
          <w:lang w:bidi="en-US"/>
        </w:rPr>
        <w:t>hen a settlor creates a trust, she may also create a power of appointment over some part of the trust property.</w:t>
      </w:r>
      <w:r w:rsidRPr="00437356">
        <w:rPr>
          <w:rFonts w:ascii="Arial" w:eastAsia="MS Mincho" w:hAnsi="Arial" w:cs="Arial"/>
          <w:lang w:bidi="en-US"/>
        </w:rPr>
        <w:t xml:space="preserve"> T</w:t>
      </w:r>
      <w:r w:rsidR="00FE4AA8" w:rsidRPr="00437356">
        <w:rPr>
          <w:rFonts w:ascii="Arial" w:eastAsia="MS Mincho" w:hAnsi="Arial" w:cs="Arial"/>
          <w:lang w:bidi="en-US"/>
        </w:rPr>
        <w:t>he main differences between trusts and powers are as follows:</w:t>
      </w:r>
    </w:p>
    <w:p w14:paraId="003904BA" w14:textId="6C125B07" w:rsidR="00CD7F53" w:rsidRPr="00437356" w:rsidRDefault="00CD7F53" w:rsidP="00C526E7">
      <w:pPr>
        <w:pStyle w:val="ListParagraph"/>
        <w:numPr>
          <w:ilvl w:val="0"/>
          <w:numId w:val="12"/>
        </w:numPr>
        <w:snapToGrid w:val="0"/>
        <w:spacing w:after="120" w:line="360" w:lineRule="auto"/>
        <w:ind w:left="850" w:hanging="357"/>
        <w:contextualSpacing w:val="0"/>
        <w:jc w:val="both"/>
        <w:rPr>
          <w:rFonts w:ascii="Arial" w:eastAsia="Times New Roman" w:hAnsi="Arial" w:cs="Arial"/>
          <w:bCs/>
          <w:iCs/>
          <w:lang w:bidi="en-US"/>
        </w:rPr>
      </w:pPr>
      <w:r w:rsidRPr="00437356">
        <w:rPr>
          <w:rFonts w:ascii="Arial" w:eastAsia="Times New Roman" w:hAnsi="Arial" w:cs="Arial"/>
          <w:bCs/>
          <w:iCs/>
          <w:lang w:bidi="en-US"/>
        </w:rPr>
        <w:t xml:space="preserve">Trusts </w:t>
      </w:r>
      <w:r w:rsidR="005F4F9C" w:rsidRPr="00437356">
        <w:rPr>
          <w:rFonts w:ascii="Arial" w:eastAsia="Times New Roman" w:hAnsi="Arial" w:cs="Arial"/>
          <w:bCs/>
          <w:iCs/>
          <w:lang w:bidi="en-US"/>
        </w:rPr>
        <w:t xml:space="preserve">are mandatory- they </w:t>
      </w:r>
      <w:r w:rsidRPr="00437356">
        <w:rPr>
          <w:rFonts w:ascii="Arial" w:eastAsia="Times New Roman" w:hAnsi="Arial" w:cs="Arial"/>
          <w:bCs/>
          <w:iCs/>
          <w:lang w:bidi="en-US"/>
        </w:rPr>
        <w:t xml:space="preserve">involve obligations that must be complied with, such as the obligation to distribute property between certain beneficiaries. </w:t>
      </w:r>
    </w:p>
    <w:p w14:paraId="2676F404" w14:textId="3DDAA0CB" w:rsidR="00CD7F53" w:rsidRPr="00437356" w:rsidRDefault="00CD7F53" w:rsidP="00C526E7">
      <w:pPr>
        <w:pStyle w:val="ListParagraph"/>
        <w:numPr>
          <w:ilvl w:val="0"/>
          <w:numId w:val="12"/>
        </w:numPr>
        <w:snapToGrid w:val="0"/>
        <w:spacing w:after="120" w:line="360" w:lineRule="auto"/>
        <w:ind w:left="850" w:hanging="357"/>
        <w:contextualSpacing w:val="0"/>
        <w:jc w:val="both"/>
        <w:rPr>
          <w:rFonts w:ascii="Arial" w:eastAsia="Times New Roman" w:hAnsi="Arial" w:cs="Arial"/>
          <w:bCs/>
          <w:iCs/>
          <w:lang w:bidi="en-US"/>
        </w:rPr>
      </w:pPr>
      <w:r w:rsidRPr="00437356">
        <w:rPr>
          <w:rFonts w:ascii="Arial" w:eastAsia="Times New Roman" w:hAnsi="Arial" w:cs="Arial"/>
          <w:bCs/>
          <w:iCs/>
          <w:lang w:bidi="en-US"/>
        </w:rPr>
        <w:t xml:space="preserve">Powers are not obligatory; they are </w:t>
      </w:r>
      <w:r w:rsidR="005F4F9C" w:rsidRPr="00437356">
        <w:rPr>
          <w:rFonts w:ascii="Arial" w:eastAsia="Times New Roman" w:hAnsi="Arial" w:cs="Arial"/>
          <w:bCs/>
          <w:iCs/>
          <w:lang w:bidi="en-US"/>
        </w:rPr>
        <w:t>discretionary</w:t>
      </w:r>
      <w:r w:rsidR="00E24762" w:rsidRPr="00437356">
        <w:rPr>
          <w:rFonts w:ascii="Arial" w:eastAsia="Times New Roman" w:hAnsi="Arial" w:cs="Arial"/>
          <w:bCs/>
          <w:iCs/>
          <w:lang w:bidi="en-US"/>
        </w:rPr>
        <w:t xml:space="preserve"> </w:t>
      </w:r>
      <w:r w:rsidR="005F4F9C" w:rsidRPr="00437356">
        <w:rPr>
          <w:rFonts w:ascii="Arial" w:eastAsia="Times New Roman" w:hAnsi="Arial" w:cs="Arial"/>
          <w:bCs/>
          <w:iCs/>
          <w:lang w:bidi="en-US"/>
        </w:rPr>
        <w:t xml:space="preserve">- i.e. </w:t>
      </w:r>
      <w:r w:rsidR="00E24762" w:rsidRPr="00437356">
        <w:rPr>
          <w:rFonts w:ascii="Arial" w:eastAsia="Times New Roman" w:hAnsi="Arial" w:cs="Arial"/>
          <w:bCs/>
          <w:iCs/>
          <w:lang w:bidi="en-US"/>
        </w:rPr>
        <w:t xml:space="preserve">- </w:t>
      </w:r>
      <w:r w:rsidR="005F4F9C" w:rsidRPr="00437356">
        <w:rPr>
          <w:rFonts w:ascii="Arial" w:eastAsia="Times New Roman" w:hAnsi="Arial" w:cs="Arial"/>
          <w:bCs/>
          <w:iCs/>
          <w:lang w:bidi="en-US"/>
        </w:rPr>
        <w:t xml:space="preserve">a power is </w:t>
      </w:r>
      <w:r w:rsidRPr="00437356">
        <w:rPr>
          <w:rFonts w:ascii="Arial" w:eastAsia="Times New Roman" w:hAnsi="Arial" w:cs="Arial"/>
          <w:bCs/>
          <w:iCs/>
          <w:lang w:bidi="en-US"/>
        </w:rPr>
        <w:t xml:space="preserve">merely something that the holders of the power are permitted to do, should they wish to do so.  </w:t>
      </w:r>
    </w:p>
    <w:p w14:paraId="3C7C09E2" w14:textId="7FF4AA29" w:rsidR="00CD7F53" w:rsidRPr="00437356" w:rsidRDefault="00CD7F53" w:rsidP="00C526E7">
      <w:pPr>
        <w:pStyle w:val="ListParagraph"/>
        <w:numPr>
          <w:ilvl w:val="0"/>
          <w:numId w:val="12"/>
        </w:numPr>
        <w:snapToGrid w:val="0"/>
        <w:spacing w:after="120" w:line="360" w:lineRule="auto"/>
        <w:ind w:left="850" w:hanging="357"/>
        <w:contextualSpacing w:val="0"/>
        <w:jc w:val="both"/>
        <w:rPr>
          <w:rFonts w:ascii="Arial" w:eastAsia="Times New Roman" w:hAnsi="Arial" w:cs="Arial"/>
          <w:bCs/>
          <w:iCs/>
          <w:lang w:bidi="en-US"/>
        </w:rPr>
      </w:pPr>
      <w:r w:rsidRPr="00437356">
        <w:rPr>
          <w:rFonts w:ascii="Arial" w:eastAsia="Times New Roman" w:hAnsi="Arial" w:cs="Arial"/>
          <w:bCs/>
          <w:iCs/>
          <w:lang w:bidi="en-US"/>
        </w:rPr>
        <w:t>Powers may be held by trustees (‘fiduciary powers’) or by other people who are not trustees (‘</w:t>
      </w:r>
      <w:r w:rsidR="00FE4AA8" w:rsidRPr="00437356">
        <w:rPr>
          <w:rFonts w:ascii="Arial" w:eastAsia="Times New Roman" w:hAnsi="Arial" w:cs="Arial"/>
          <w:bCs/>
          <w:iCs/>
          <w:lang w:bidi="en-US"/>
        </w:rPr>
        <w:t>bare powers’, or personal powers’, sometimes also referred to as ‘</w:t>
      </w:r>
      <w:r w:rsidRPr="00437356">
        <w:rPr>
          <w:rFonts w:ascii="Arial" w:eastAsia="Times New Roman" w:hAnsi="Arial" w:cs="Arial"/>
          <w:bCs/>
          <w:iCs/>
          <w:lang w:bidi="en-US"/>
        </w:rPr>
        <w:t>mere powers’).</w:t>
      </w:r>
    </w:p>
    <w:p w14:paraId="7D93EF73" w14:textId="33346993" w:rsidR="00CD7F53" w:rsidRPr="00437356" w:rsidRDefault="00CD7F53" w:rsidP="00C526E7">
      <w:pPr>
        <w:pStyle w:val="ListParagraph"/>
        <w:numPr>
          <w:ilvl w:val="0"/>
          <w:numId w:val="12"/>
        </w:numPr>
        <w:snapToGrid w:val="0"/>
        <w:spacing w:after="120" w:line="360" w:lineRule="auto"/>
        <w:ind w:left="850" w:hanging="357"/>
        <w:contextualSpacing w:val="0"/>
        <w:jc w:val="both"/>
        <w:rPr>
          <w:rFonts w:ascii="Arial" w:eastAsia="Times New Roman" w:hAnsi="Arial" w:cs="Arial"/>
          <w:bCs/>
          <w:iCs/>
          <w:lang w:bidi="en-US"/>
        </w:rPr>
      </w:pPr>
      <w:r w:rsidRPr="00437356">
        <w:rPr>
          <w:rFonts w:ascii="Arial" w:eastAsia="Times New Roman" w:hAnsi="Arial" w:cs="Arial"/>
          <w:bCs/>
          <w:iCs/>
          <w:lang w:bidi="en-US"/>
        </w:rPr>
        <w:t>A holder of a fiduciary power must from time to time consider its exercise (but there is no obligation to actually exercise it) and must survey the range of possible beneficiaries before exercising it (</w:t>
      </w:r>
      <w:r w:rsidRPr="00437356">
        <w:rPr>
          <w:rFonts w:ascii="Arial" w:eastAsia="Times New Roman" w:hAnsi="Arial" w:cs="Arial"/>
          <w:bCs/>
          <w:i/>
          <w:iCs/>
          <w:lang w:bidi="en-US"/>
        </w:rPr>
        <w:t>Re Hay’s Settlement Trusts</w:t>
      </w:r>
      <w:r w:rsidRPr="00437356">
        <w:rPr>
          <w:rFonts w:ascii="Arial" w:eastAsia="Times New Roman" w:hAnsi="Arial" w:cs="Arial"/>
          <w:bCs/>
          <w:iCs/>
          <w:lang w:bidi="en-US"/>
        </w:rPr>
        <w:t xml:space="preserve"> [1981] 3 All ER 786). There are no such obligations on the holder of a </w:t>
      </w:r>
      <w:r w:rsidR="00FE4AA8" w:rsidRPr="00437356">
        <w:rPr>
          <w:rFonts w:ascii="Arial" w:eastAsia="Times New Roman" w:hAnsi="Arial" w:cs="Arial"/>
          <w:bCs/>
          <w:iCs/>
          <w:lang w:bidi="en-US"/>
        </w:rPr>
        <w:t xml:space="preserve">bare </w:t>
      </w:r>
      <w:r w:rsidRPr="00437356">
        <w:rPr>
          <w:rFonts w:ascii="Arial" w:eastAsia="Times New Roman" w:hAnsi="Arial" w:cs="Arial"/>
          <w:bCs/>
          <w:iCs/>
          <w:lang w:bidi="en-US"/>
        </w:rPr>
        <w:t xml:space="preserve">power. </w:t>
      </w:r>
    </w:p>
    <w:p w14:paraId="2F561281" w14:textId="77777777" w:rsidR="00CD7F53" w:rsidRPr="00437356" w:rsidRDefault="00CD7F53" w:rsidP="00C526E7">
      <w:pPr>
        <w:pStyle w:val="ListParagraph"/>
        <w:numPr>
          <w:ilvl w:val="0"/>
          <w:numId w:val="12"/>
        </w:numPr>
        <w:snapToGrid w:val="0"/>
        <w:spacing w:after="120" w:line="360" w:lineRule="auto"/>
        <w:ind w:left="850" w:hanging="357"/>
        <w:contextualSpacing w:val="0"/>
        <w:jc w:val="both"/>
        <w:rPr>
          <w:rFonts w:ascii="Arial" w:eastAsia="Times New Roman" w:hAnsi="Arial" w:cs="Arial"/>
          <w:bCs/>
          <w:iCs/>
          <w:lang w:bidi="en-US"/>
        </w:rPr>
      </w:pPr>
      <w:r w:rsidRPr="00437356">
        <w:rPr>
          <w:rFonts w:ascii="Arial" w:eastAsia="Times New Roman" w:hAnsi="Arial" w:cs="Arial"/>
          <w:bCs/>
          <w:iCs/>
          <w:lang w:bidi="en-US"/>
        </w:rPr>
        <w:lastRenderedPageBreak/>
        <w:t xml:space="preserve">All holders of a power must ensure that when they exercise it, they do so within the terms of the power, i.e., ensure that </w:t>
      </w:r>
      <w:r w:rsidRPr="00437356">
        <w:rPr>
          <w:rFonts w:ascii="Arial" w:eastAsia="Times New Roman" w:hAnsi="Arial" w:cs="Arial"/>
          <w:lang w:bidi="en-US"/>
        </w:rPr>
        <w:t>the power is not exercised excessively and that appointments are not made to those outside the class of objects.</w:t>
      </w:r>
    </w:p>
    <w:p w14:paraId="14109EC8" w14:textId="372A828F" w:rsidR="00CD7F53" w:rsidRPr="00437356" w:rsidRDefault="00CD7F53" w:rsidP="00C526E7">
      <w:pPr>
        <w:pStyle w:val="ListParagraph"/>
        <w:numPr>
          <w:ilvl w:val="0"/>
          <w:numId w:val="12"/>
        </w:numPr>
        <w:snapToGrid w:val="0"/>
        <w:spacing w:after="120" w:line="360" w:lineRule="auto"/>
        <w:ind w:left="850" w:hanging="357"/>
        <w:contextualSpacing w:val="0"/>
        <w:jc w:val="both"/>
        <w:rPr>
          <w:rFonts w:ascii="Arial" w:eastAsia="Times New Roman" w:hAnsi="Arial" w:cs="Arial"/>
          <w:bCs/>
          <w:iCs/>
          <w:lang w:bidi="en-US"/>
        </w:rPr>
      </w:pPr>
      <w:r w:rsidRPr="00437356">
        <w:rPr>
          <w:rFonts w:ascii="Arial" w:eastAsia="Times New Roman" w:hAnsi="Arial" w:cs="Arial"/>
          <w:bCs/>
          <w:iCs/>
          <w:lang w:bidi="en-US"/>
        </w:rPr>
        <w:t xml:space="preserve">Keep in mind that any one trust arrangement may involve trusts, fiduciary powers and </w:t>
      </w:r>
      <w:r w:rsidR="00FE4AA8" w:rsidRPr="00437356">
        <w:rPr>
          <w:rFonts w:ascii="Arial" w:eastAsia="Times New Roman" w:hAnsi="Arial" w:cs="Arial"/>
          <w:bCs/>
          <w:iCs/>
          <w:lang w:bidi="en-US"/>
        </w:rPr>
        <w:t>bare</w:t>
      </w:r>
      <w:r w:rsidRPr="00437356">
        <w:rPr>
          <w:rFonts w:ascii="Arial" w:eastAsia="Times New Roman" w:hAnsi="Arial" w:cs="Arial"/>
          <w:bCs/>
          <w:iCs/>
          <w:lang w:bidi="en-US"/>
        </w:rPr>
        <w:t xml:space="preserve"> powers.</w:t>
      </w:r>
    </w:p>
    <w:p w14:paraId="5CA80FCF" w14:textId="6F94A991" w:rsidR="00CD7F53" w:rsidRPr="00437356" w:rsidRDefault="00FE4AA8" w:rsidP="00C526E7">
      <w:pPr>
        <w:snapToGrid w:val="0"/>
        <w:spacing w:after="120" w:line="360" w:lineRule="auto"/>
        <w:jc w:val="both"/>
        <w:rPr>
          <w:rFonts w:ascii="Arial" w:eastAsia="Times New Roman" w:hAnsi="Arial" w:cs="Arial"/>
          <w:bCs/>
          <w:iCs/>
          <w:lang w:bidi="en-US"/>
        </w:rPr>
      </w:pPr>
      <w:r w:rsidRPr="00437356">
        <w:rPr>
          <w:rFonts w:ascii="Arial" w:eastAsia="Times New Roman" w:hAnsi="Arial" w:cs="Arial"/>
          <w:bCs/>
          <w:iCs/>
          <w:lang w:bidi="en-US"/>
        </w:rPr>
        <w:t>When a power of appointment identifies a class of persons in whose favour the power can be exercised, its objects must be certain. So, when discussing certainty of objects, we must also consider powers of appointment.</w:t>
      </w:r>
    </w:p>
    <w:p w14:paraId="6691A113" w14:textId="77777777" w:rsidR="00CD7F53" w:rsidRPr="00437356" w:rsidRDefault="00CD7F53" w:rsidP="00C526E7">
      <w:pPr>
        <w:snapToGrid w:val="0"/>
        <w:spacing w:after="120" w:line="360" w:lineRule="auto"/>
        <w:jc w:val="both"/>
        <w:rPr>
          <w:rFonts w:ascii="Arial" w:eastAsia="Times New Roman" w:hAnsi="Arial" w:cs="Arial"/>
          <w:b/>
          <w:bCs/>
          <w:iCs/>
          <w:lang w:bidi="en-US"/>
        </w:rPr>
      </w:pPr>
    </w:p>
    <w:p w14:paraId="40CB23FD" w14:textId="53A30800" w:rsidR="005F4F9C" w:rsidRPr="00437356" w:rsidRDefault="00CD7F53" w:rsidP="00C526E7">
      <w:pPr>
        <w:pStyle w:val="ListParagraph"/>
        <w:numPr>
          <w:ilvl w:val="0"/>
          <w:numId w:val="40"/>
        </w:numPr>
        <w:snapToGrid w:val="0"/>
        <w:spacing w:after="120" w:line="360" w:lineRule="auto"/>
        <w:contextualSpacing w:val="0"/>
        <w:jc w:val="both"/>
        <w:rPr>
          <w:rFonts w:ascii="Arial" w:eastAsia="MS Mincho" w:hAnsi="Arial" w:cs="Arial"/>
          <w:b/>
          <w:bCs/>
          <w:lang w:bidi="en-US"/>
        </w:rPr>
      </w:pPr>
      <w:r w:rsidRPr="00437356">
        <w:rPr>
          <w:rFonts w:ascii="Arial" w:eastAsia="MS Mincho" w:hAnsi="Arial" w:cs="Arial"/>
          <w:b/>
          <w:bCs/>
          <w:lang w:bidi="en-US"/>
        </w:rPr>
        <w:t xml:space="preserve">General </w:t>
      </w:r>
      <w:r w:rsidR="005F4F9C" w:rsidRPr="00437356">
        <w:rPr>
          <w:rFonts w:ascii="Arial" w:eastAsia="MS Mincho" w:hAnsi="Arial" w:cs="Arial"/>
          <w:b/>
          <w:bCs/>
          <w:lang w:bidi="en-US"/>
        </w:rPr>
        <w:t>P</w:t>
      </w:r>
      <w:r w:rsidRPr="00437356">
        <w:rPr>
          <w:rFonts w:ascii="Arial" w:eastAsia="MS Mincho" w:hAnsi="Arial" w:cs="Arial"/>
          <w:b/>
          <w:bCs/>
          <w:lang w:bidi="en-US"/>
        </w:rPr>
        <w:t xml:space="preserve">rinciples </w:t>
      </w:r>
      <w:r w:rsidR="005F4F9C" w:rsidRPr="00437356">
        <w:rPr>
          <w:rFonts w:ascii="Arial" w:eastAsia="MS Mincho" w:hAnsi="Arial" w:cs="Arial"/>
          <w:b/>
          <w:bCs/>
          <w:lang w:bidi="en-US"/>
        </w:rPr>
        <w:t>P</w:t>
      </w:r>
      <w:r w:rsidR="00D15974" w:rsidRPr="00437356">
        <w:rPr>
          <w:rFonts w:ascii="Arial" w:eastAsia="MS Mincho" w:hAnsi="Arial" w:cs="Arial"/>
          <w:b/>
          <w:bCs/>
          <w:lang w:bidi="en-US"/>
        </w:rPr>
        <w:t>ertaining to</w:t>
      </w:r>
      <w:r w:rsidRPr="00437356">
        <w:rPr>
          <w:rFonts w:ascii="Arial" w:eastAsia="MS Mincho" w:hAnsi="Arial" w:cs="Arial"/>
          <w:b/>
          <w:bCs/>
          <w:lang w:bidi="en-US"/>
        </w:rPr>
        <w:t xml:space="preserve"> </w:t>
      </w:r>
      <w:r w:rsidR="005F4F9C" w:rsidRPr="00437356">
        <w:rPr>
          <w:rFonts w:ascii="Arial" w:eastAsia="MS Mincho" w:hAnsi="Arial" w:cs="Arial"/>
          <w:b/>
          <w:bCs/>
          <w:lang w:bidi="en-US"/>
        </w:rPr>
        <w:t>C</w:t>
      </w:r>
      <w:r w:rsidRPr="00437356">
        <w:rPr>
          <w:rFonts w:ascii="Arial" w:eastAsia="MS Mincho" w:hAnsi="Arial" w:cs="Arial"/>
          <w:b/>
          <w:bCs/>
          <w:lang w:bidi="en-US"/>
        </w:rPr>
        <w:t xml:space="preserve">ertainty of </w:t>
      </w:r>
      <w:r w:rsidR="005F4F9C" w:rsidRPr="00437356">
        <w:rPr>
          <w:rFonts w:ascii="Arial" w:eastAsia="MS Mincho" w:hAnsi="Arial" w:cs="Arial"/>
          <w:b/>
          <w:bCs/>
          <w:lang w:bidi="en-US"/>
        </w:rPr>
        <w:t>O</w:t>
      </w:r>
      <w:r w:rsidRPr="00437356">
        <w:rPr>
          <w:rFonts w:ascii="Arial" w:eastAsia="MS Mincho" w:hAnsi="Arial" w:cs="Arial"/>
          <w:b/>
          <w:bCs/>
          <w:lang w:bidi="en-US"/>
        </w:rPr>
        <w:t>bjects</w:t>
      </w:r>
    </w:p>
    <w:p w14:paraId="7904BEE3" w14:textId="3076CC2E" w:rsidR="005F4F9C" w:rsidRPr="00437356" w:rsidRDefault="00CD7F53" w:rsidP="00C526E7">
      <w:pPr>
        <w:snapToGrid w:val="0"/>
        <w:spacing w:after="120" w:line="360" w:lineRule="auto"/>
        <w:jc w:val="both"/>
        <w:rPr>
          <w:rFonts w:ascii="Arial" w:eastAsia="Times New Roman" w:hAnsi="Arial" w:cs="Arial"/>
          <w:bCs/>
          <w:iCs/>
          <w:lang w:bidi="en-US"/>
        </w:rPr>
      </w:pPr>
      <w:r w:rsidRPr="00437356">
        <w:rPr>
          <w:rFonts w:ascii="Arial" w:eastAsia="Times New Roman" w:hAnsi="Arial" w:cs="Arial"/>
          <w:bCs/>
          <w:iCs/>
          <w:lang w:bidi="en-US"/>
        </w:rPr>
        <w:t xml:space="preserve">In order to perform their functions, the trustees must be able to ascertain who the beneficiaries of the trust are. If the beneficiaries are not defined with sufficient certainty, the trust will not be valid. </w:t>
      </w:r>
    </w:p>
    <w:p w14:paraId="2AD9A02E" w14:textId="536ED330" w:rsidR="005F4F9C" w:rsidRPr="00437356" w:rsidRDefault="00CD7F53" w:rsidP="00C526E7">
      <w:pPr>
        <w:snapToGrid w:val="0"/>
        <w:spacing w:after="120" w:line="360" w:lineRule="auto"/>
        <w:jc w:val="both"/>
        <w:rPr>
          <w:rFonts w:ascii="Arial" w:eastAsia="Times New Roman" w:hAnsi="Arial" w:cs="Arial"/>
          <w:lang w:bidi="en-US"/>
        </w:rPr>
      </w:pPr>
      <w:r w:rsidRPr="00437356">
        <w:rPr>
          <w:rFonts w:ascii="Arial" w:eastAsia="Times New Roman" w:hAnsi="Arial" w:cs="Arial"/>
          <w:lang w:bidi="en-US"/>
        </w:rPr>
        <w:t xml:space="preserve">For a long time, it was thought that certainty of objects requirement </w:t>
      </w:r>
      <w:r w:rsidR="00B84EBF">
        <w:rPr>
          <w:rFonts w:ascii="Arial" w:eastAsia="Times New Roman" w:hAnsi="Arial" w:cs="Arial"/>
          <w:lang w:bidi="en-US"/>
        </w:rPr>
        <w:t>was</w:t>
      </w:r>
      <w:r w:rsidRPr="00437356">
        <w:rPr>
          <w:rFonts w:ascii="Arial" w:eastAsia="Times New Roman" w:hAnsi="Arial" w:cs="Arial"/>
          <w:lang w:bidi="en-US"/>
        </w:rPr>
        <w:t xml:space="preserve"> determined by the potential need of the court to administer the trust. Lord Eldon affirmed this principle in </w:t>
      </w:r>
      <w:proofErr w:type="spellStart"/>
      <w:r w:rsidRPr="00437356">
        <w:rPr>
          <w:rFonts w:ascii="Arial" w:eastAsia="Times New Roman" w:hAnsi="Arial" w:cs="Arial"/>
          <w:i/>
          <w:iCs/>
          <w:lang w:bidi="en-US"/>
        </w:rPr>
        <w:t>Morice</w:t>
      </w:r>
      <w:proofErr w:type="spellEnd"/>
      <w:r w:rsidRPr="00437356">
        <w:rPr>
          <w:rFonts w:ascii="Arial" w:eastAsia="Times New Roman" w:hAnsi="Arial" w:cs="Arial"/>
          <w:i/>
          <w:iCs/>
          <w:lang w:bidi="en-US"/>
        </w:rPr>
        <w:t xml:space="preserve"> v Bishop of Durham</w:t>
      </w:r>
      <w:r w:rsidRPr="00437356">
        <w:rPr>
          <w:rFonts w:ascii="Arial" w:eastAsia="Times New Roman" w:hAnsi="Arial" w:cs="Arial"/>
          <w:lang w:bidi="en-US"/>
        </w:rPr>
        <w:t xml:space="preserve"> (1805) 10 Ves Jr. 522 at 539-540: </w:t>
      </w:r>
    </w:p>
    <w:p w14:paraId="488DFB91" w14:textId="5E0AA97D" w:rsidR="007E6351" w:rsidRPr="00437356" w:rsidRDefault="007E6351" w:rsidP="00C526E7">
      <w:pPr>
        <w:snapToGrid w:val="0"/>
        <w:spacing w:after="120" w:line="360" w:lineRule="auto"/>
        <w:ind w:left="720"/>
        <w:jc w:val="both"/>
        <w:rPr>
          <w:rFonts w:ascii="Arial" w:eastAsia="Times New Roman" w:hAnsi="Arial" w:cs="Arial"/>
          <w:lang w:bidi="en-US"/>
        </w:rPr>
      </w:pPr>
      <w:r w:rsidRPr="00437356">
        <w:rPr>
          <w:rFonts w:ascii="Arial" w:eastAsia="Times New Roman" w:hAnsi="Arial" w:cs="Arial"/>
          <w:lang w:bidi="en-US"/>
        </w:rPr>
        <w:t>“</w:t>
      </w:r>
      <w:r w:rsidR="00CD7F53" w:rsidRPr="00437356">
        <w:rPr>
          <w:rFonts w:ascii="Arial" w:eastAsia="Times New Roman" w:hAnsi="Arial" w:cs="Arial"/>
          <w:lang w:bidi="en-US"/>
        </w:rPr>
        <w:t xml:space="preserve">The principle, upon which that trust [in </w:t>
      </w:r>
      <w:r w:rsidR="00CD7F53" w:rsidRPr="00437356">
        <w:rPr>
          <w:rFonts w:ascii="Arial" w:eastAsia="Times New Roman" w:hAnsi="Arial" w:cs="Arial"/>
          <w:i/>
          <w:iCs/>
          <w:lang w:bidi="en-US"/>
        </w:rPr>
        <w:t xml:space="preserve">Brown v </w:t>
      </w:r>
      <w:proofErr w:type="spellStart"/>
      <w:r w:rsidR="00CD7F53" w:rsidRPr="00437356">
        <w:rPr>
          <w:rFonts w:ascii="Arial" w:eastAsia="Times New Roman" w:hAnsi="Arial" w:cs="Arial"/>
          <w:i/>
          <w:iCs/>
          <w:lang w:bidi="en-US"/>
        </w:rPr>
        <w:t>Yeal</w:t>
      </w:r>
      <w:proofErr w:type="spellEnd"/>
      <w:r w:rsidR="00CD7F53" w:rsidRPr="00437356">
        <w:rPr>
          <w:rFonts w:ascii="Arial" w:eastAsia="Times New Roman" w:hAnsi="Arial" w:cs="Arial"/>
          <w:lang w:bidi="en-US"/>
        </w:rPr>
        <w:t xml:space="preserve">] was ill-declared, is this. As it is a maxim, that the execution of a trust shall be under the control of the Court, it must be of such a nature, that it can be under that control; so that the administration of it can be reviewed by the Court; or, if the trustee dies, the Court itself can execute the trust: a trust therefore, which, in case of mal-administration could be reformed; and a due administration directed; and then, unless the subject and the objects can be ascertained, upon principles, familiar in other cases, it must be decided, that the Court can neither reform mal-administration, nor direct a due administration.” </w:t>
      </w:r>
    </w:p>
    <w:p w14:paraId="672FA839" w14:textId="0DCF11FF" w:rsidR="005F4F9C" w:rsidRPr="00437356" w:rsidRDefault="00CD7F53" w:rsidP="00C526E7">
      <w:pPr>
        <w:snapToGrid w:val="0"/>
        <w:spacing w:after="120" w:line="360" w:lineRule="auto"/>
        <w:jc w:val="both"/>
        <w:rPr>
          <w:rFonts w:ascii="Arial" w:eastAsia="Times New Roman" w:hAnsi="Arial" w:cs="Arial"/>
          <w:lang w:bidi="en-US"/>
        </w:rPr>
      </w:pPr>
      <w:r w:rsidRPr="00437356">
        <w:rPr>
          <w:rFonts w:ascii="Arial" w:eastAsia="Times New Roman" w:hAnsi="Arial" w:cs="Arial"/>
          <w:lang w:bidi="en-US"/>
        </w:rPr>
        <w:t>Furthermore, it was thought that the court could not itself exercise the discretion conferred upon trustees and could only divide property equally between beneficiaries according to the maxim ‘equality is equity.’</w:t>
      </w:r>
    </w:p>
    <w:p w14:paraId="2E56B8D0" w14:textId="548C8E98" w:rsidR="005F4F9C" w:rsidRPr="00437356" w:rsidRDefault="00CD7F53" w:rsidP="00C526E7">
      <w:pPr>
        <w:snapToGrid w:val="0"/>
        <w:spacing w:after="120" w:line="360" w:lineRule="auto"/>
        <w:jc w:val="both"/>
        <w:rPr>
          <w:rFonts w:ascii="Arial" w:eastAsia="Times New Roman" w:hAnsi="Arial" w:cs="Arial"/>
          <w:bCs/>
          <w:iCs/>
          <w:lang w:bidi="en-US"/>
        </w:rPr>
      </w:pPr>
      <w:r w:rsidRPr="00437356">
        <w:rPr>
          <w:rFonts w:ascii="Arial" w:eastAsia="Times New Roman" w:hAnsi="Arial" w:cs="Arial"/>
          <w:bCs/>
          <w:iCs/>
          <w:lang w:bidi="en-US"/>
        </w:rPr>
        <w:t xml:space="preserve">A settlor may identify the beneficiaries by name e.g., ‘John Smith’ or by means of a class definition, e.g., ‘my relatives.’ It is the latter method which has caused most problems in the area of certainty of objects. </w:t>
      </w:r>
    </w:p>
    <w:p w14:paraId="12BC5BC7" w14:textId="66F32A38" w:rsidR="00D15974" w:rsidRPr="00437356" w:rsidRDefault="00D15974" w:rsidP="00C526E7">
      <w:pPr>
        <w:snapToGrid w:val="0"/>
        <w:spacing w:after="120" w:line="360" w:lineRule="auto"/>
        <w:jc w:val="both"/>
        <w:rPr>
          <w:rFonts w:ascii="Arial" w:eastAsia="Times New Roman" w:hAnsi="Arial" w:cs="Arial"/>
          <w:bCs/>
          <w:iCs/>
          <w:lang w:bidi="en-US"/>
        </w:rPr>
      </w:pPr>
      <w:r w:rsidRPr="00437356">
        <w:rPr>
          <w:rFonts w:ascii="Arial" w:eastAsia="Times New Roman" w:hAnsi="Arial" w:cs="Arial"/>
          <w:bCs/>
          <w:iCs/>
          <w:lang w:bidi="en-US"/>
        </w:rPr>
        <w:t>Before we proceed to examine the tests for certainty of objects, there are two terms with which you should be familiar:</w:t>
      </w:r>
    </w:p>
    <w:p w14:paraId="7C4390E9" w14:textId="501E3979" w:rsidR="00D15974" w:rsidRPr="00437356" w:rsidRDefault="00D15974" w:rsidP="00C526E7">
      <w:pPr>
        <w:pStyle w:val="ListParagraph"/>
        <w:numPr>
          <w:ilvl w:val="0"/>
          <w:numId w:val="38"/>
        </w:numPr>
        <w:snapToGrid w:val="0"/>
        <w:spacing w:after="120" w:line="360" w:lineRule="auto"/>
        <w:ind w:left="357" w:hanging="357"/>
        <w:contextualSpacing w:val="0"/>
        <w:jc w:val="both"/>
        <w:rPr>
          <w:rFonts w:ascii="Arial" w:eastAsia="Times New Roman" w:hAnsi="Arial" w:cs="Arial"/>
          <w:bCs/>
          <w:iCs/>
          <w:lang w:bidi="en-US"/>
        </w:rPr>
      </w:pPr>
      <w:r w:rsidRPr="00437356">
        <w:rPr>
          <w:rFonts w:ascii="Arial" w:eastAsia="Times New Roman" w:hAnsi="Arial" w:cs="Arial"/>
          <w:b/>
          <w:bCs/>
          <w:iCs/>
          <w:lang w:bidi="en-US"/>
        </w:rPr>
        <w:lastRenderedPageBreak/>
        <w:t>Conceptual certainty</w:t>
      </w:r>
      <w:r w:rsidRPr="00437356">
        <w:rPr>
          <w:rFonts w:ascii="Arial" w:eastAsia="Times New Roman" w:hAnsi="Arial" w:cs="Arial"/>
          <w:bCs/>
          <w:iCs/>
          <w:lang w:bidi="en-US"/>
        </w:rPr>
        <w:t xml:space="preserve"> (also sometimes called ‘linguistic’ or ‘semantic’ certainty) means knowing the boundaries of a class when considered abstractly. For example, a trust in favour of ‘my friends’ will be conceptually uncertain, whereas a trust in favour of ‘my first cousins’ will be conceptually certain. As we will see, it can be difficult in borderline cases to determine whether a class of beneficiaries has been identified with conceptual certainty.</w:t>
      </w:r>
    </w:p>
    <w:p w14:paraId="4D9C3254" w14:textId="513A652D" w:rsidR="00D15974" w:rsidRPr="00437356" w:rsidRDefault="00D15974" w:rsidP="00C526E7">
      <w:pPr>
        <w:pStyle w:val="ListParagraph"/>
        <w:numPr>
          <w:ilvl w:val="0"/>
          <w:numId w:val="38"/>
        </w:numPr>
        <w:snapToGrid w:val="0"/>
        <w:spacing w:after="120" w:line="360" w:lineRule="auto"/>
        <w:ind w:left="357" w:hanging="357"/>
        <w:contextualSpacing w:val="0"/>
        <w:jc w:val="both"/>
        <w:rPr>
          <w:rFonts w:ascii="Arial" w:eastAsia="Times New Roman" w:hAnsi="Arial" w:cs="Arial"/>
          <w:bCs/>
          <w:iCs/>
          <w:lang w:bidi="en-US"/>
        </w:rPr>
      </w:pPr>
      <w:r w:rsidRPr="00437356">
        <w:rPr>
          <w:rFonts w:ascii="Arial" w:eastAsia="Times New Roman" w:hAnsi="Arial" w:cs="Arial"/>
          <w:b/>
          <w:bCs/>
          <w:iCs/>
          <w:lang w:bidi="en-US"/>
        </w:rPr>
        <w:t>Evidential certainty</w:t>
      </w:r>
      <w:r w:rsidRPr="00437356">
        <w:rPr>
          <w:rFonts w:ascii="Arial" w:eastAsia="Times New Roman" w:hAnsi="Arial" w:cs="Arial"/>
          <w:bCs/>
          <w:iCs/>
          <w:lang w:bidi="en-US"/>
        </w:rPr>
        <w:t xml:space="preserve"> means being able to ascertain who the beneficiaries are in practice A good example of evidential uncertainty can be found in </w:t>
      </w:r>
      <w:r w:rsidRPr="00437356">
        <w:rPr>
          <w:rFonts w:ascii="Arial" w:eastAsia="Times New Roman" w:hAnsi="Arial" w:cs="Arial"/>
          <w:bCs/>
          <w:i/>
          <w:iCs/>
          <w:lang w:bidi="en-US"/>
        </w:rPr>
        <w:t>Re Sayer</w:t>
      </w:r>
      <w:r w:rsidRPr="00437356">
        <w:rPr>
          <w:rFonts w:ascii="Arial" w:eastAsia="Times New Roman" w:hAnsi="Arial" w:cs="Arial"/>
          <w:bCs/>
          <w:iCs/>
          <w:lang w:bidi="en-US"/>
        </w:rPr>
        <w:t xml:space="preserve"> [1957] Ch 423. This case concerned a trust in favour of the employees and ex-employees of a confectionary company. There was no conceptual uncertainty here because ‘employees’ and ‘ex-employees’ has a clear objective meaning. However, the company ran 70 shops in different towns. A large number of its employees were shop assistants, who frequently changed their employment. The result was that despite valiant efforts on the part of the company to keep a record of its employees, it found it impossible to keep an accurate list of </w:t>
      </w:r>
      <w:r w:rsidR="0010038B" w:rsidRPr="00437356">
        <w:rPr>
          <w:rFonts w:ascii="Arial" w:eastAsia="Times New Roman" w:hAnsi="Arial" w:cs="Arial"/>
          <w:bCs/>
          <w:iCs/>
          <w:lang w:bidi="en-US"/>
        </w:rPr>
        <w:t xml:space="preserve">former </w:t>
      </w:r>
      <w:r w:rsidRPr="00437356">
        <w:rPr>
          <w:rFonts w:ascii="Arial" w:eastAsia="Times New Roman" w:hAnsi="Arial" w:cs="Arial"/>
          <w:bCs/>
          <w:iCs/>
          <w:lang w:bidi="en-US"/>
        </w:rPr>
        <w:t xml:space="preserve">employees. The trust failed for lack of evidential certainty.    </w:t>
      </w:r>
    </w:p>
    <w:p w14:paraId="4CF6F89C" w14:textId="77777777" w:rsidR="00CD7F53" w:rsidRPr="00437356" w:rsidRDefault="00CD7F53" w:rsidP="00C526E7">
      <w:pPr>
        <w:snapToGrid w:val="0"/>
        <w:spacing w:after="120" w:line="360" w:lineRule="auto"/>
        <w:jc w:val="both"/>
        <w:rPr>
          <w:rFonts w:ascii="Arial" w:eastAsia="Times New Roman" w:hAnsi="Arial" w:cs="Arial"/>
          <w:bCs/>
          <w:iCs/>
          <w:lang w:bidi="en-US"/>
        </w:rPr>
      </w:pPr>
    </w:p>
    <w:p w14:paraId="59F00058" w14:textId="7BE03808" w:rsidR="00807836" w:rsidRPr="00840705" w:rsidRDefault="00D15974" w:rsidP="00C526E7">
      <w:pPr>
        <w:pStyle w:val="ListParagraph"/>
        <w:numPr>
          <w:ilvl w:val="0"/>
          <w:numId w:val="40"/>
        </w:numPr>
        <w:snapToGrid w:val="0"/>
        <w:spacing w:after="120" w:line="360" w:lineRule="auto"/>
        <w:contextualSpacing w:val="0"/>
        <w:jc w:val="both"/>
        <w:rPr>
          <w:rFonts w:ascii="Arial" w:eastAsia="Times New Roman" w:hAnsi="Arial" w:cs="Arial"/>
          <w:b/>
          <w:iCs/>
          <w:highlight w:val="yellow"/>
          <w:lang w:bidi="en-US"/>
        </w:rPr>
      </w:pPr>
      <w:r w:rsidRPr="00840705">
        <w:rPr>
          <w:rFonts w:ascii="Arial" w:eastAsia="Times New Roman" w:hAnsi="Arial" w:cs="Arial"/>
          <w:b/>
          <w:iCs/>
          <w:highlight w:val="yellow"/>
          <w:lang w:bidi="en-US"/>
        </w:rPr>
        <w:t>Certainty of Objects for Fixed Trusts</w:t>
      </w:r>
      <w:r w:rsidR="00422C1E" w:rsidRPr="00840705">
        <w:rPr>
          <w:rFonts w:ascii="Arial" w:eastAsia="Times New Roman" w:hAnsi="Arial" w:cs="Arial"/>
          <w:b/>
          <w:iCs/>
          <w:highlight w:val="yellow"/>
          <w:lang w:bidi="en-US"/>
        </w:rPr>
        <w:t>: the ‘List Certainty’ Test</w:t>
      </w:r>
    </w:p>
    <w:p w14:paraId="469F09C3" w14:textId="63D28D6E" w:rsidR="00D15974" w:rsidRPr="00437356" w:rsidRDefault="00D15974" w:rsidP="00C526E7">
      <w:pPr>
        <w:snapToGrid w:val="0"/>
        <w:spacing w:after="120" w:line="360" w:lineRule="auto"/>
        <w:jc w:val="both"/>
        <w:rPr>
          <w:rFonts w:ascii="Arial" w:eastAsia="Times New Roman" w:hAnsi="Arial" w:cs="Arial"/>
          <w:bCs/>
          <w:iCs/>
          <w:lang w:bidi="en-US"/>
        </w:rPr>
      </w:pPr>
      <w:r w:rsidRPr="00437356">
        <w:rPr>
          <w:rFonts w:ascii="Arial" w:eastAsia="Times New Roman" w:hAnsi="Arial" w:cs="Arial"/>
          <w:bCs/>
          <w:iCs/>
          <w:lang w:bidi="en-US"/>
        </w:rPr>
        <w:t>Recall that a fixed trust is one where is one where the interest that each beneficiary receives is fixed in advance. The trustees have no discretion as to how to distribute the beneficial interests. An example would be ‘£100 to my trustees, to hold on trust for my two children in equal shares.’ In this example, it is clear that each child has an interest in £50.</w:t>
      </w:r>
    </w:p>
    <w:p w14:paraId="5328D4CC" w14:textId="77777777" w:rsidR="00456B01" w:rsidRPr="00437356" w:rsidRDefault="00D15974" w:rsidP="00C526E7">
      <w:pPr>
        <w:snapToGrid w:val="0"/>
        <w:spacing w:after="120" w:line="360" w:lineRule="auto"/>
        <w:jc w:val="both"/>
        <w:rPr>
          <w:rFonts w:ascii="Arial" w:hAnsi="Arial" w:cs="Arial"/>
        </w:rPr>
      </w:pPr>
      <w:r w:rsidRPr="00437356">
        <w:rPr>
          <w:rFonts w:ascii="Arial" w:hAnsi="Arial" w:cs="Arial"/>
        </w:rPr>
        <w:t>In the case of a fixed trust, the number and identity of the beneficiaries and the extent of the beneficial interests must be known to the trustees. Therefore, the test for certainty of objects requires that the trustees be able to draw up a complete list of beneficiaries. This is known as the list certainty test</w:t>
      </w:r>
      <w:r w:rsidRPr="00F708DB">
        <w:rPr>
          <w:rFonts w:ascii="Arial" w:hAnsi="Arial" w:cs="Arial"/>
          <w:u w:val="single"/>
        </w:rPr>
        <w:t xml:space="preserve">. As </w:t>
      </w:r>
      <w:proofErr w:type="spellStart"/>
      <w:r w:rsidRPr="00F708DB">
        <w:rPr>
          <w:rFonts w:ascii="Arial" w:hAnsi="Arial" w:cs="Arial"/>
          <w:u w:val="single"/>
        </w:rPr>
        <w:t>Pumfrey</w:t>
      </w:r>
      <w:proofErr w:type="spellEnd"/>
      <w:r w:rsidRPr="00F708DB">
        <w:rPr>
          <w:rFonts w:ascii="Arial" w:hAnsi="Arial" w:cs="Arial"/>
          <w:u w:val="single"/>
        </w:rPr>
        <w:t xml:space="preserve"> J stated in </w:t>
      </w:r>
      <w:r w:rsidRPr="00F708DB">
        <w:rPr>
          <w:rFonts w:ascii="Arial" w:hAnsi="Arial" w:cs="Arial"/>
          <w:i/>
          <w:iCs/>
          <w:u w:val="single"/>
        </w:rPr>
        <w:t xml:space="preserve">OT Computers Ltd v First National </w:t>
      </w:r>
      <w:proofErr w:type="spellStart"/>
      <w:r w:rsidRPr="00F708DB">
        <w:rPr>
          <w:rFonts w:ascii="Arial" w:hAnsi="Arial" w:cs="Arial"/>
          <w:i/>
          <w:iCs/>
          <w:u w:val="single"/>
        </w:rPr>
        <w:t>Tricity</w:t>
      </w:r>
      <w:proofErr w:type="spellEnd"/>
      <w:r w:rsidRPr="00F708DB">
        <w:rPr>
          <w:rFonts w:ascii="Arial" w:hAnsi="Arial" w:cs="Arial"/>
          <w:i/>
          <w:iCs/>
          <w:u w:val="single"/>
        </w:rPr>
        <w:t xml:space="preserve"> Finance Ltd</w:t>
      </w:r>
      <w:r w:rsidRPr="00F708DB">
        <w:rPr>
          <w:rFonts w:ascii="Arial" w:hAnsi="Arial" w:cs="Arial"/>
          <w:u w:val="single"/>
        </w:rPr>
        <w:t xml:space="preserve"> [2003] EWHC 1010 (Ch) at para 21, ‘it must be possible to identify each member of the class of </w:t>
      </w:r>
      <w:r w:rsidR="00456B01" w:rsidRPr="00F708DB">
        <w:rPr>
          <w:rFonts w:ascii="Arial" w:hAnsi="Arial" w:cs="Arial"/>
          <w:u w:val="single"/>
        </w:rPr>
        <w:t>beneficiaries</w:t>
      </w:r>
      <w:r w:rsidRPr="00F708DB">
        <w:rPr>
          <w:rFonts w:ascii="Arial" w:hAnsi="Arial" w:cs="Arial"/>
          <w:u w:val="single"/>
        </w:rPr>
        <w:t>.</w:t>
      </w:r>
      <w:r w:rsidR="00456B01" w:rsidRPr="00F708DB">
        <w:rPr>
          <w:rFonts w:ascii="Arial" w:hAnsi="Arial" w:cs="Arial"/>
          <w:u w:val="single"/>
        </w:rPr>
        <w:t>’</w:t>
      </w:r>
      <w:r w:rsidR="00422C1E" w:rsidRPr="00F708DB">
        <w:rPr>
          <w:rFonts w:ascii="Arial" w:hAnsi="Arial" w:cs="Arial"/>
          <w:u w:val="single"/>
        </w:rPr>
        <w:t xml:space="preserve"> </w:t>
      </w:r>
      <w:r w:rsidR="00422C1E" w:rsidRPr="00437356">
        <w:rPr>
          <w:rFonts w:ascii="Arial" w:hAnsi="Arial" w:cs="Arial"/>
        </w:rPr>
        <w:t>In order for the list certainty test to be satisfied, there must be both conceptual and evidential certainty.</w:t>
      </w:r>
    </w:p>
    <w:p w14:paraId="31DBE6A9" w14:textId="58F1E69C" w:rsidR="00D15974" w:rsidRPr="00437356" w:rsidRDefault="00D15974" w:rsidP="00C526E7">
      <w:pPr>
        <w:snapToGrid w:val="0"/>
        <w:spacing w:after="120" w:line="360" w:lineRule="auto"/>
        <w:jc w:val="both"/>
        <w:rPr>
          <w:rFonts w:ascii="Arial" w:hAnsi="Arial" w:cs="Arial"/>
        </w:rPr>
      </w:pPr>
      <w:r w:rsidRPr="00437356">
        <w:rPr>
          <w:rFonts w:ascii="Arial" w:hAnsi="Arial" w:cs="Arial"/>
          <w:i/>
          <w:iCs/>
        </w:rPr>
        <w:t xml:space="preserve">OT Computers </w:t>
      </w:r>
      <w:r w:rsidRPr="00437356">
        <w:rPr>
          <w:rFonts w:ascii="Arial" w:hAnsi="Arial" w:cs="Arial"/>
        </w:rPr>
        <w:t xml:space="preserve">provides a good example of how the courts apply the list certainty test. A computer company suspected it </w:t>
      </w:r>
      <w:r w:rsidR="005F4F9C" w:rsidRPr="00437356">
        <w:rPr>
          <w:rFonts w:ascii="Arial" w:hAnsi="Arial" w:cs="Arial"/>
        </w:rPr>
        <w:t>might become insolvent</w:t>
      </w:r>
      <w:r w:rsidRPr="00437356">
        <w:rPr>
          <w:rFonts w:ascii="Arial" w:hAnsi="Arial" w:cs="Arial"/>
        </w:rPr>
        <w:t xml:space="preserve">. It set up two trust accounts. One was to hold deposits received from customers. This would ensure the deposits could be returned if the customers could not be supplied with the computers they had ordered. The other trust was for “urgent suppliers”. The intention was that the money in this second trust would be used to pay suppliers who had provided goods on credit. This would help to keep the company operating. The company was placed in administration. The validity of the trusts was questioned.  The trust for customer deposits was valid because the identity of all the </w:t>
      </w:r>
      <w:r w:rsidRPr="00437356">
        <w:rPr>
          <w:rFonts w:ascii="Arial" w:hAnsi="Arial" w:cs="Arial"/>
        </w:rPr>
        <w:lastRenderedPageBreak/>
        <w:t xml:space="preserve">customers involved was known or could be discovered. The trust for urgent suppliers was not valid. It was a fixed trust and so the trustees must be able to identify every supplier who was a beneficiary under the trust. The term “urgent” was not precise enough for this to be done.  </w:t>
      </w:r>
    </w:p>
    <w:p w14:paraId="6661A664" w14:textId="77777777" w:rsidR="00155C00" w:rsidRPr="00437356" w:rsidRDefault="00155C00" w:rsidP="00C526E7">
      <w:pPr>
        <w:snapToGrid w:val="0"/>
        <w:spacing w:after="120" w:line="360" w:lineRule="auto"/>
        <w:jc w:val="both"/>
        <w:rPr>
          <w:rFonts w:ascii="Arial" w:hAnsi="Arial" w:cs="Arial"/>
        </w:rPr>
      </w:pPr>
    </w:p>
    <w:p w14:paraId="1EB79841" w14:textId="4F9AA166" w:rsidR="00807836" w:rsidRPr="00437356" w:rsidRDefault="00422C1E" w:rsidP="00C526E7">
      <w:pPr>
        <w:pStyle w:val="ListParagraph"/>
        <w:numPr>
          <w:ilvl w:val="0"/>
          <w:numId w:val="40"/>
        </w:numPr>
        <w:snapToGrid w:val="0"/>
        <w:spacing w:after="120" w:line="360" w:lineRule="auto"/>
        <w:contextualSpacing w:val="0"/>
        <w:jc w:val="both"/>
        <w:rPr>
          <w:rFonts w:ascii="Arial" w:hAnsi="Arial" w:cs="Arial"/>
          <w:b/>
          <w:bCs/>
        </w:rPr>
      </w:pPr>
      <w:r w:rsidRPr="00437356">
        <w:rPr>
          <w:rFonts w:ascii="Arial" w:hAnsi="Arial" w:cs="Arial"/>
          <w:b/>
          <w:bCs/>
        </w:rPr>
        <w:t>The Test for Certainty of Objects for Discretionary Trusts and Powers of Appointment: the ‘Is/Is Not Test’</w:t>
      </w:r>
    </w:p>
    <w:p w14:paraId="442BDC43" w14:textId="61ADDBDE" w:rsidR="00A05EF1" w:rsidRPr="00437356" w:rsidRDefault="00422C1E" w:rsidP="00C526E7">
      <w:pPr>
        <w:snapToGrid w:val="0"/>
        <w:spacing w:after="120" w:line="360" w:lineRule="auto"/>
        <w:jc w:val="both"/>
        <w:rPr>
          <w:rFonts w:ascii="Arial" w:hAnsi="Arial" w:cs="Arial"/>
        </w:rPr>
      </w:pPr>
      <w:r w:rsidRPr="00437356">
        <w:rPr>
          <w:rFonts w:ascii="Arial" w:hAnsi="Arial" w:cs="Arial"/>
        </w:rPr>
        <w:t xml:space="preserve">Both discretionary trusts and powers of appointment are likely to have a wide class of potential beneficiaries. Therefore, the test for certainty of objects for both is the same: the </w:t>
      </w:r>
      <w:proofErr w:type="spellStart"/>
      <w:r w:rsidRPr="00437356">
        <w:rPr>
          <w:rFonts w:ascii="Arial" w:hAnsi="Arial" w:cs="Arial"/>
        </w:rPr>
        <w:t>is</w:t>
      </w:r>
      <w:proofErr w:type="spellEnd"/>
      <w:r w:rsidRPr="00437356">
        <w:rPr>
          <w:rFonts w:ascii="Arial" w:hAnsi="Arial" w:cs="Arial"/>
        </w:rPr>
        <w:t xml:space="preserve">/is not test (also called ‘the any given postulant test’ and the ‘individual </w:t>
      </w:r>
      <w:proofErr w:type="spellStart"/>
      <w:r w:rsidRPr="00437356">
        <w:rPr>
          <w:rFonts w:ascii="Arial" w:hAnsi="Arial" w:cs="Arial"/>
        </w:rPr>
        <w:t>ascertainability</w:t>
      </w:r>
      <w:proofErr w:type="spellEnd"/>
      <w:r w:rsidRPr="00437356">
        <w:rPr>
          <w:rFonts w:ascii="Arial" w:hAnsi="Arial" w:cs="Arial"/>
        </w:rPr>
        <w:t xml:space="preserve"> test’).</w:t>
      </w:r>
      <w:r w:rsidR="003C4009" w:rsidRPr="00437356">
        <w:rPr>
          <w:rFonts w:ascii="Arial" w:hAnsi="Arial" w:cs="Arial"/>
        </w:rPr>
        <w:t xml:space="preserve"> For this test to be satisfied, there must be conceptual certainty. There does not necessarily need to be evidential certainty, though.</w:t>
      </w:r>
    </w:p>
    <w:p w14:paraId="00FC5F07" w14:textId="39D2639F" w:rsidR="00807836" w:rsidRPr="00437356" w:rsidRDefault="003C4009" w:rsidP="00C526E7">
      <w:pPr>
        <w:pStyle w:val="ListParagraph"/>
        <w:numPr>
          <w:ilvl w:val="0"/>
          <w:numId w:val="42"/>
        </w:numPr>
        <w:snapToGrid w:val="0"/>
        <w:spacing w:before="240" w:after="120" w:line="360" w:lineRule="auto"/>
        <w:ind w:left="1077"/>
        <w:contextualSpacing w:val="0"/>
        <w:jc w:val="both"/>
        <w:rPr>
          <w:rFonts w:ascii="Arial" w:hAnsi="Arial" w:cs="Arial"/>
        </w:rPr>
      </w:pPr>
      <w:r w:rsidRPr="00437356">
        <w:rPr>
          <w:rFonts w:ascii="Arial" w:hAnsi="Arial" w:cs="Arial"/>
        </w:rPr>
        <w:t xml:space="preserve">Originally the </w:t>
      </w:r>
      <w:proofErr w:type="spellStart"/>
      <w:r w:rsidRPr="00437356">
        <w:rPr>
          <w:rFonts w:ascii="Arial" w:hAnsi="Arial" w:cs="Arial"/>
        </w:rPr>
        <w:t>is</w:t>
      </w:r>
      <w:proofErr w:type="spellEnd"/>
      <w:r w:rsidRPr="00437356">
        <w:rPr>
          <w:rFonts w:ascii="Arial" w:hAnsi="Arial" w:cs="Arial"/>
        </w:rPr>
        <w:t>/is not test applied only to powers of appointment</w:t>
      </w:r>
    </w:p>
    <w:p w14:paraId="75EBA4CE" w14:textId="5744A426" w:rsidR="00807836" w:rsidRPr="00437356" w:rsidRDefault="00422C1E" w:rsidP="00C526E7">
      <w:pPr>
        <w:snapToGrid w:val="0"/>
        <w:spacing w:after="120" w:line="360" w:lineRule="auto"/>
        <w:jc w:val="both"/>
        <w:rPr>
          <w:rFonts w:ascii="Arial" w:hAnsi="Arial" w:cs="Arial"/>
          <w:bCs/>
          <w:lang w:val="en-US"/>
        </w:rPr>
      </w:pPr>
      <w:r w:rsidRPr="00437356">
        <w:rPr>
          <w:rFonts w:ascii="Arial" w:hAnsi="Arial" w:cs="Arial"/>
        </w:rPr>
        <w:t xml:space="preserve">The test was formulated for powers of appointment in </w:t>
      </w:r>
      <w:r w:rsidRPr="00F708DB">
        <w:rPr>
          <w:rFonts w:ascii="Arial" w:hAnsi="Arial" w:cs="Arial"/>
          <w:bCs/>
          <w:i/>
          <w:iCs/>
          <w:u w:val="single"/>
        </w:rPr>
        <w:t xml:space="preserve">Re </w:t>
      </w:r>
      <w:proofErr w:type="spellStart"/>
      <w:r w:rsidRPr="00F708DB">
        <w:rPr>
          <w:rFonts w:ascii="Arial" w:hAnsi="Arial" w:cs="Arial"/>
          <w:bCs/>
          <w:i/>
          <w:iCs/>
          <w:u w:val="single"/>
        </w:rPr>
        <w:t>Gulbenkian’s</w:t>
      </w:r>
      <w:proofErr w:type="spellEnd"/>
      <w:r w:rsidRPr="00F708DB">
        <w:rPr>
          <w:rFonts w:ascii="Arial" w:hAnsi="Arial" w:cs="Arial"/>
          <w:bCs/>
          <w:i/>
          <w:iCs/>
          <w:u w:val="single"/>
        </w:rPr>
        <w:t xml:space="preserve"> ST</w:t>
      </w:r>
      <w:r w:rsidRPr="00F708DB">
        <w:rPr>
          <w:rFonts w:ascii="Arial" w:hAnsi="Arial" w:cs="Arial"/>
          <w:bCs/>
          <w:u w:val="single"/>
        </w:rPr>
        <w:t xml:space="preserve"> [1970] AC 508</w:t>
      </w:r>
      <w:r w:rsidRPr="00437356">
        <w:rPr>
          <w:rFonts w:ascii="Arial" w:hAnsi="Arial" w:cs="Arial"/>
          <w:bCs/>
        </w:rPr>
        <w:t xml:space="preserve">. A power of appointment was created with objects including “any person or persons in whose house or apartments or in whose company or under whose care and control or by or with whom </w:t>
      </w:r>
      <w:proofErr w:type="spellStart"/>
      <w:r w:rsidRPr="00437356">
        <w:rPr>
          <w:rFonts w:ascii="Arial" w:hAnsi="Arial" w:cs="Arial"/>
          <w:bCs/>
        </w:rPr>
        <w:t>the</w:t>
      </w:r>
      <w:proofErr w:type="spellEnd"/>
      <w:r w:rsidRPr="00437356">
        <w:rPr>
          <w:rFonts w:ascii="Arial" w:hAnsi="Arial" w:cs="Arial"/>
          <w:bCs/>
        </w:rPr>
        <w:t xml:space="preserve"> said </w:t>
      </w:r>
      <w:proofErr w:type="spellStart"/>
      <w:r w:rsidRPr="00437356">
        <w:rPr>
          <w:rFonts w:ascii="Arial" w:hAnsi="Arial" w:cs="Arial"/>
          <w:bCs/>
        </w:rPr>
        <w:t>Nubar</w:t>
      </w:r>
      <w:proofErr w:type="spellEnd"/>
      <w:r w:rsidRPr="00437356">
        <w:rPr>
          <w:rFonts w:ascii="Arial" w:hAnsi="Arial" w:cs="Arial"/>
          <w:bCs/>
        </w:rPr>
        <w:t xml:space="preserve"> Sarkis </w:t>
      </w:r>
      <w:proofErr w:type="spellStart"/>
      <w:r w:rsidRPr="00437356">
        <w:rPr>
          <w:rFonts w:ascii="Arial" w:hAnsi="Arial" w:cs="Arial"/>
          <w:bCs/>
        </w:rPr>
        <w:t>Gulbenkian</w:t>
      </w:r>
      <w:proofErr w:type="spellEnd"/>
      <w:r w:rsidRPr="00437356">
        <w:rPr>
          <w:rFonts w:ascii="Arial" w:hAnsi="Arial" w:cs="Arial"/>
          <w:bCs/>
        </w:rPr>
        <w:t xml:space="preserve"> may from time to time be residing” Lord Upjohn stated (at 521) that </w:t>
      </w:r>
      <w:r w:rsidRPr="00437356">
        <w:rPr>
          <w:rFonts w:ascii="Arial" w:hAnsi="Arial" w:cs="Arial"/>
          <w:bCs/>
          <w:lang w:val="en-US"/>
        </w:rPr>
        <w:t>“a mere [here, Lord Upjohn was referring to a fiduciary power of appointment] or bare power of appointment among a class is valid if you can say with certainty whether any given individual is or is not a member of the class; you do not have to be able to ascertain every member of the class”</w:t>
      </w:r>
    </w:p>
    <w:p w14:paraId="172128B3" w14:textId="7F5A3A64" w:rsidR="00422C1E" w:rsidRPr="00437356" w:rsidRDefault="00422C1E" w:rsidP="00C526E7">
      <w:pPr>
        <w:snapToGrid w:val="0"/>
        <w:spacing w:after="120" w:line="360" w:lineRule="auto"/>
        <w:jc w:val="both"/>
        <w:rPr>
          <w:rFonts w:ascii="Arial" w:hAnsi="Arial" w:cs="Arial"/>
        </w:rPr>
      </w:pPr>
      <w:r w:rsidRPr="00437356">
        <w:rPr>
          <w:rFonts w:ascii="Arial" w:hAnsi="Arial" w:cs="Arial"/>
        </w:rPr>
        <w:t xml:space="preserve">At the time at which </w:t>
      </w:r>
      <w:proofErr w:type="spellStart"/>
      <w:r w:rsidRPr="00437356">
        <w:rPr>
          <w:rFonts w:ascii="Arial" w:hAnsi="Arial" w:cs="Arial"/>
          <w:i/>
        </w:rPr>
        <w:t>Gulbenkian</w:t>
      </w:r>
      <w:proofErr w:type="spellEnd"/>
      <w:r w:rsidRPr="00437356">
        <w:rPr>
          <w:rFonts w:ascii="Arial" w:hAnsi="Arial" w:cs="Arial"/>
          <w:i/>
        </w:rPr>
        <w:t xml:space="preserve"> </w:t>
      </w:r>
      <w:r w:rsidRPr="00437356">
        <w:rPr>
          <w:rFonts w:ascii="Arial" w:hAnsi="Arial" w:cs="Arial"/>
        </w:rPr>
        <w:t xml:space="preserve">was decided, the test for certainty of objects for discretionary trusts was the list certainty test </w:t>
      </w:r>
      <w:r w:rsidRPr="00437356">
        <w:rPr>
          <w:rFonts w:ascii="Arial" w:eastAsia="Times New Roman" w:hAnsi="Arial" w:cs="Arial"/>
          <w:i/>
          <w:iCs/>
          <w:lang w:bidi="en-US"/>
        </w:rPr>
        <w:t>IRC v Broadway Cottages Trust</w:t>
      </w:r>
      <w:r w:rsidRPr="00437356">
        <w:rPr>
          <w:rFonts w:ascii="Arial" w:eastAsia="Times New Roman" w:hAnsi="Arial" w:cs="Arial"/>
          <w:lang w:bidi="en-US"/>
        </w:rPr>
        <w:t xml:space="preserve"> [1955] Ch 20</w:t>
      </w:r>
      <w:r w:rsidRPr="00437356">
        <w:rPr>
          <w:rFonts w:ascii="Arial" w:hAnsi="Arial" w:cs="Arial"/>
        </w:rPr>
        <w:t>. As has already been mentioned, it was thought that, in the event that the trustees refused to perform a discretionary trust, the court, rather than exercising the trustees’ discretion, would be require to distribute the trust property to the beneficiaries according to the maxim ‘equity is equality’. In order for the courts to do this, it needed to be possible to produce a complete list of beneficiaries.</w:t>
      </w:r>
    </w:p>
    <w:p w14:paraId="1181B115" w14:textId="0DABC7EA" w:rsidR="00422C1E" w:rsidRPr="00F708DB" w:rsidRDefault="003C4009" w:rsidP="00C526E7">
      <w:pPr>
        <w:pStyle w:val="ListParagraph"/>
        <w:numPr>
          <w:ilvl w:val="0"/>
          <w:numId w:val="42"/>
        </w:numPr>
        <w:snapToGrid w:val="0"/>
        <w:spacing w:before="240" w:after="120" w:line="360" w:lineRule="auto"/>
        <w:ind w:left="1077"/>
        <w:contextualSpacing w:val="0"/>
        <w:jc w:val="both"/>
        <w:rPr>
          <w:rFonts w:ascii="Arial" w:hAnsi="Arial" w:cs="Arial"/>
          <w:u w:val="single"/>
        </w:rPr>
      </w:pPr>
      <w:r w:rsidRPr="00F708DB">
        <w:rPr>
          <w:rFonts w:ascii="Arial" w:hAnsi="Arial" w:cs="Arial"/>
          <w:i/>
          <w:iCs/>
          <w:u w:val="single"/>
        </w:rPr>
        <w:t>McPhail v Doulton</w:t>
      </w:r>
      <w:r w:rsidRPr="00F708DB">
        <w:rPr>
          <w:rFonts w:ascii="Arial" w:hAnsi="Arial" w:cs="Arial"/>
          <w:u w:val="single"/>
        </w:rPr>
        <w:t xml:space="preserve">: the </w:t>
      </w:r>
      <w:proofErr w:type="spellStart"/>
      <w:r w:rsidRPr="00F708DB">
        <w:rPr>
          <w:rFonts w:ascii="Arial" w:hAnsi="Arial" w:cs="Arial"/>
          <w:u w:val="single"/>
        </w:rPr>
        <w:t>is</w:t>
      </w:r>
      <w:proofErr w:type="spellEnd"/>
      <w:r w:rsidRPr="00F708DB">
        <w:rPr>
          <w:rFonts w:ascii="Arial" w:hAnsi="Arial" w:cs="Arial"/>
          <w:u w:val="single"/>
        </w:rPr>
        <w:t>/is not test is adopted for discretionary trusts</w:t>
      </w:r>
    </w:p>
    <w:p w14:paraId="06E1F06A" w14:textId="19C06F52" w:rsidR="003C4009" w:rsidRPr="00437356" w:rsidRDefault="00422C1E" w:rsidP="00C526E7">
      <w:pPr>
        <w:snapToGrid w:val="0"/>
        <w:spacing w:after="120" w:line="360" w:lineRule="auto"/>
        <w:jc w:val="both"/>
        <w:rPr>
          <w:rFonts w:ascii="Arial" w:hAnsi="Arial" w:cs="Arial"/>
          <w:lang w:val="en-US"/>
        </w:rPr>
      </w:pPr>
      <w:r w:rsidRPr="00437356">
        <w:rPr>
          <w:rFonts w:ascii="Arial" w:hAnsi="Arial" w:cs="Arial"/>
        </w:rPr>
        <w:t xml:space="preserve">In </w:t>
      </w:r>
      <w:r w:rsidRPr="00437356">
        <w:rPr>
          <w:rFonts w:ascii="Arial" w:hAnsi="Arial" w:cs="Arial"/>
          <w:i/>
        </w:rPr>
        <w:t xml:space="preserve">McPhail v Doulton </w:t>
      </w:r>
      <w:r w:rsidRPr="00437356">
        <w:rPr>
          <w:rFonts w:ascii="Arial" w:hAnsi="Arial" w:cs="Arial"/>
        </w:rPr>
        <w:t>[1971] AC 424, it was recognised that th</w:t>
      </w:r>
      <w:r w:rsidR="003C4009" w:rsidRPr="00437356">
        <w:rPr>
          <w:rFonts w:ascii="Arial" w:hAnsi="Arial" w:cs="Arial"/>
        </w:rPr>
        <w:t xml:space="preserve">e </w:t>
      </w:r>
      <w:r w:rsidR="005F4F9C" w:rsidRPr="00437356">
        <w:rPr>
          <w:rFonts w:ascii="Arial" w:hAnsi="Arial" w:cs="Arial"/>
        </w:rPr>
        <w:t>list certainty</w:t>
      </w:r>
      <w:r w:rsidRPr="00437356">
        <w:rPr>
          <w:rFonts w:ascii="Arial" w:hAnsi="Arial" w:cs="Arial"/>
        </w:rPr>
        <w:t xml:space="preserve"> test </w:t>
      </w:r>
      <w:r w:rsidR="005F4F9C" w:rsidRPr="00437356">
        <w:rPr>
          <w:rFonts w:ascii="Arial" w:hAnsi="Arial" w:cs="Arial"/>
        </w:rPr>
        <w:t xml:space="preserve">is </w:t>
      </w:r>
      <w:r w:rsidRPr="00437356">
        <w:rPr>
          <w:rFonts w:ascii="Arial" w:hAnsi="Arial" w:cs="Arial"/>
        </w:rPr>
        <w:t>unsuitable</w:t>
      </w:r>
      <w:r w:rsidR="003C4009" w:rsidRPr="00437356">
        <w:rPr>
          <w:rFonts w:ascii="Arial" w:hAnsi="Arial" w:cs="Arial"/>
        </w:rPr>
        <w:t xml:space="preserve"> for discretionary trusts</w:t>
      </w:r>
      <w:r w:rsidRPr="00437356">
        <w:rPr>
          <w:rFonts w:ascii="Arial" w:hAnsi="Arial" w:cs="Arial"/>
        </w:rPr>
        <w:t xml:space="preserve">. </w:t>
      </w:r>
      <w:r w:rsidR="003C4009" w:rsidRPr="00437356">
        <w:rPr>
          <w:rFonts w:ascii="Arial" w:hAnsi="Arial" w:cs="Arial"/>
          <w:lang w:val="en-US"/>
        </w:rPr>
        <w:t xml:space="preserve">You might recall that we encountered </w:t>
      </w:r>
      <w:r w:rsidR="003C4009" w:rsidRPr="00437356">
        <w:rPr>
          <w:rFonts w:ascii="Arial" w:hAnsi="Arial" w:cs="Arial"/>
          <w:i/>
          <w:iCs/>
          <w:lang w:val="en-US"/>
        </w:rPr>
        <w:t xml:space="preserve">McPhail </w:t>
      </w:r>
      <w:r w:rsidR="003C4009" w:rsidRPr="00437356">
        <w:rPr>
          <w:rFonts w:ascii="Arial" w:hAnsi="Arial" w:cs="Arial"/>
          <w:lang w:val="en-US"/>
        </w:rPr>
        <w:t xml:space="preserve">in lecture 1, when we looked at the difference between discretionary trusts and powers of appointment. </w:t>
      </w:r>
      <w:r w:rsidR="003C4009" w:rsidRPr="00437356">
        <w:rPr>
          <w:rFonts w:ascii="Arial" w:hAnsi="Arial" w:cs="Arial"/>
        </w:rPr>
        <w:t xml:space="preserve">You should read the case </w:t>
      </w:r>
      <w:r w:rsidR="003C4009" w:rsidRPr="00437356">
        <w:rPr>
          <w:rFonts w:ascii="Arial" w:hAnsi="Arial" w:cs="Arial"/>
          <w:lang w:val="en-US"/>
        </w:rPr>
        <w:t xml:space="preserve">(it is sometimes listed as </w:t>
      </w:r>
      <w:r w:rsidR="003C4009" w:rsidRPr="00437356">
        <w:rPr>
          <w:rFonts w:ascii="Arial" w:hAnsi="Arial" w:cs="Arial"/>
          <w:i/>
          <w:iCs/>
          <w:lang w:val="en-US"/>
        </w:rPr>
        <w:t xml:space="preserve">Re Baden’s Deed Trusts (No1) </w:t>
      </w:r>
      <w:r w:rsidR="003C4009" w:rsidRPr="00437356">
        <w:rPr>
          <w:rFonts w:ascii="Arial" w:hAnsi="Arial" w:cs="Arial"/>
          <w:lang w:val="en-US"/>
        </w:rPr>
        <w:t>[1971] A.C</w:t>
      </w:r>
      <w:r w:rsidR="005E0E84" w:rsidRPr="00437356">
        <w:rPr>
          <w:rFonts w:ascii="Arial" w:hAnsi="Arial" w:cs="Arial"/>
          <w:lang w:val="en-US"/>
        </w:rPr>
        <w:t xml:space="preserve">. </w:t>
      </w:r>
      <w:r w:rsidR="003C4009" w:rsidRPr="00437356">
        <w:rPr>
          <w:rFonts w:ascii="Arial" w:hAnsi="Arial" w:cs="Arial"/>
          <w:lang w:val="en-US"/>
        </w:rPr>
        <w:t xml:space="preserve">424). You </w:t>
      </w:r>
      <w:r w:rsidR="003C4009" w:rsidRPr="00437356">
        <w:rPr>
          <w:rFonts w:ascii="Arial" w:hAnsi="Arial" w:cs="Arial"/>
          <w:lang w:val="en-US"/>
        </w:rPr>
        <w:lastRenderedPageBreak/>
        <w:t>should note that, throughout the decision, discretionary trusts are referred to as ‘trust powers’ and fiduciary powers of appointment as ‘mere powers</w:t>
      </w:r>
      <w:r w:rsidR="00456B01" w:rsidRPr="00437356">
        <w:rPr>
          <w:rFonts w:ascii="Arial" w:hAnsi="Arial" w:cs="Arial"/>
          <w:lang w:val="en-US"/>
        </w:rPr>
        <w:t>.</w:t>
      </w:r>
      <w:r w:rsidR="003C4009" w:rsidRPr="00437356">
        <w:rPr>
          <w:rFonts w:ascii="Arial" w:hAnsi="Arial" w:cs="Arial"/>
          <w:lang w:val="en-US"/>
        </w:rPr>
        <w:t>’</w:t>
      </w:r>
    </w:p>
    <w:p w14:paraId="4437255C" w14:textId="122118B4" w:rsidR="00155C00" w:rsidRPr="00437356" w:rsidRDefault="003C4009" w:rsidP="00C526E7">
      <w:pPr>
        <w:snapToGrid w:val="0"/>
        <w:spacing w:after="120" w:line="360" w:lineRule="auto"/>
        <w:jc w:val="both"/>
        <w:rPr>
          <w:rFonts w:ascii="Arial" w:hAnsi="Arial" w:cs="Arial"/>
          <w:lang w:val="en-US"/>
        </w:rPr>
      </w:pPr>
      <w:r w:rsidRPr="00437356">
        <w:rPr>
          <w:rFonts w:ascii="Arial" w:hAnsi="Arial" w:cs="Arial"/>
          <w:lang w:val="en-US"/>
        </w:rPr>
        <w:t>The case</w:t>
      </w:r>
      <w:r w:rsidR="00155C00" w:rsidRPr="00437356">
        <w:rPr>
          <w:rFonts w:ascii="Arial" w:hAnsi="Arial" w:cs="Arial"/>
          <w:lang w:val="en-US"/>
        </w:rPr>
        <w:t xml:space="preserve"> concerned</w:t>
      </w:r>
      <w:r w:rsidRPr="00437356">
        <w:rPr>
          <w:rFonts w:ascii="Arial" w:hAnsi="Arial" w:cs="Arial"/>
          <w:lang w:val="en-US"/>
        </w:rPr>
        <w:t xml:space="preserve"> an appeal from the Court of Appeal concerning the meaning of Clause 9a) of a</w:t>
      </w:r>
      <w:r w:rsidR="005E0E84" w:rsidRPr="00437356">
        <w:rPr>
          <w:rFonts w:ascii="Arial" w:hAnsi="Arial" w:cs="Arial"/>
          <w:lang w:val="en-US"/>
        </w:rPr>
        <w:t xml:space="preserve"> complex trust instrument</w:t>
      </w:r>
      <w:r w:rsidRPr="00437356">
        <w:rPr>
          <w:rFonts w:ascii="Arial" w:hAnsi="Arial" w:cs="Arial"/>
          <w:lang w:val="en-US"/>
        </w:rPr>
        <w:t xml:space="preserve"> created by </w:t>
      </w:r>
      <w:proofErr w:type="spellStart"/>
      <w:r w:rsidRPr="00437356">
        <w:rPr>
          <w:rFonts w:ascii="Arial" w:hAnsi="Arial" w:cs="Arial"/>
          <w:lang w:val="en-US"/>
        </w:rPr>
        <w:t>Bertrum</w:t>
      </w:r>
      <w:proofErr w:type="spellEnd"/>
      <w:r w:rsidRPr="00437356">
        <w:rPr>
          <w:rFonts w:ascii="Arial" w:hAnsi="Arial" w:cs="Arial"/>
          <w:lang w:val="en-US"/>
        </w:rPr>
        <w:t xml:space="preserve"> Baden. </w:t>
      </w:r>
      <w:r w:rsidR="00155C00" w:rsidRPr="00437356">
        <w:rPr>
          <w:rFonts w:ascii="Arial" w:hAnsi="Arial" w:cs="Arial"/>
          <w:lang w:val="en-US"/>
        </w:rPr>
        <w:t>The clause stated that:</w:t>
      </w:r>
    </w:p>
    <w:p w14:paraId="57B293AF" w14:textId="1ABD69D0" w:rsidR="00155C00" w:rsidRPr="00437356" w:rsidRDefault="00456B01" w:rsidP="00C526E7">
      <w:pPr>
        <w:snapToGrid w:val="0"/>
        <w:spacing w:after="120" w:line="360" w:lineRule="auto"/>
        <w:ind w:left="720"/>
        <w:jc w:val="both"/>
        <w:rPr>
          <w:rFonts w:ascii="Arial" w:hAnsi="Arial" w:cs="Arial"/>
          <w:lang w:val="en-US"/>
        </w:rPr>
      </w:pPr>
      <w:r w:rsidRPr="00437356">
        <w:rPr>
          <w:rFonts w:ascii="Arial" w:hAnsi="Arial" w:cs="Arial"/>
          <w:lang w:val="en-US"/>
        </w:rPr>
        <w:t>“</w:t>
      </w:r>
      <w:r w:rsidR="00155C00" w:rsidRPr="00437356">
        <w:rPr>
          <w:rFonts w:ascii="Arial" w:hAnsi="Arial" w:cs="Arial"/>
        </w:rPr>
        <w:t xml:space="preserve">the trustees shall apply the net income of the fund in making at their absolute discretion grants to or for the benefit of any of </w:t>
      </w:r>
      <w:r w:rsidR="00155C00" w:rsidRPr="00437356">
        <w:rPr>
          <w:rFonts w:ascii="Arial" w:hAnsi="Arial" w:cs="Arial"/>
          <w:color w:val="2A2A2A"/>
          <w:shd w:val="clear" w:color="auto" w:fill="FFFFFF"/>
        </w:rPr>
        <w:t xml:space="preserve">any officers and employees or ex officers or ex-employees of the company or to any relatives or dependants of any such persons </w:t>
      </w:r>
      <w:r w:rsidR="00155C00" w:rsidRPr="00437356">
        <w:rPr>
          <w:rFonts w:ascii="Arial" w:hAnsi="Arial" w:cs="Arial"/>
        </w:rPr>
        <w:t>in such amounts or at such times and on such conditions (if any) as they think fit.</w:t>
      </w:r>
      <w:r w:rsidRPr="00437356">
        <w:rPr>
          <w:rFonts w:ascii="Arial" w:hAnsi="Arial" w:cs="Arial"/>
        </w:rPr>
        <w:t>”</w:t>
      </w:r>
    </w:p>
    <w:p w14:paraId="0A4C8877" w14:textId="2F4738C8" w:rsidR="003C4009" w:rsidRPr="00437356" w:rsidRDefault="003C4009" w:rsidP="00C526E7">
      <w:pPr>
        <w:snapToGrid w:val="0"/>
        <w:spacing w:after="120" w:line="360" w:lineRule="auto"/>
        <w:jc w:val="both"/>
        <w:rPr>
          <w:rFonts w:ascii="Arial" w:hAnsi="Arial" w:cs="Arial"/>
          <w:b/>
        </w:rPr>
      </w:pPr>
      <w:r w:rsidRPr="00437356">
        <w:rPr>
          <w:rFonts w:ascii="Arial" w:hAnsi="Arial" w:cs="Arial"/>
          <w:lang w:val="en-US"/>
        </w:rPr>
        <w:t xml:space="preserve">The Court of Appeal had held that clause 9a created a fiduciary power of appointment, and that the test for certainty of objects for fiduciary powers of appointment was the </w:t>
      </w:r>
      <w:proofErr w:type="spellStart"/>
      <w:r w:rsidRPr="00437356">
        <w:rPr>
          <w:rFonts w:ascii="Arial" w:hAnsi="Arial" w:cs="Arial"/>
          <w:lang w:val="en-US"/>
        </w:rPr>
        <w:t>is</w:t>
      </w:r>
      <w:proofErr w:type="spellEnd"/>
      <w:r w:rsidRPr="00437356">
        <w:rPr>
          <w:rFonts w:ascii="Arial" w:hAnsi="Arial" w:cs="Arial"/>
          <w:lang w:val="en-US"/>
        </w:rPr>
        <w:t>/is not test</w:t>
      </w:r>
      <w:r w:rsidR="00155C00" w:rsidRPr="00437356">
        <w:rPr>
          <w:rFonts w:ascii="Arial" w:hAnsi="Arial" w:cs="Arial"/>
          <w:lang w:val="en-US"/>
        </w:rPr>
        <w:t>.</w:t>
      </w:r>
      <w:r w:rsidRPr="00437356">
        <w:rPr>
          <w:rFonts w:ascii="Arial" w:hAnsi="Arial" w:cs="Arial"/>
          <w:lang w:val="en-US"/>
        </w:rPr>
        <w:t xml:space="preserve"> The appeal to House of Lords concerned whether Clause 9a) of the deed created a discretionary trust or a </w:t>
      </w:r>
      <w:r w:rsidR="00456B01" w:rsidRPr="00437356">
        <w:rPr>
          <w:rFonts w:ascii="Arial" w:hAnsi="Arial" w:cs="Arial"/>
          <w:lang w:val="en-US"/>
        </w:rPr>
        <w:t>fiduciary power</w:t>
      </w:r>
      <w:r w:rsidRPr="00437356">
        <w:rPr>
          <w:rFonts w:ascii="Arial" w:hAnsi="Arial" w:cs="Arial"/>
          <w:lang w:val="en-US"/>
        </w:rPr>
        <w:t xml:space="preserve"> of appointment, and also which test should be used to determine whether the objects of the clause were certain</w:t>
      </w:r>
    </w:p>
    <w:p w14:paraId="1BA16A6A" w14:textId="6F9121C8" w:rsidR="00B37EAA" w:rsidRPr="00437356" w:rsidRDefault="00456B01" w:rsidP="00C526E7">
      <w:pPr>
        <w:snapToGrid w:val="0"/>
        <w:spacing w:after="120" w:line="360" w:lineRule="auto"/>
        <w:jc w:val="both"/>
        <w:rPr>
          <w:rFonts w:ascii="Arial" w:hAnsi="Arial" w:cs="Arial"/>
          <w:lang w:val="en-US"/>
        </w:rPr>
      </w:pPr>
      <w:r w:rsidRPr="00437356">
        <w:rPr>
          <w:rFonts w:ascii="Arial" w:hAnsi="Arial" w:cs="Arial"/>
          <w:bCs/>
          <w:lang w:val="en-US"/>
        </w:rPr>
        <w:t>O</w:t>
      </w:r>
      <w:r w:rsidR="003C4009" w:rsidRPr="00437356">
        <w:rPr>
          <w:rFonts w:ascii="Arial" w:hAnsi="Arial" w:cs="Arial"/>
          <w:bCs/>
          <w:lang w:val="en-US"/>
        </w:rPr>
        <w:t xml:space="preserve">n the first point of appeal, it was held that </w:t>
      </w:r>
      <w:r w:rsidR="003C4009" w:rsidRPr="00437356">
        <w:rPr>
          <w:rFonts w:ascii="Arial" w:hAnsi="Arial" w:cs="Arial"/>
          <w:lang w:val="en-US"/>
        </w:rPr>
        <w:t xml:space="preserve">it was held </w:t>
      </w:r>
      <w:r w:rsidR="00B37EAA" w:rsidRPr="00437356">
        <w:rPr>
          <w:rFonts w:ascii="Arial" w:hAnsi="Arial" w:cs="Arial"/>
          <w:lang w:val="en-US"/>
        </w:rPr>
        <w:t xml:space="preserve">unanimously </w:t>
      </w:r>
      <w:r w:rsidR="003C4009" w:rsidRPr="00437356">
        <w:rPr>
          <w:rFonts w:ascii="Arial" w:hAnsi="Arial" w:cs="Arial"/>
          <w:lang w:val="en-US"/>
        </w:rPr>
        <w:t xml:space="preserve">that clause 9a) created a discretionary trust over the income of the trust fund </w:t>
      </w:r>
      <w:r w:rsidR="00B37EAA" w:rsidRPr="00437356">
        <w:rPr>
          <w:rFonts w:ascii="Arial" w:hAnsi="Arial" w:cs="Arial"/>
          <w:lang w:val="en-US"/>
        </w:rPr>
        <w:t xml:space="preserve">because, on proper construction of the wording of the clause, the trustees were required to exercise their discretion. </w:t>
      </w:r>
    </w:p>
    <w:p w14:paraId="19C993B7" w14:textId="2DC9F1F7" w:rsidR="00807836" w:rsidRPr="00437356" w:rsidRDefault="00B37EAA" w:rsidP="00C526E7">
      <w:pPr>
        <w:snapToGrid w:val="0"/>
        <w:spacing w:after="120" w:line="360" w:lineRule="auto"/>
        <w:jc w:val="both"/>
        <w:rPr>
          <w:rFonts w:ascii="Arial" w:eastAsia="MS Mincho" w:hAnsi="Arial" w:cs="Arial"/>
          <w:lang w:bidi="en-US"/>
        </w:rPr>
      </w:pPr>
      <w:r w:rsidRPr="00437356">
        <w:rPr>
          <w:rFonts w:ascii="Arial" w:hAnsi="Arial" w:cs="Arial"/>
          <w:lang w:val="en-US"/>
        </w:rPr>
        <w:t>On the second point of appeal, it was held by a 3</w:t>
      </w:r>
      <w:r w:rsidR="00456B01" w:rsidRPr="00437356">
        <w:rPr>
          <w:rFonts w:ascii="Arial" w:hAnsi="Arial" w:cs="Arial"/>
          <w:lang w:val="en-US"/>
        </w:rPr>
        <w:t xml:space="preserve"> to </w:t>
      </w:r>
      <w:r w:rsidRPr="00437356">
        <w:rPr>
          <w:rFonts w:ascii="Arial" w:hAnsi="Arial" w:cs="Arial"/>
          <w:lang w:val="en-US"/>
        </w:rPr>
        <w:t xml:space="preserve">2 majority that the correct test for certainty of objects for a discretionary trust is the </w:t>
      </w:r>
      <w:proofErr w:type="spellStart"/>
      <w:r w:rsidRPr="00437356">
        <w:rPr>
          <w:rFonts w:ascii="Arial" w:hAnsi="Arial" w:cs="Arial"/>
          <w:lang w:val="en-US"/>
        </w:rPr>
        <w:t>is</w:t>
      </w:r>
      <w:proofErr w:type="spellEnd"/>
      <w:r w:rsidRPr="00437356">
        <w:rPr>
          <w:rFonts w:ascii="Arial" w:hAnsi="Arial" w:cs="Arial"/>
          <w:lang w:val="en-US"/>
        </w:rPr>
        <w:t xml:space="preserve">/is not test. </w:t>
      </w:r>
      <w:r w:rsidRPr="00437356">
        <w:rPr>
          <w:rFonts w:ascii="Arial" w:hAnsi="Arial" w:cs="Arial"/>
          <w:bCs/>
          <w:lang w:val="en-US"/>
        </w:rPr>
        <w:t xml:space="preserve">Lord Wilberforce gave the leading judgment. </w:t>
      </w:r>
      <w:r w:rsidRPr="00437356">
        <w:rPr>
          <w:rFonts w:ascii="Arial" w:eastAsia="MS Mincho" w:hAnsi="Arial" w:cs="Arial"/>
          <w:lang w:bidi="en-US"/>
        </w:rPr>
        <w:t xml:space="preserve">He (at 451) rejected the idea that, if the trustees failed to execute the trust, the court could only order equal distribution. He thought that in many cases this would be the last thing that the settlor intended: </w:t>
      </w:r>
    </w:p>
    <w:p w14:paraId="2CCB03ED" w14:textId="37545165" w:rsidR="00807836" w:rsidRPr="00437356" w:rsidRDefault="00456B01" w:rsidP="00C526E7">
      <w:pPr>
        <w:snapToGrid w:val="0"/>
        <w:spacing w:after="120" w:line="360" w:lineRule="auto"/>
        <w:ind w:left="720"/>
        <w:jc w:val="both"/>
        <w:rPr>
          <w:rFonts w:ascii="Arial" w:eastAsia="MS Mincho" w:hAnsi="Arial" w:cs="Arial"/>
          <w:lang w:bidi="en-US"/>
        </w:rPr>
      </w:pPr>
      <w:r w:rsidRPr="00437356">
        <w:rPr>
          <w:rFonts w:ascii="Arial" w:eastAsia="MS Mincho" w:hAnsi="Arial" w:cs="Arial"/>
          <w:lang w:bidi="en-US"/>
        </w:rPr>
        <w:t>“</w:t>
      </w:r>
      <w:r w:rsidR="00B37EAA" w:rsidRPr="00437356">
        <w:rPr>
          <w:rFonts w:ascii="Arial" w:eastAsia="MS Mincho" w:hAnsi="Arial" w:cs="Arial"/>
          <w:lang w:bidi="en-US"/>
        </w:rPr>
        <w:t>Assuming, as I am prepared to do for present purposes, that the test of validity is whether the trust can be executed by the court, it does not follow that execution is impossible unless there can be equal division. As a matter of reason, to hold that a principle of equal division applies to trusts such as the present is certainly paradoxical. Equal division is surely the last thing the settlor ever intended: equal division among all may, probably would, produce a result beneficial to none. Why suppose that the court would lend itself to a whimsical execution? and as regards authority, I do not find that the nature of the trust, and of the court's powers over trusts, calls for any such rigid rule. Equal division may be sensible and has been decreed, in cases of family trusts, for a limited class, here there is life in the maxim 'equality is equity,' but the cases provide numerous examples where this has not been so, and a different type of execution has been ordered, appropriate to the circumstances.</w:t>
      </w:r>
      <w:r w:rsidRPr="00437356">
        <w:rPr>
          <w:rFonts w:ascii="Arial" w:eastAsia="MS Mincho" w:hAnsi="Arial" w:cs="Arial"/>
          <w:lang w:bidi="en-US"/>
        </w:rPr>
        <w:t>”</w:t>
      </w:r>
    </w:p>
    <w:p w14:paraId="6FCBB3C9" w14:textId="38C3602A" w:rsidR="00807836" w:rsidRPr="00437356" w:rsidRDefault="00B37EAA"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lastRenderedPageBreak/>
        <w:t xml:space="preserve">Lord Wilberforce (at 456-457) then went on to set out the continuing differences between trusts and powers: </w:t>
      </w:r>
    </w:p>
    <w:p w14:paraId="138AB742" w14:textId="3A4D083F" w:rsidR="00807836" w:rsidRPr="00437356" w:rsidRDefault="00456B01" w:rsidP="00C526E7">
      <w:pPr>
        <w:snapToGrid w:val="0"/>
        <w:spacing w:after="120" w:line="360" w:lineRule="auto"/>
        <w:ind w:left="720"/>
        <w:jc w:val="both"/>
        <w:rPr>
          <w:rFonts w:ascii="Arial" w:eastAsia="MS Mincho" w:hAnsi="Arial" w:cs="Arial"/>
          <w:lang w:bidi="en-US"/>
        </w:rPr>
      </w:pPr>
      <w:r w:rsidRPr="00437356">
        <w:rPr>
          <w:rFonts w:ascii="Arial" w:eastAsia="MS Mincho" w:hAnsi="Arial" w:cs="Arial"/>
          <w:lang w:bidi="en-US"/>
        </w:rPr>
        <w:t>“</w:t>
      </w:r>
      <w:r w:rsidR="00B37EAA" w:rsidRPr="00437356">
        <w:rPr>
          <w:rFonts w:ascii="Arial" w:eastAsia="MS Mincho" w:hAnsi="Arial" w:cs="Arial"/>
          <w:lang w:bidi="en-US"/>
        </w:rPr>
        <w:t xml:space="preserve">As to powers, I agree with my noble and learned friend Lord Upjohn in </w:t>
      </w:r>
      <w:proofErr w:type="gramStart"/>
      <w:r w:rsidR="00B37EAA" w:rsidRPr="00437356">
        <w:rPr>
          <w:rFonts w:ascii="Arial" w:eastAsia="MS Mincho" w:hAnsi="Arial" w:cs="Arial"/>
          <w:i/>
          <w:iCs/>
          <w:lang w:bidi="en-US"/>
        </w:rPr>
        <w:t>In</w:t>
      </w:r>
      <w:proofErr w:type="gramEnd"/>
      <w:r w:rsidR="00B37EAA" w:rsidRPr="00437356">
        <w:rPr>
          <w:rFonts w:ascii="Arial" w:eastAsia="MS Mincho" w:hAnsi="Arial" w:cs="Arial"/>
          <w:i/>
          <w:iCs/>
          <w:lang w:bidi="en-US"/>
        </w:rPr>
        <w:t xml:space="preserve"> re </w:t>
      </w:r>
      <w:proofErr w:type="spellStart"/>
      <w:r w:rsidR="00B37EAA" w:rsidRPr="00437356">
        <w:rPr>
          <w:rFonts w:ascii="Arial" w:eastAsia="MS Mincho" w:hAnsi="Arial" w:cs="Arial"/>
          <w:i/>
          <w:iCs/>
          <w:lang w:bidi="en-US"/>
        </w:rPr>
        <w:t>Gulbenkian</w:t>
      </w:r>
      <w:r w:rsidR="00F72C4B" w:rsidRPr="00437356">
        <w:rPr>
          <w:rFonts w:ascii="Arial" w:eastAsia="MS Mincho" w:hAnsi="Arial" w:cs="Arial"/>
          <w:i/>
          <w:iCs/>
          <w:lang w:bidi="en-US"/>
        </w:rPr>
        <w:t>’</w:t>
      </w:r>
      <w:r w:rsidR="00B37EAA" w:rsidRPr="00437356">
        <w:rPr>
          <w:rFonts w:ascii="Arial" w:eastAsia="MS Mincho" w:hAnsi="Arial" w:cs="Arial"/>
          <w:i/>
          <w:iCs/>
          <w:lang w:bidi="en-US"/>
        </w:rPr>
        <w:t>s</w:t>
      </w:r>
      <w:proofErr w:type="spellEnd"/>
      <w:r w:rsidR="00B37EAA" w:rsidRPr="00437356">
        <w:rPr>
          <w:rFonts w:ascii="Arial" w:eastAsia="MS Mincho" w:hAnsi="Arial" w:cs="Arial"/>
          <w:i/>
          <w:iCs/>
          <w:lang w:bidi="en-US"/>
        </w:rPr>
        <w:t xml:space="preserve"> Settlements</w:t>
      </w:r>
      <w:r w:rsidR="00B37EAA" w:rsidRPr="00437356">
        <w:rPr>
          <w:rFonts w:ascii="Arial" w:eastAsia="MS Mincho" w:hAnsi="Arial" w:cs="Arial"/>
          <w:lang w:bidi="en-US"/>
        </w:rPr>
        <w:t xml:space="preserve"> that although the trustees may, and normally will, be under a fiduciary duty to consider whether or in what way they should exercise their power, the court will not normally compel its exercise. It will intervene if the trustees exceed their powers, and possibly if they are proved to have exercised it capriciously. But in the case of a trust power [by this, he meant a discretionary trust], if the trustees do not exercise it, the court will</w:t>
      </w:r>
      <w:r w:rsidR="00F72C4B" w:rsidRPr="00437356">
        <w:rPr>
          <w:rFonts w:ascii="Arial" w:eastAsia="MS Mincho" w:hAnsi="Arial" w:cs="Arial"/>
          <w:lang w:bidi="en-US"/>
        </w:rPr>
        <w:t xml:space="preserve">… </w:t>
      </w:r>
      <w:r w:rsidR="00B37EAA" w:rsidRPr="00437356">
        <w:rPr>
          <w:rFonts w:ascii="Arial" w:eastAsia="MS Mincho" w:hAnsi="Arial" w:cs="Arial"/>
          <w:lang w:bidi="en-US"/>
        </w:rPr>
        <w:t>I would venture to amplify this by saying that the court, if called upon to execute the trust power</w:t>
      </w:r>
      <w:r w:rsidR="005E0E84" w:rsidRPr="00437356">
        <w:rPr>
          <w:rFonts w:ascii="Arial" w:eastAsia="MS Mincho" w:hAnsi="Arial" w:cs="Arial"/>
          <w:lang w:bidi="en-US"/>
        </w:rPr>
        <w:t xml:space="preserve"> (i.e. discretionary trust)</w:t>
      </w:r>
      <w:r w:rsidR="00B37EAA" w:rsidRPr="00437356">
        <w:rPr>
          <w:rFonts w:ascii="Arial" w:eastAsia="MS Mincho" w:hAnsi="Arial" w:cs="Arial"/>
          <w:lang w:bidi="en-US"/>
        </w:rPr>
        <w:t>, will do so in the manner best calculated to give effect to the settlor's or testator's intentions. It may do so by appointing new trustees, or by authorising or directing representative persons of the classes of beneficiaries to prepare a scheme of distribution, or even, should the proper basis for distribution appear by itself directing the trustees so to distribute. The books give many instances where this has been done, and I see no reason in principle why they should not do so in the modern field of discretionary trusts</w:t>
      </w:r>
      <w:r w:rsidR="00F72C4B" w:rsidRPr="00437356">
        <w:rPr>
          <w:rFonts w:ascii="Arial" w:eastAsia="MS Mincho" w:hAnsi="Arial" w:cs="Arial"/>
          <w:lang w:bidi="en-US"/>
        </w:rPr>
        <w:t xml:space="preserve">… </w:t>
      </w:r>
      <w:r w:rsidR="00B37EAA" w:rsidRPr="00437356">
        <w:rPr>
          <w:rFonts w:ascii="Arial" w:eastAsia="MS Mincho" w:hAnsi="Arial" w:cs="Arial"/>
          <w:lang w:bidi="en-US"/>
        </w:rPr>
        <w:t>Then, as to the trustees' duty of inquiry or ascertainment, in each case the trustees ought to make such a survey of the range of objects or possible beneficiaries as will enable them to carry out their fiduciary duty</w:t>
      </w:r>
      <w:r w:rsidR="00F72C4B" w:rsidRPr="00437356">
        <w:rPr>
          <w:rFonts w:ascii="Arial" w:eastAsia="MS Mincho" w:hAnsi="Arial" w:cs="Arial"/>
          <w:lang w:bidi="en-US"/>
        </w:rPr>
        <w:t xml:space="preserve">… </w:t>
      </w:r>
      <w:r w:rsidR="00B37EAA" w:rsidRPr="00437356">
        <w:rPr>
          <w:rFonts w:ascii="Arial" w:eastAsia="MS Mincho" w:hAnsi="Arial" w:cs="Arial"/>
          <w:lang w:bidi="en-US"/>
        </w:rPr>
        <w:t>A wider and more comprehensive range of inquiry is called for in the case of trust powers than in the case of powers.</w:t>
      </w:r>
      <w:r w:rsidRPr="00437356">
        <w:rPr>
          <w:rFonts w:ascii="Arial" w:eastAsia="MS Mincho" w:hAnsi="Arial" w:cs="Arial"/>
          <w:lang w:bidi="en-US"/>
        </w:rPr>
        <w:t>”</w:t>
      </w:r>
    </w:p>
    <w:p w14:paraId="4D729F01" w14:textId="38421C53" w:rsidR="00422C1E" w:rsidRPr="00437356" w:rsidRDefault="00B37EAA" w:rsidP="00C526E7">
      <w:pPr>
        <w:snapToGrid w:val="0"/>
        <w:spacing w:after="120" w:line="360" w:lineRule="auto"/>
        <w:jc w:val="both"/>
        <w:rPr>
          <w:rFonts w:ascii="Arial" w:hAnsi="Arial" w:cs="Arial"/>
          <w:bCs/>
          <w:lang w:val="en-US"/>
        </w:rPr>
      </w:pPr>
      <w:r w:rsidRPr="00437356">
        <w:rPr>
          <w:rFonts w:ascii="Arial" w:hAnsi="Arial" w:cs="Arial"/>
          <w:bCs/>
          <w:lang w:val="en-US"/>
        </w:rPr>
        <w:t xml:space="preserve">Given the </w:t>
      </w:r>
      <w:r w:rsidR="00E24762" w:rsidRPr="00437356">
        <w:rPr>
          <w:rFonts w:ascii="Arial" w:hAnsi="Arial" w:cs="Arial"/>
          <w:bCs/>
          <w:lang w:val="en-US"/>
        </w:rPr>
        <w:t>above,</w:t>
      </w:r>
      <w:r w:rsidR="00E24762" w:rsidRPr="00437356">
        <w:rPr>
          <w:rFonts w:ascii="Arial" w:hAnsi="Arial" w:cs="Arial"/>
        </w:rPr>
        <w:t xml:space="preserve"> Lord</w:t>
      </w:r>
      <w:r w:rsidR="005E0E84" w:rsidRPr="00437356">
        <w:rPr>
          <w:rFonts w:ascii="Arial" w:hAnsi="Arial" w:cs="Arial"/>
        </w:rPr>
        <w:t xml:space="preserve"> Wilberforce stated that ‘</w:t>
      </w:r>
      <w:r w:rsidR="00422C1E" w:rsidRPr="00437356">
        <w:rPr>
          <w:rFonts w:ascii="Arial" w:hAnsi="Arial" w:cs="Arial"/>
        </w:rPr>
        <w:t>a trustee with a duty to distribute [i.e. a discretionary trustee], particularly among a potentially very large class, would surely never require the preparation of a complete list of names, which anyhow would tell him little that he needs to know</w:t>
      </w:r>
      <w:r w:rsidRPr="00437356">
        <w:rPr>
          <w:rFonts w:ascii="Arial" w:hAnsi="Arial" w:cs="Arial"/>
        </w:rPr>
        <w:t>.</w:t>
      </w:r>
      <w:r w:rsidR="005E0E84" w:rsidRPr="00437356">
        <w:rPr>
          <w:rFonts w:ascii="Arial" w:hAnsi="Arial" w:cs="Arial"/>
        </w:rPr>
        <w:t>’</w:t>
      </w:r>
      <w:r w:rsidRPr="00437356">
        <w:rPr>
          <w:rFonts w:ascii="Arial" w:hAnsi="Arial" w:cs="Arial"/>
        </w:rPr>
        <w:t xml:space="preserve">  For this reason, Lord Wilberforce thought that the </w:t>
      </w:r>
      <w:proofErr w:type="spellStart"/>
      <w:r w:rsidRPr="00437356">
        <w:rPr>
          <w:rFonts w:ascii="Arial" w:hAnsi="Arial" w:cs="Arial"/>
        </w:rPr>
        <w:t>is</w:t>
      </w:r>
      <w:proofErr w:type="spellEnd"/>
      <w:r w:rsidRPr="00437356">
        <w:rPr>
          <w:rFonts w:ascii="Arial" w:hAnsi="Arial" w:cs="Arial"/>
        </w:rPr>
        <w:t>/is not test was the correct test for certainty of objects, not the list certainty test.</w:t>
      </w:r>
      <w:r w:rsidR="00422C1E" w:rsidRPr="00437356">
        <w:rPr>
          <w:rFonts w:ascii="Arial" w:hAnsi="Arial" w:cs="Arial"/>
        </w:rPr>
        <w:t xml:space="preserve"> </w:t>
      </w:r>
    </w:p>
    <w:p w14:paraId="3703EF15" w14:textId="7DE490D9" w:rsidR="00807836" w:rsidRPr="00437356" w:rsidRDefault="00155C00" w:rsidP="00C526E7">
      <w:pPr>
        <w:pStyle w:val="ListParagraph"/>
        <w:numPr>
          <w:ilvl w:val="0"/>
          <w:numId w:val="42"/>
        </w:numPr>
        <w:snapToGrid w:val="0"/>
        <w:spacing w:before="240" w:after="120" w:line="360" w:lineRule="auto"/>
        <w:ind w:left="1077"/>
        <w:contextualSpacing w:val="0"/>
        <w:jc w:val="both"/>
        <w:rPr>
          <w:rFonts w:ascii="Arial" w:hAnsi="Arial" w:cs="Arial"/>
        </w:rPr>
      </w:pPr>
      <w:r w:rsidRPr="00437356">
        <w:rPr>
          <w:rFonts w:ascii="Arial" w:hAnsi="Arial" w:cs="Arial"/>
        </w:rPr>
        <w:t xml:space="preserve">Applying the </w:t>
      </w:r>
      <w:proofErr w:type="spellStart"/>
      <w:r w:rsidRPr="00437356">
        <w:rPr>
          <w:rFonts w:ascii="Arial" w:hAnsi="Arial" w:cs="Arial"/>
        </w:rPr>
        <w:t>is</w:t>
      </w:r>
      <w:proofErr w:type="spellEnd"/>
      <w:r w:rsidRPr="00437356">
        <w:rPr>
          <w:rFonts w:ascii="Arial" w:hAnsi="Arial" w:cs="Arial"/>
        </w:rPr>
        <w:t>/is not test</w:t>
      </w:r>
    </w:p>
    <w:p w14:paraId="34490BC0" w14:textId="4495CE37" w:rsidR="005E0E84" w:rsidRPr="00437356" w:rsidRDefault="00155C00"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t xml:space="preserve">Once the House of Lords had made its decision in </w:t>
      </w:r>
      <w:r w:rsidRPr="00437356">
        <w:rPr>
          <w:rFonts w:ascii="Arial" w:eastAsia="MS Mincho" w:hAnsi="Arial" w:cs="Arial"/>
          <w:i/>
          <w:iCs/>
          <w:lang w:bidi="en-US"/>
        </w:rPr>
        <w:t xml:space="preserve">McPhail, </w:t>
      </w:r>
      <w:r w:rsidRPr="00437356">
        <w:rPr>
          <w:rFonts w:ascii="Arial" w:eastAsia="MS Mincho" w:hAnsi="Arial" w:cs="Arial"/>
          <w:lang w:bidi="en-US"/>
        </w:rPr>
        <w:t xml:space="preserve">the case was then remitted to the High Court for determination of the question whether the test laid down in </w:t>
      </w:r>
      <w:r w:rsidRPr="00437356">
        <w:rPr>
          <w:rFonts w:ascii="Arial" w:eastAsia="MS Mincho" w:hAnsi="Arial" w:cs="Arial"/>
          <w:i/>
          <w:lang w:bidi="en-US"/>
        </w:rPr>
        <w:t>McPhail v Doulton</w:t>
      </w:r>
      <w:r w:rsidRPr="00437356">
        <w:rPr>
          <w:rFonts w:ascii="Arial" w:eastAsia="MS Mincho" w:hAnsi="Arial" w:cs="Arial"/>
          <w:lang w:bidi="en-US"/>
        </w:rPr>
        <w:t xml:space="preserve"> was satisfied by the trust in question. The dispute centred around whether the terms ‘relatives’ and ‘dependants’ were conceptually certain.</w:t>
      </w:r>
      <w:r w:rsidR="001662F6" w:rsidRPr="00437356">
        <w:rPr>
          <w:rFonts w:ascii="Arial" w:eastAsia="MS Mincho" w:hAnsi="Arial" w:cs="Arial"/>
          <w:lang w:bidi="en-US"/>
        </w:rPr>
        <w:t xml:space="preserve"> </w:t>
      </w:r>
      <w:r w:rsidRPr="00437356">
        <w:rPr>
          <w:rFonts w:ascii="Arial" w:eastAsia="MS Mincho" w:hAnsi="Arial" w:cs="Arial"/>
          <w:lang w:bidi="en-US"/>
        </w:rPr>
        <w:t xml:space="preserve">The High Court held that the terms were conceptually certain. The case was appealed to the Court of Appeal under the name </w:t>
      </w:r>
      <w:r w:rsidRPr="00437356">
        <w:rPr>
          <w:rFonts w:ascii="Arial" w:eastAsia="MS Mincho" w:hAnsi="Arial" w:cs="Arial"/>
          <w:i/>
          <w:lang w:bidi="en-US"/>
        </w:rPr>
        <w:t>Re Baden (No 2)</w:t>
      </w:r>
      <w:r w:rsidRPr="00437356">
        <w:rPr>
          <w:rFonts w:ascii="Arial" w:eastAsia="MS Mincho" w:hAnsi="Arial" w:cs="Arial"/>
          <w:lang w:bidi="en-US"/>
        </w:rPr>
        <w:t xml:space="preserve"> [1973] Ch 9. Here the judges discussed how exactly to apply the ‘is or is not’ test to the trust in question. The problem was that on a wide meaning of the term ‘relative’ (i.e., ‘descended from a common ancestor’) it would be impossible to prove that any given person was </w:t>
      </w:r>
      <w:r w:rsidRPr="00437356">
        <w:rPr>
          <w:rFonts w:ascii="Arial" w:eastAsia="MS Mincho" w:hAnsi="Arial" w:cs="Arial"/>
          <w:i/>
          <w:lang w:bidi="en-US"/>
        </w:rPr>
        <w:t>not</w:t>
      </w:r>
      <w:r w:rsidRPr="00437356">
        <w:rPr>
          <w:rFonts w:ascii="Arial" w:eastAsia="MS Mincho" w:hAnsi="Arial" w:cs="Arial"/>
          <w:lang w:bidi="en-US"/>
        </w:rPr>
        <w:t xml:space="preserve"> a relative. Did this impossibility mean that the ‘is or is not’ test was not satisfied? </w:t>
      </w:r>
    </w:p>
    <w:p w14:paraId="54E7C8F3" w14:textId="4214F7B6" w:rsidR="005E0E84" w:rsidRPr="00437356" w:rsidRDefault="00155C00" w:rsidP="00C526E7">
      <w:pPr>
        <w:snapToGrid w:val="0"/>
        <w:spacing w:after="120" w:line="360" w:lineRule="auto"/>
        <w:jc w:val="both"/>
        <w:rPr>
          <w:rFonts w:ascii="Arial" w:eastAsia="MS Mincho" w:hAnsi="Arial" w:cs="Arial"/>
          <w:lang w:bidi="en-US"/>
        </w:rPr>
      </w:pPr>
      <w:r w:rsidRPr="00437356">
        <w:rPr>
          <w:rFonts w:ascii="Arial" w:eastAsia="MS Mincho" w:hAnsi="Arial" w:cs="Arial"/>
          <w:lang w:bidi="en-US"/>
        </w:rPr>
        <w:lastRenderedPageBreak/>
        <w:t xml:space="preserve">The majority of the Court of Appeal – Sachs and Megaw LJ – held that it </w:t>
      </w:r>
      <w:r w:rsidR="001662F6" w:rsidRPr="00437356">
        <w:rPr>
          <w:rFonts w:ascii="Arial" w:eastAsia="MS Mincho" w:hAnsi="Arial" w:cs="Arial"/>
          <w:lang w:bidi="en-US"/>
        </w:rPr>
        <w:t>did</w:t>
      </w:r>
      <w:r w:rsidRPr="00437356">
        <w:rPr>
          <w:rFonts w:ascii="Arial" w:eastAsia="MS Mincho" w:hAnsi="Arial" w:cs="Arial"/>
          <w:lang w:bidi="en-US"/>
        </w:rPr>
        <w:t xml:space="preserve"> not. They took the view that the ‘is or is not’ test did not require it to be proved that any given individual was </w:t>
      </w:r>
      <w:r w:rsidRPr="00437356">
        <w:rPr>
          <w:rFonts w:ascii="Arial" w:eastAsia="MS Mincho" w:hAnsi="Arial" w:cs="Arial"/>
          <w:i/>
          <w:lang w:bidi="en-US"/>
        </w:rPr>
        <w:t>not</w:t>
      </w:r>
      <w:r w:rsidRPr="00437356">
        <w:rPr>
          <w:rFonts w:ascii="Arial" w:eastAsia="MS Mincho" w:hAnsi="Arial" w:cs="Arial"/>
          <w:lang w:bidi="en-US"/>
        </w:rPr>
        <w:t xml:space="preserve"> within the class, as the test was one of conceptual rather than evidential certainty.</w:t>
      </w:r>
      <w:r w:rsidR="001662F6" w:rsidRPr="00437356">
        <w:rPr>
          <w:rFonts w:ascii="Arial" w:eastAsia="MS Mincho" w:hAnsi="Arial" w:cs="Arial"/>
          <w:lang w:bidi="en-US"/>
        </w:rPr>
        <w:t xml:space="preserve"> Megaw LJ even went as far as to say that the test could be satisfied so long as a ‘substantial number’ of persons fall within the class of objects, even if there was also a potentially substantial number of persons of whom ‘it is not proven whether they are in our out’ of the class (although Sachs LJ did not seem to agree with Megaw LJ on this latter point).</w:t>
      </w:r>
      <w:r w:rsidRPr="00437356">
        <w:rPr>
          <w:rFonts w:ascii="Arial" w:eastAsia="MS Mincho" w:hAnsi="Arial" w:cs="Arial"/>
          <w:lang w:bidi="en-US"/>
        </w:rPr>
        <w:t xml:space="preserve"> Stamp LJ</w:t>
      </w:r>
      <w:r w:rsidR="001662F6" w:rsidRPr="00437356">
        <w:rPr>
          <w:rFonts w:ascii="Arial" w:eastAsia="MS Mincho" w:hAnsi="Arial" w:cs="Arial"/>
          <w:lang w:bidi="en-US"/>
        </w:rPr>
        <w:t>, on the other hand,</w:t>
      </w:r>
      <w:r w:rsidRPr="00437356">
        <w:rPr>
          <w:rFonts w:ascii="Arial" w:eastAsia="MS Mincho" w:hAnsi="Arial" w:cs="Arial"/>
          <w:lang w:bidi="en-US"/>
        </w:rPr>
        <w:t xml:space="preserve"> did think that it was necessary to say of any given individual that they were </w:t>
      </w:r>
      <w:r w:rsidRPr="00437356">
        <w:rPr>
          <w:rFonts w:ascii="Arial" w:eastAsia="MS Mincho" w:hAnsi="Arial" w:cs="Arial"/>
          <w:i/>
          <w:lang w:bidi="en-US"/>
        </w:rPr>
        <w:t>not</w:t>
      </w:r>
      <w:r w:rsidRPr="00437356">
        <w:rPr>
          <w:rFonts w:ascii="Arial" w:eastAsia="MS Mincho" w:hAnsi="Arial" w:cs="Arial"/>
          <w:lang w:bidi="en-US"/>
        </w:rPr>
        <w:t xml:space="preserve"> a member of the class and, on the basis of a wide reading of the term ‘relative,’ would have found that the trust was void on account of (evidential) uncertainty of objects. He got around this by adopting a much narrower meaning of the term relative as ‘nearest blood relative,’ which removed the evidential problem. </w:t>
      </w:r>
      <w:r w:rsidR="001662F6" w:rsidRPr="00437356">
        <w:rPr>
          <w:rFonts w:ascii="Arial" w:eastAsia="MS Mincho" w:hAnsi="Arial" w:cs="Arial"/>
          <w:lang w:bidi="en-US"/>
        </w:rPr>
        <w:t xml:space="preserve">So, we can take from </w:t>
      </w:r>
      <w:r w:rsidR="001662F6" w:rsidRPr="00437356">
        <w:rPr>
          <w:rFonts w:ascii="Arial" w:eastAsia="MS Mincho" w:hAnsi="Arial" w:cs="Arial"/>
          <w:i/>
          <w:iCs/>
          <w:lang w:bidi="en-US"/>
        </w:rPr>
        <w:t xml:space="preserve">Baden (No 2) </w:t>
      </w:r>
      <w:r w:rsidR="001662F6" w:rsidRPr="00437356">
        <w:rPr>
          <w:rFonts w:ascii="Arial" w:eastAsia="MS Mincho" w:hAnsi="Arial" w:cs="Arial"/>
          <w:lang w:bidi="en-US"/>
        </w:rPr>
        <w:t>that ‘</w:t>
      </w:r>
      <w:proofErr w:type="gramStart"/>
      <w:r w:rsidR="001662F6" w:rsidRPr="00437356">
        <w:rPr>
          <w:rFonts w:ascii="Arial" w:eastAsia="MS Mincho" w:hAnsi="Arial" w:cs="Arial"/>
          <w:lang w:bidi="en-US"/>
        </w:rPr>
        <w:t>relatives’</w:t>
      </w:r>
      <w:proofErr w:type="gramEnd"/>
      <w:r w:rsidR="001662F6" w:rsidRPr="00437356">
        <w:rPr>
          <w:rFonts w:ascii="Arial" w:eastAsia="MS Mincho" w:hAnsi="Arial" w:cs="Arial"/>
          <w:lang w:bidi="en-US"/>
        </w:rPr>
        <w:t xml:space="preserve"> will satisfy the </w:t>
      </w:r>
      <w:proofErr w:type="spellStart"/>
      <w:r w:rsidR="001662F6" w:rsidRPr="00437356">
        <w:rPr>
          <w:rFonts w:ascii="Arial" w:eastAsia="MS Mincho" w:hAnsi="Arial" w:cs="Arial"/>
          <w:lang w:bidi="en-US"/>
        </w:rPr>
        <w:t>is</w:t>
      </w:r>
      <w:proofErr w:type="spellEnd"/>
      <w:r w:rsidR="001662F6" w:rsidRPr="00437356">
        <w:rPr>
          <w:rFonts w:ascii="Arial" w:eastAsia="MS Mincho" w:hAnsi="Arial" w:cs="Arial"/>
          <w:lang w:bidi="en-US"/>
        </w:rPr>
        <w:t>/is not test, but we must also acknowledge the inconsistency amongst the Lords Justices as to precisely how Lord Wilberforce’s test should be applied.</w:t>
      </w:r>
    </w:p>
    <w:p w14:paraId="51067B85" w14:textId="396FD1E4" w:rsidR="001662F6" w:rsidRPr="00437356" w:rsidRDefault="001662F6" w:rsidP="00C526E7">
      <w:pPr>
        <w:widowControl w:val="0"/>
        <w:suppressAutoHyphens/>
        <w:snapToGrid w:val="0"/>
        <w:spacing w:after="120" w:line="360" w:lineRule="auto"/>
        <w:jc w:val="both"/>
        <w:textAlignment w:val="baseline"/>
        <w:rPr>
          <w:rFonts w:ascii="Arial" w:hAnsi="Arial" w:cs="Arial"/>
          <w:lang w:val="en-US"/>
        </w:rPr>
      </w:pPr>
      <w:r w:rsidRPr="00437356">
        <w:rPr>
          <w:rFonts w:ascii="Arial" w:hAnsi="Arial" w:cs="Arial"/>
          <w:lang w:val="en-US"/>
        </w:rPr>
        <w:t xml:space="preserve">There are other </w:t>
      </w:r>
      <w:r w:rsidR="00456B01" w:rsidRPr="00437356">
        <w:rPr>
          <w:rFonts w:ascii="Arial" w:hAnsi="Arial" w:cs="Arial"/>
          <w:lang w:val="en-US"/>
        </w:rPr>
        <w:t>authorities</w:t>
      </w:r>
      <w:r w:rsidRPr="00437356">
        <w:rPr>
          <w:rFonts w:ascii="Arial" w:hAnsi="Arial" w:cs="Arial"/>
          <w:lang w:val="en-US"/>
        </w:rPr>
        <w:t xml:space="preserve"> on the </w:t>
      </w:r>
      <w:proofErr w:type="spellStart"/>
      <w:r w:rsidRPr="00437356">
        <w:rPr>
          <w:rFonts w:ascii="Arial" w:hAnsi="Arial" w:cs="Arial"/>
          <w:lang w:val="en-US"/>
        </w:rPr>
        <w:t>is</w:t>
      </w:r>
      <w:proofErr w:type="spellEnd"/>
      <w:r w:rsidRPr="00437356">
        <w:rPr>
          <w:rFonts w:ascii="Arial" w:hAnsi="Arial" w:cs="Arial"/>
          <w:lang w:val="en-US"/>
        </w:rPr>
        <w:t xml:space="preserve">/is not test. For example, in </w:t>
      </w:r>
      <w:r w:rsidRPr="00437356">
        <w:rPr>
          <w:rFonts w:ascii="Arial" w:hAnsi="Arial" w:cs="Arial"/>
          <w:i/>
          <w:iCs/>
          <w:lang w:val="en-US"/>
        </w:rPr>
        <w:t>Brown v Gould</w:t>
      </w:r>
      <w:r w:rsidRPr="00437356">
        <w:rPr>
          <w:rFonts w:ascii="Arial" w:hAnsi="Arial" w:cs="Arial"/>
          <w:lang w:val="en-US"/>
        </w:rPr>
        <w:t xml:space="preserve"> [1972] Ch 53, the phrase ‘old friends’ was held to be conceptually uncertain. In </w:t>
      </w:r>
      <w:proofErr w:type="spellStart"/>
      <w:r w:rsidRPr="00437356">
        <w:rPr>
          <w:rFonts w:ascii="Arial" w:hAnsi="Arial" w:cs="Arial"/>
          <w:i/>
          <w:iCs/>
          <w:lang w:val="en-US"/>
        </w:rPr>
        <w:t>Sparfax</w:t>
      </w:r>
      <w:proofErr w:type="spellEnd"/>
      <w:r w:rsidRPr="00437356">
        <w:rPr>
          <w:rFonts w:ascii="Arial" w:hAnsi="Arial" w:cs="Arial"/>
          <w:i/>
          <w:iCs/>
          <w:lang w:val="en-US"/>
        </w:rPr>
        <w:t xml:space="preserve"> v </w:t>
      </w:r>
      <w:proofErr w:type="spellStart"/>
      <w:r w:rsidRPr="00437356">
        <w:rPr>
          <w:rFonts w:ascii="Arial" w:hAnsi="Arial" w:cs="Arial"/>
          <w:i/>
          <w:iCs/>
          <w:lang w:val="en-US"/>
        </w:rPr>
        <w:t>Dommett</w:t>
      </w:r>
      <w:proofErr w:type="spellEnd"/>
      <w:r w:rsidRPr="00437356">
        <w:rPr>
          <w:rFonts w:ascii="Arial" w:hAnsi="Arial" w:cs="Arial"/>
          <w:lang w:val="en-US"/>
        </w:rPr>
        <w:t xml:space="preserve"> (1972) The Times, 14</w:t>
      </w:r>
      <w:r w:rsidRPr="00437356">
        <w:rPr>
          <w:rFonts w:ascii="Arial" w:hAnsi="Arial" w:cs="Arial"/>
          <w:vertAlign w:val="superscript"/>
          <w:lang w:val="en-US"/>
        </w:rPr>
        <w:t>th</w:t>
      </w:r>
      <w:r w:rsidRPr="00437356">
        <w:rPr>
          <w:rFonts w:ascii="Arial" w:hAnsi="Arial" w:cs="Arial"/>
          <w:lang w:val="en-US"/>
        </w:rPr>
        <w:t xml:space="preserve"> July, the term ‘customers’ was held to be conceptually uncertain.</w:t>
      </w:r>
    </w:p>
    <w:p w14:paraId="6BF9A6A8" w14:textId="3466930C" w:rsidR="00D25B6D" w:rsidRPr="00437356" w:rsidRDefault="00D25B6D" w:rsidP="00C526E7">
      <w:pPr>
        <w:pStyle w:val="Default"/>
        <w:numPr>
          <w:ilvl w:val="0"/>
          <w:numId w:val="42"/>
        </w:numPr>
        <w:snapToGrid w:val="0"/>
        <w:spacing w:before="240" w:after="120" w:line="360" w:lineRule="auto"/>
        <w:ind w:left="1077"/>
        <w:jc w:val="both"/>
        <w:rPr>
          <w:rFonts w:ascii="Arial" w:eastAsia="MS Mincho" w:hAnsi="Arial" w:cs="Arial"/>
          <w:sz w:val="22"/>
          <w:szCs w:val="22"/>
          <w:lang w:eastAsia="en-US" w:bidi="en-US"/>
        </w:rPr>
      </w:pPr>
      <w:r w:rsidRPr="00437356">
        <w:rPr>
          <w:rFonts w:ascii="Arial" w:eastAsia="MS Mincho" w:hAnsi="Arial" w:cs="Arial"/>
          <w:sz w:val="22"/>
          <w:szCs w:val="22"/>
          <w:lang w:eastAsia="en-US" w:bidi="en-US"/>
        </w:rPr>
        <w:t>Administrative Unworkability</w:t>
      </w:r>
    </w:p>
    <w:p w14:paraId="12C92342" w14:textId="599FB840" w:rsidR="00D25B6D" w:rsidRPr="00437356" w:rsidRDefault="00D25B6D" w:rsidP="00C526E7">
      <w:pPr>
        <w:pStyle w:val="Default"/>
        <w:snapToGrid w:val="0"/>
        <w:spacing w:after="120" w:line="360" w:lineRule="auto"/>
        <w:jc w:val="both"/>
        <w:rPr>
          <w:rFonts w:ascii="Arial" w:eastAsia="Times New Roman" w:hAnsi="Arial" w:cs="Arial"/>
          <w:bCs/>
          <w:iCs/>
          <w:sz w:val="22"/>
          <w:szCs w:val="22"/>
          <w:lang w:eastAsia="en-US" w:bidi="en-US"/>
        </w:rPr>
      </w:pPr>
      <w:r w:rsidRPr="00437356">
        <w:rPr>
          <w:rFonts w:ascii="Arial" w:eastAsia="Times New Roman" w:hAnsi="Arial" w:cs="Arial"/>
          <w:bCs/>
          <w:iCs/>
          <w:sz w:val="22"/>
          <w:szCs w:val="22"/>
          <w:lang w:eastAsia="en-US" w:bidi="en-US"/>
        </w:rPr>
        <w:t xml:space="preserve">In </w:t>
      </w:r>
      <w:r w:rsidRPr="00437356">
        <w:rPr>
          <w:rFonts w:ascii="Arial" w:eastAsia="Times New Roman" w:hAnsi="Arial" w:cs="Arial"/>
          <w:bCs/>
          <w:i/>
          <w:iCs/>
          <w:sz w:val="22"/>
          <w:szCs w:val="22"/>
          <w:lang w:eastAsia="en-US" w:bidi="en-US"/>
        </w:rPr>
        <w:t xml:space="preserve">McPhail v Doulton </w:t>
      </w:r>
      <w:r w:rsidRPr="00437356">
        <w:rPr>
          <w:rFonts w:ascii="Arial" w:eastAsia="Times New Roman" w:hAnsi="Arial" w:cs="Arial"/>
          <w:bCs/>
          <w:iCs/>
          <w:sz w:val="22"/>
          <w:szCs w:val="22"/>
          <w:lang w:eastAsia="en-US" w:bidi="en-US"/>
        </w:rPr>
        <w:t>[1971] AC 424 Lord Wilberforce (at 457) stated: “There may be a . . . case where the meaning of the words used is clear but the definition of beneficiaries is so hopelessly wide as not to form ‘anything like a class’ so that the trust is administratively unworkable or in Lord Eldon's words one that cannot be executed</w:t>
      </w:r>
      <w:r w:rsidR="00A05EF1" w:rsidRPr="00437356">
        <w:rPr>
          <w:rFonts w:ascii="Arial" w:eastAsia="Times New Roman" w:hAnsi="Arial" w:cs="Arial"/>
          <w:bCs/>
          <w:iCs/>
          <w:sz w:val="22"/>
          <w:szCs w:val="22"/>
          <w:lang w:eastAsia="en-US" w:bidi="en-US"/>
        </w:rPr>
        <w:t xml:space="preserve">… </w:t>
      </w:r>
      <w:r w:rsidRPr="00437356">
        <w:rPr>
          <w:rFonts w:ascii="Arial" w:eastAsia="Times New Roman" w:hAnsi="Arial" w:cs="Arial"/>
          <w:bCs/>
          <w:iCs/>
          <w:sz w:val="22"/>
          <w:szCs w:val="22"/>
          <w:lang w:eastAsia="en-US" w:bidi="en-US"/>
        </w:rPr>
        <w:t>I hesitate to give examples for they may prejudice future cases, but perhaps ‘all the residents of Greater London’ will serve. I do not think that a discretionary trust for ‘relatives’ even of a living person falls within this category.”</w:t>
      </w:r>
    </w:p>
    <w:p w14:paraId="3CB96B39" w14:textId="23D40079" w:rsidR="00807836" w:rsidRPr="00437356" w:rsidRDefault="00D25B6D" w:rsidP="00C526E7">
      <w:pPr>
        <w:pStyle w:val="Default"/>
        <w:snapToGrid w:val="0"/>
        <w:spacing w:after="120" w:line="360" w:lineRule="auto"/>
        <w:jc w:val="both"/>
        <w:rPr>
          <w:rFonts w:ascii="Arial" w:eastAsia="Times New Roman" w:hAnsi="Arial" w:cs="Arial"/>
          <w:bCs/>
          <w:iCs/>
          <w:sz w:val="22"/>
          <w:szCs w:val="22"/>
          <w:lang w:eastAsia="en-US" w:bidi="en-US"/>
        </w:rPr>
      </w:pPr>
      <w:r w:rsidRPr="00437356">
        <w:rPr>
          <w:rFonts w:ascii="Arial" w:eastAsia="Times New Roman" w:hAnsi="Arial" w:cs="Arial"/>
          <w:bCs/>
          <w:iCs/>
          <w:sz w:val="22"/>
          <w:szCs w:val="22"/>
          <w:lang w:eastAsia="en-US" w:bidi="en-US"/>
        </w:rPr>
        <w:t xml:space="preserve">This criterion of administrative unworkability was applied in </w:t>
      </w:r>
      <w:r w:rsidRPr="00437356">
        <w:rPr>
          <w:rFonts w:ascii="Arial" w:eastAsia="Times New Roman" w:hAnsi="Arial" w:cs="Arial"/>
          <w:bCs/>
          <w:i/>
          <w:iCs/>
          <w:sz w:val="22"/>
          <w:szCs w:val="22"/>
          <w:lang w:eastAsia="en-US" w:bidi="en-US"/>
        </w:rPr>
        <w:t xml:space="preserve">R v District Auditor ex p West Yorkshire Metropolitan County Council </w:t>
      </w:r>
      <w:r w:rsidRPr="00437356">
        <w:rPr>
          <w:rFonts w:ascii="Arial" w:eastAsia="Times New Roman" w:hAnsi="Arial" w:cs="Arial"/>
          <w:bCs/>
          <w:iCs/>
          <w:sz w:val="22"/>
          <w:szCs w:val="22"/>
          <w:lang w:eastAsia="en-US" w:bidi="en-US"/>
        </w:rPr>
        <w:t>[1986] RVR 24, which concerned an attempt to create a discretionary trust in favour of the ‘inhabitants of the County of West Yorkshire.’ There were 2.5 million potential beneficiaries. It was held that this was incapable of forming anything like a class and therefore administratively unworkable and void. However, the case can be distinguished in several ways from the hypothetical scenario provided by Lord Wilberforce, for example in that there was an actual connection between the Council and the inhabitants of West Yorkshire. The decision thus remains unsatisfactory.</w:t>
      </w:r>
    </w:p>
    <w:p w14:paraId="2D2D7004" w14:textId="1722F894" w:rsidR="00D25B6D" w:rsidRPr="00437356" w:rsidRDefault="00D25B6D" w:rsidP="00C526E7">
      <w:pPr>
        <w:snapToGrid w:val="0"/>
        <w:spacing w:after="120" w:line="360" w:lineRule="auto"/>
        <w:jc w:val="both"/>
        <w:rPr>
          <w:rFonts w:ascii="Arial" w:hAnsi="Arial" w:cs="Arial"/>
        </w:rPr>
      </w:pPr>
      <w:r w:rsidRPr="00437356">
        <w:rPr>
          <w:rFonts w:ascii="Arial" w:hAnsi="Arial" w:cs="Arial"/>
        </w:rPr>
        <w:t>It should be noted that</w:t>
      </w:r>
      <w:r w:rsidR="005E0E84" w:rsidRPr="00437356">
        <w:rPr>
          <w:rFonts w:ascii="Arial" w:hAnsi="Arial" w:cs="Arial"/>
        </w:rPr>
        <w:t xml:space="preserve"> the authorities seem to suggest that</w:t>
      </w:r>
      <w:r w:rsidRPr="00437356">
        <w:rPr>
          <w:rFonts w:ascii="Arial" w:hAnsi="Arial" w:cs="Arial"/>
        </w:rPr>
        <w:t xml:space="preserve"> a power of appointment will not be rendered void by administrative In </w:t>
      </w:r>
      <w:r w:rsidRPr="00437356">
        <w:rPr>
          <w:rFonts w:ascii="Arial" w:hAnsi="Arial" w:cs="Arial"/>
          <w:i/>
        </w:rPr>
        <w:t xml:space="preserve">Re </w:t>
      </w:r>
      <w:proofErr w:type="spellStart"/>
      <w:r w:rsidRPr="00437356">
        <w:rPr>
          <w:rFonts w:ascii="Arial" w:hAnsi="Arial" w:cs="Arial"/>
          <w:i/>
        </w:rPr>
        <w:t>Manisty’s</w:t>
      </w:r>
      <w:proofErr w:type="spellEnd"/>
      <w:r w:rsidRPr="00437356">
        <w:rPr>
          <w:rFonts w:ascii="Arial" w:hAnsi="Arial" w:cs="Arial"/>
          <w:i/>
        </w:rPr>
        <w:t xml:space="preserve"> ST </w:t>
      </w:r>
      <w:r w:rsidRPr="00437356">
        <w:rPr>
          <w:rFonts w:ascii="Arial" w:hAnsi="Arial" w:cs="Arial"/>
        </w:rPr>
        <w:t xml:space="preserve">[1974] Ch 17, it was held that a power of </w:t>
      </w:r>
      <w:r w:rsidRPr="00437356">
        <w:rPr>
          <w:rFonts w:ascii="Arial" w:hAnsi="Arial" w:cs="Arial"/>
        </w:rPr>
        <w:lastRenderedPageBreak/>
        <w:t xml:space="preserve">appointment will never be void based merely on the size of the class of potential appointees. This is a key difference in the law relating to certainty of objects for trusts and powers. Note that, in </w:t>
      </w:r>
      <w:r w:rsidRPr="00437356">
        <w:rPr>
          <w:rFonts w:ascii="Arial" w:hAnsi="Arial" w:cs="Arial"/>
          <w:i/>
          <w:iCs/>
        </w:rPr>
        <w:t xml:space="preserve">Re Hay’s Settlement Trusts </w:t>
      </w:r>
      <w:r w:rsidRPr="00437356">
        <w:rPr>
          <w:rFonts w:ascii="Arial" w:hAnsi="Arial" w:cs="Arial"/>
        </w:rPr>
        <w:t xml:space="preserve">[1981] 3 All ER 786, </w:t>
      </w:r>
      <w:proofErr w:type="spellStart"/>
      <w:r w:rsidRPr="00437356">
        <w:rPr>
          <w:rFonts w:ascii="Arial" w:hAnsi="Arial" w:cs="Arial"/>
        </w:rPr>
        <w:t>Megarry</w:t>
      </w:r>
      <w:proofErr w:type="spellEnd"/>
      <w:r w:rsidRPr="00437356">
        <w:rPr>
          <w:rFonts w:ascii="Arial" w:hAnsi="Arial" w:cs="Arial"/>
        </w:rPr>
        <w:t xml:space="preserve"> J suggested that </w:t>
      </w:r>
      <w:r w:rsidR="00D4213C" w:rsidRPr="00437356">
        <w:rPr>
          <w:rFonts w:ascii="Arial" w:hAnsi="Arial" w:cs="Arial"/>
        </w:rPr>
        <w:t xml:space="preserve">fiduciary powers of appointment should be capable of being rendered void for administrative unworkability. </w:t>
      </w:r>
      <w:r w:rsidR="005E0E84" w:rsidRPr="00437356">
        <w:rPr>
          <w:rFonts w:ascii="Arial" w:hAnsi="Arial" w:cs="Arial"/>
        </w:rPr>
        <w:t>But h</w:t>
      </w:r>
      <w:r w:rsidR="00D4213C" w:rsidRPr="00437356">
        <w:rPr>
          <w:rFonts w:ascii="Arial" w:hAnsi="Arial" w:cs="Arial"/>
        </w:rPr>
        <w:t xml:space="preserve">is comments were </w:t>
      </w:r>
      <w:r w:rsidR="00D4213C" w:rsidRPr="00437356">
        <w:rPr>
          <w:rFonts w:ascii="Arial" w:hAnsi="Arial" w:cs="Arial"/>
          <w:i/>
          <w:iCs/>
        </w:rPr>
        <w:t>obiter</w:t>
      </w:r>
      <w:r w:rsidR="00D4213C" w:rsidRPr="00437356">
        <w:rPr>
          <w:rFonts w:ascii="Arial" w:hAnsi="Arial" w:cs="Arial"/>
        </w:rPr>
        <w:t>, and made at first instance, so they should not be regarded as conclusive.</w:t>
      </w:r>
    </w:p>
    <w:p w14:paraId="7DEFEA9D" w14:textId="1417104F" w:rsidR="001B03CA" w:rsidRPr="00437356" w:rsidRDefault="00D25B6D" w:rsidP="00C526E7">
      <w:pPr>
        <w:pStyle w:val="ListParagraph"/>
        <w:numPr>
          <w:ilvl w:val="0"/>
          <w:numId w:val="42"/>
        </w:numPr>
        <w:snapToGrid w:val="0"/>
        <w:spacing w:before="240" w:after="120" w:line="360" w:lineRule="auto"/>
        <w:ind w:left="1077"/>
        <w:contextualSpacing w:val="0"/>
        <w:jc w:val="both"/>
        <w:rPr>
          <w:rFonts w:ascii="Arial" w:hAnsi="Arial" w:cs="Arial"/>
        </w:rPr>
      </w:pPr>
      <w:r w:rsidRPr="00437356">
        <w:rPr>
          <w:rFonts w:ascii="Arial" w:hAnsi="Arial" w:cs="Arial"/>
        </w:rPr>
        <w:t xml:space="preserve">Overcoming </w:t>
      </w:r>
      <w:r w:rsidR="00D4213C" w:rsidRPr="00437356">
        <w:rPr>
          <w:rFonts w:ascii="Arial" w:hAnsi="Arial" w:cs="Arial"/>
        </w:rPr>
        <w:t>Conceptual Uncertainty</w:t>
      </w:r>
      <w:r w:rsidRPr="00437356">
        <w:rPr>
          <w:rFonts w:ascii="Arial" w:hAnsi="Arial" w:cs="Arial"/>
        </w:rPr>
        <w:t>: Gifts Subject to a Condition Precedent</w:t>
      </w:r>
    </w:p>
    <w:p w14:paraId="28656C5B" w14:textId="53D95F0C" w:rsidR="005E0E84" w:rsidRPr="00437356" w:rsidRDefault="00D25B6D" w:rsidP="00C526E7">
      <w:pPr>
        <w:snapToGrid w:val="0"/>
        <w:spacing w:after="120" w:line="360" w:lineRule="auto"/>
        <w:jc w:val="both"/>
        <w:rPr>
          <w:rFonts w:ascii="Arial" w:hAnsi="Arial" w:cs="Arial"/>
          <w:color w:val="000000"/>
          <w:lang w:val="en"/>
        </w:rPr>
      </w:pPr>
      <w:r w:rsidRPr="00437356">
        <w:rPr>
          <w:rFonts w:ascii="Arial" w:hAnsi="Arial" w:cs="Arial"/>
          <w:bCs/>
          <w:lang w:val="en"/>
        </w:rPr>
        <w:t xml:space="preserve">In </w:t>
      </w:r>
      <w:r w:rsidRPr="00437356">
        <w:rPr>
          <w:rFonts w:ascii="Arial" w:hAnsi="Arial" w:cs="Arial"/>
          <w:bCs/>
          <w:i/>
          <w:iCs/>
          <w:lang w:val="en-US"/>
        </w:rPr>
        <w:t xml:space="preserve">Re Barlow’s WT </w:t>
      </w:r>
      <w:r w:rsidRPr="00437356">
        <w:rPr>
          <w:rFonts w:ascii="Arial" w:hAnsi="Arial" w:cs="Arial"/>
          <w:bCs/>
          <w:lang w:val="en-US"/>
        </w:rPr>
        <w:t>[1979] 1 WLR 278</w:t>
      </w:r>
      <w:r w:rsidRPr="00437356">
        <w:rPr>
          <w:rFonts w:ascii="Arial" w:hAnsi="Arial" w:cs="Arial"/>
          <w:bCs/>
        </w:rPr>
        <w:t>, the testatrix left a collection of valuable paintings in her will to her executors to hold on trust. She directed the executors to ‘</w:t>
      </w:r>
      <w:r w:rsidRPr="00437356">
        <w:rPr>
          <w:rFonts w:ascii="Arial" w:hAnsi="Arial" w:cs="Arial"/>
          <w:color w:val="000000"/>
          <w:lang w:val="en"/>
        </w:rPr>
        <w:t xml:space="preserve">allow any members of my family and any friends of mine who may wish to do so to purchase any of such pictures’ at a specified reduced price. It was contended that this was a discretionary trust that ought to fail for uncertainty of objects because the term ‘friends’ is conceptually uncertain, and should thus fail the </w:t>
      </w:r>
      <w:proofErr w:type="spellStart"/>
      <w:r w:rsidRPr="00437356">
        <w:rPr>
          <w:rFonts w:ascii="Arial" w:hAnsi="Arial" w:cs="Arial"/>
          <w:color w:val="000000"/>
          <w:lang w:val="en"/>
        </w:rPr>
        <w:t>is</w:t>
      </w:r>
      <w:proofErr w:type="spellEnd"/>
      <w:r w:rsidRPr="00437356">
        <w:rPr>
          <w:rFonts w:ascii="Arial" w:hAnsi="Arial" w:cs="Arial"/>
          <w:color w:val="000000"/>
          <w:lang w:val="en"/>
        </w:rPr>
        <w:t>/is not test. It was held, however, that this was not a discretionary trust, but a series of gifts subject to a condition precedent. Anyone who could satisfy the condition (being a friend or family member of the testatrix) was entitled to claim a painting at a reduced price. The test for the validity of a gift subject to a condition precedent is simply to ask whether it is possible to say that at least one person qualifies for the gift (</w:t>
      </w:r>
      <w:r w:rsidRPr="00437356">
        <w:rPr>
          <w:rFonts w:ascii="Arial" w:hAnsi="Arial" w:cs="Arial"/>
          <w:i/>
          <w:iCs/>
          <w:color w:val="000000"/>
          <w:lang w:val="en"/>
        </w:rPr>
        <w:t>Re Allen</w:t>
      </w:r>
      <w:r w:rsidRPr="00437356">
        <w:rPr>
          <w:rFonts w:ascii="Arial" w:hAnsi="Arial" w:cs="Arial"/>
          <w:color w:val="000000"/>
          <w:lang w:val="en"/>
        </w:rPr>
        <w:t xml:space="preserve">). Thus, the provision was valid. </w:t>
      </w:r>
    </w:p>
    <w:p w14:paraId="2A6FD4A4" w14:textId="5520309E" w:rsidR="001D7484" w:rsidRPr="00437356" w:rsidRDefault="00D25B6D" w:rsidP="00C526E7">
      <w:pPr>
        <w:snapToGrid w:val="0"/>
        <w:spacing w:after="120" w:line="360" w:lineRule="auto"/>
        <w:jc w:val="both"/>
        <w:rPr>
          <w:rFonts w:ascii="Arial" w:hAnsi="Arial" w:cs="Arial"/>
          <w:color w:val="000000"/>
          <w:lang w:val="en"/>
        </w:rPr>
      </w:pPr>
      <w:r w:rsidRPr="00437356">
        <w:rPr>
          <w:rFonts w:ascii="Arial" w:hAnsi="Arial" w:cs="Arial"/>
          <w:color w:val="000000"/>
          <w:lang w:val="en"/>
        </w:rPr>
        <w:t xml:space="preserve">The significance of </w:t>
      </w:r>
      <w:r w:rsidRPr="00437356">
        <w:rPr>
          <w:rFonts w:ascii="Arial" w:hAnsi="Arial" w:cs="Arial"/>
          <w:i/>
          <w:color w:val="000000"/>
          <w:lang w:val="en"/>
        </w:rPr>
        <w:t xml:space="preserve">Barlow’s </w:t>
      </w:r>
      <w:r w:rsidRPr="00437356">
        <w:rPr>
          <w:rFonts w:ascii="Arial" w:hAnsi="Arial" w:cs="Arial"/>
          <w:color w:val="000000"/>
          <w:lang w:val="en"/>
        </w:rPr>
        <w:t xml:space="preserve">is that what appears to be a discretionary trust with uncertain objects may in fact be construed as a series of gifts subject to a condition precedent. Whether the court is able to construe an instrument as creating a series of gifts subject to a condition precedent, as opposed to a </w:t>
      </w:r>
      <w:r w:rsidR="00D4213C" w:rsidRPr="00437356">
        <w:rPr>
          <w:rFonts w:ascii="Arial" w:hAnsi="Arial" w:cs="Arial"/>
          <w:color w:val="000000"/>
          <w:lang w:val="en"/>
        </w:rPr>
        <w:t>discretionary</w:t>
      </w:r>
      <w:r w:rsidRPr="00437356">
        <w:rPr>
          <w:rFonts w:ascii="Arial" w:hAnsi="Arial" w:cs="Arial"/>
          <w:color w:val="000000"/>
          <w:lang w:val="en"/>
        </w:rPr>
        <w:t xml:space="preserve"> trust, is a matter of construction.</w:t>
      </w:r>
    </w:p>
    <w:p w14:paraId="5CF34A01" w14:textId="05AF937D" w:rsidR="00D4213C" w:rsidRPr="00437356" w:rsidRDefault="00D4213C" w:rsidP="00C526E7">
      <w:pPr>
        <w:pStyle w:val="ListParagraph"/>
        <w:numPr>
          <w:ilvl w:val="0"/>
          <w:numId w:val="42"/>
        </w:numPr>
        <w:snapToGrid w:val="0"/>
        <w:spacing w:before="240" w:after="120" w:line="360" w:lineRule="auto"/>
        <w:ind w:left="1077"/>
        <w:contextualSpacing w:val="0"/>
        <w:jc w:val="both"/>
        <w:rPr>
          <w:rFonts w:ascii="Arial" w:hAnsi="Arial" w:cs="Arial"/>
          <w:color w:val="000000"/>
          <w:lang w:val="en"/>
        </w:rPr>
      </w:pPr>
      <w:r w:rsidRPr="00437356">
        <w:rPr>
          <w:rFonts w:ascii="Arial" w:hAnsi="Arial" w:cs="Arial"/>
          <w:color w:val="000000"/>
          <w:lang w:val="en"/>
        </w:rPr>
        <w:t>Overcoming Conceptual Uncertainty: ‘Arbiter Clauses’?</w:t>
      </w:r>
    </w:p>
    <w:p w14:paraId="0E0FE72E" w14:textId="3BB9CDA5" w:rsidR="005E0E84" w:rsidRPr="00437356" w:rsidRDefault="00D4213C" w:rsidP="00C526E7">
      <w:pPr>
        <w:snapToGrid w:val="0"/>
        <w:spacing w:after="120" w:line="360" w:lineRule="auto"/>
        <w:jc w:val="both"/>
        <w:rPr>
          <w:rFonts w:ascii="Arial" w:hAnsi="Arial" w:cs="Arial"/>
          <w:color w:val="000000"/>
          <w:lang w:val="en"/>
        </w:rPr>
      </w:pPr>
      <w:r w:rsidRPr="00437356">
        <w:rPr>
          <w:rFonts w:ascii="Arial" w:hAnsi="Arial" w:cs="Arial"/>
          <w:color w:val="000000"/>
          <w:lang w:val="en"/>
        </w:rPr>
        <w:t xml:space="preserve">Is it possible for a settlor to </w:t>
      </w:r>
      <w:r w:rsidRPr="006259AB">
        <w:rPr>
          <w:rFonts w:ascii="Arial" w:hAnsi="Arial" w:cs="Arial"/>
          <w:color w:val="000000"/>
        </w:rPr>
        <w:t xml:space="preserve">sidestep the rigour of the </w:t>
      </w:r>
      <w:proofErr w:type="spellStart"/>
      <w:r w:rsidRPr="006259AB">
        <w:rPr>
          <w:rFonts w:ascii="Arial" w:hAnsi="Arial" w:cs="Arial"/>
          <w:color w:val="000000"/>
        </w:rPr>
        <w:t>is</w:t>
      </w:r>
      <w:proofErr w:type="spellEnd"/>
      <w:r w:rsidRPr="006259AB">
        <w:rPr>
          <w:rFonts w:ascii="Arial" w:hAnsi="Arial" w:cs="Arial"/>
          <w:color w:val="000000"/>
        </w:rPr>
        <w:t>/is not test by drafting a discretionary trust with conceptually uncertain objects, but including</w:t>
      </w:r>
      <w:r w:rsidRPr="00437356">
        <w:rPr>
          <w:rFonts w:ascii="Arial" w:hAnsi="Arial" w:cs="Arial"/>
          <w:color w:val="000000"/>
          <w:lang w:val="en"/>
        </w:rPr>
        <w:t xml:space="preserve"> a clause empowering a trustee or a third party to resolve any resulting uncertainty? The authorities are rather inconsistent on this point.</w:t>
      </w:r>
      <w:r w:rsidR="00356EB5" w:rsidRPr="00437356">
        <w:rPr>
          <w:rFonts w:ascii="Arial" w:hAnsi="Arial" w:cs="Arial"/>
          <w:color w:val="000000"/>
          <w:lang w:val="en"/>
        </w:rPr>
        <w:t xml:space="preserve"> You should note also that the authorities tend to involve conditions precedent and conditions subsequent, rather than discretionary trusts.</w:t>
      </w:r>
      <w:r w:rsidR="001B03CA" w:rsidRPr="00437356">
        <w:rPr>
          <w:rFonts w:ascii="Arial" w:hAnsi="Arial" w:cs="Arial"/>
          <w:color w:val="000000"/>
          <w:lang w:val="en"/>
        </w:rPr>
        <w:t xml:space="preserve"> You have already encountered conditions precedent. A condition subsequent is a condition which, if satisfied, causes a beneficial interest to terminate.</w:t>
      </w:r>
    </w:p>
    <w:p w14:paraId="7BB0FD17" w14:textId="6213055C" w:rsidR="00581E8C" w:rsidRPr="00437356" w:rsidRDefault="0002295D" w:rsidP="00C526E7">
      <w:pPr>
        <w:snapToGrid w:val="0"/>
        <w:spacing w:after="120" w:line="360" w:lineRule="auto"/>
        <w:jc w:val="both"/>
        <w:rPr>
          <w:rFonts w:ascii="Arial" w:hAnsi="Arial" w:cs="Arial"/>
          <w:color w:val="000000"/>
        </w:rPr>
      </w:pPr>
      <w:r w:rsidRPr="00437356">
        <w:rPr>
          <w:rFonts w:ascii="Arial" w:hAnsi="Arial" w:cs="Arial"/>
          <w:color w:val="000000"/>
          <w:lang w:val="en"/>
        </w:rPr>
        <w:t xml:space="preserve">In </w:t>
      </w:r>
      <w:r w:rsidRPr="00437356">
        <w:rPr>
          <w:rFonts w:ascii="Arial" w:hAnsi="Arial" w:cs="Arial"/>
          <w:i/>
          <w:color w:val="000000"/>
          <w:lang w:val="en"/>
        </w:rPr>
        <w:t xml:space="preserve">Re Tuck’s ST </w:t>
      </w:r>
      <w:r w:rsidRPr="00437356">
        <w:rPr>
          <w:rFonts w:ascii="Arial" w:hAnsi="Arial" w:cs="Arial"/>
          <w:color w:val="000000"/>
          <w:lang w:val="en"/>
        </w:rPr>
        <w:t>[1978] Ch 49, the testator left property in his will on various trusts. Income was to be paid to any of his male issue who married an ‘approved wife’, meaning ‘</w:t>
      </w:r>
      <w:r w:rsidRPr="00437356">
        <w:rPr>
          <w:rFonts w:ascii="Arial" w:hAnsi="Arial" w:cs="Arial"/>
          <w:color w:val="000000"/>
        </w:rPr>
        <w:t xml:space="preserve">a wife of Jewish blood by one or both of her parents and who has been brought up in and has never departed from and at the date of her marriage continues to worship according to the Jewish faith." The instrument went on to stipulate that "as to which facts in case of dispute or doubt, </w:t>
      </w:r>
      <w:r w:rsidRPr="00437356">
        <w:rPr>
          <w:rFonts w:ascii="Arial" w:hAnsi="Arial" w:cs="Arial"/>
          <w:color w:val="000000"/>
        </w:rPr>
        <w:lastRenderedPageBreak/>
        <w:t xml:space="preserve">the decision of the Chief Rabbi in London of either the Portuguese or Anglo German Community (known respectively as the Sephardim and the Ashkenazim Communities) shall be conclusive." It was contended that the objects of this trust were conceptually uncertain due to the difficulty in determining what was meant by ‘Jewish faith’. The Court of Appeal held, however, that </w:t>
      </w:r>
      <w:r w:rsidR="00302136" w:rsidRPr="00437356">
        <w:rPr>
          <w:rFonts w:ascii="Arial" w:hAnsi="Arial" w:cs="Arial"/>
          <w:color w:val="000000"/>
        </w:rPr>
        <w:t xml:space="preserve">the disposition was </w:t>
      </w:r>
      <w:r w:rsidR="00581E8C" w:rsidRPr="00437356">
        <w:rPr>
          <w:rFonts w:ascii="Arial" w:hAnsi="Arial" w:cs="Arial"/>
          <w:color w:val="000000"/>
        </w:rPr>
        <w:t>valid</w:t>
      </w:r>
      <w:r w:rsidRPr="00437356">
        <w:rPr>
          <w:rFonts w:ascii="Arial" w:hAnsi="Arial" w:cs="Arial"/>
          <w:color w:val="000000"/>
        </w:rPr>
        <w:t xml:space="preserve">. </w:t>
      </w:r>
      <w:r w:rsidR="00581E8C" w:rsidRPr="00437356">
        <w:rPr>
          <w:rFonts w:ascii="Arial" w:hAnsi="Arial" w:cs="Arial"/>
          <w:color w:val="000000"/>
        </w:rPr>
        <w:t xml:space="preserve">The judges’ reasoning differed, however. Russell LJ thought that the disposition would have been sufficiently certain even without the arbiter clause. </w:t>
      </w:r>
      <w:r w:rsidRPr="00437356">
        <w:rPr>
          <w:rFonts w:ascii="Arial" w:hAnsi="Arial" w:cs="Arial"/>
          <w:color w:val="000000"/>
        </w:rPr>
        <w:t>Lord Denning</w:t>
      </w:r>
      <w:r w:rsidR="00590756" w:rsidRPr="00437356">
        <w:rPr>
          <w:rFonts w:ascii="Arial" w:hAnsi="Arial" w:cs="Arial"/>
          <w:color w:val="000000"/>
        </w:rPr>
        <w:t xml:space="preserve"> indicated</w:t>
      </w:r>
      <w:r w:rsidRPr="00437356">
        <w:rPr>
          <w:rFonts w:ascii="Arial" w:hAnsi="Arial" w:cs="Arial"/>
          <w:color w:val="000000"/>
        </w:rPr>
        <w:t xml:space="preserve"> that the discretion given to the Chief Rabbi was sufficient to resolve any uncertainty and validate the trust</w:t>
      </w:r>
      <w:r w:rsidR="00590756" w:rsidRPr="00437356">
        <w:rPr>
          <w:rFonts w:ascii="Arial" w:hAnsi="Arial" w:cs="Arial"/>
          <w:color w:val="000000"/>
        </w:rPr>
        <w:t>. He stated (at 61) that ‘I see no reason why a testator or settlor should not provide that any dispute or doubt should be resolved by his executors or trustees, or even by a third person.’</w:t>
      </w:r>
      <w:r w:rsidR="00581E8C" w:rsidRPr="00437356">
        <w:rPr>
          <w:rFonts w:ascii="Arial" w:hAnsi="Arial" w:cs="Arial"/>
          <w:color w:val="000000"/>
        </w:rPr>
        <w:t xml:space="preserve"> Lord Eveleigh thought that the disposition was valid because the Chief Rabbi’s definition of ‘Jewish Faith’ was part of the definition of the class. Jewish Faith meant what the Chief Rabbi thought it meant. On Eveleigh LJ’s reasoning, however, the disposition would have been uncertain had the arbiter clause sought to permit the Chief Rabbi to determine what the settlor meant by ‘Jewish Faith’.</w:t>
      </w:r>
    </w:p>
    <w:p w14:paraId="7D9D0692" w14:textId="0EC19322" w:rsidR="00590756" w:rsidRPr="00437356" w:rsidRDefault="00590756" w:rsidP="00C526E7">
      <w:pPr>
        <w:pStyle w:val="ListParagraph"/>
        <w:snapToGrid w:val="0"/>
        <w:spacing w:after="120" w:line="360" w:lineRule="auto"/>
        <w:ind w:left="0"/>
        <w:contextualSpacing w:val="0"/>
        <w:jc w:val="both"/>
        <w:rPr>
          <w:rFonts w:ascii="Arial" w:hAnsi="Arial" w:cs="Arial"/>
        </w:rPr>
      </w:pPr>
      <w:r w:rsidRPr="00437356">
        <w:rPr>
          <w:rFonts w:ascii="Arial" w:hAnsi="Arial" w:cs="Arial"/>
          <w:color w:val="000000"/>
          <w:lang w:val="en"/>
        </w:rPr>
        <w:t xml:space="preserve">In </w:t>
      </w:r>
      <w:r w:rsidRPr="00437356">
        <w:rPr>
          <w:rFonts w:ascii="Arial" w:hAnsi="Arial" w:cs="Arial"/>
          <w:i/>
          <w:color w:val="000000"/>
          <w:lang w:val="en"/>
        </w:rPr>
        <w:t xml:space="preserve">Re </w:t>
      </w:r>
      <w:proofErr w:type="spellStart"/>
      <w:r w:rsidRPr="00437356">
        <w:rPr>
          <w:rFonts w:ascii="Arial" w:hAnsi="Arial" w:cs="Arial"/>
          <w:i/>
          <w:color w:val="000000"/>
          <w:lang w:val="en"/>
        </w:rPr>
        <w:t>Coxen</w:t>
      </w:r>
      <w:proofErr w:type="spellEnd"/>
      <w:r w:rsidRPr="00437356">
        <w:rPr>
          <w:rFonts w:ascii="Arial" w:hAnsi="Arial" w:cs="Arial"/>
          <w:i/>
          <w:color w:val="000000"/>
          <w:lang w:val="en"/>
        </w:rPr>
        <w:t xml:space="preserve"> </w:t>
      </w:r>
      <w:r w:rsidRPr="00437356">
        <w:rPr>
          <w:rFonts w:ascii="Arial" w:hAnsi="Arial" w:cs="Arial"/>
          <w:color w:val="000000"/>
          <w:lang w:val="en"/>
        </w:rPr>
        <w:t xml:space="preserve">[1948] Ch 747, the </w:t>
      </w:r>
      <w:r w:rsidRPr="00437356">
        <w:rPr>
          <w:rFonts w:ascii="Arial" w:hAnsi="Arial" w:cs="Arial"/>
        </w:rPr>
        <w:t xml:space="preserve">testator left </w:t>
      </w:r>
      <w:r w:rsidR="00356EB5" w:rsidRPr="00437356">
        <w:rPr>
          <w:rFonts w:ascii="Arial" w:hAnsi="Arial" w:cs="Arial"/>
        </w:rPr>
        <w:t xml:space="preserve">a </w:t>
      </w:r>
      <w:r w:rsidRPr="00437356">
        <w:rPr>
          <w:rFonts w:ascii="Arial" w:hAnsi="Arial" w:cs="Arial"/>
        </w:rPr>
        <w:t xml:space="preserve">house to trustees, stipulating that they were to </w:t>
      </w:r>
      <w:r w:rsidRPr="00437356">
        <w:rPr>
          <w:rFonts w:ascii="Arial" w:hAnsi="Arial" w:cs="Arial"/>
          <w:color w:val="000000" w:themeColor="text1"/>
        </w:rPr>
        <w:t xml:space="preserve">permit his wife to live there until her death ‘or if in the opinion of the trustees shall have ceased permanently to reside therein’ It was held that this </w:t>
      </w:r>
      <w:r w:rsidR="00A708E4" w:rsidRPr="00437356">
        <w:rPr>
          <w:rFonts w:ascii="Arial" w:hAnsi="Arial" w:cs="Arial"/>
          <w:color w:val="000000" w:themeColor="text1"/>
        </w:rPr>
        <w:t>w</w:t>
      </w:r>
      <w:r w:rsidRPr="00437356">
        <w:rPr>
          <w:rFonts w:ascii="Arial" w:hAnsi="Arial" w:cs="Arial"/>
          <w:color w:val="000000" w:themeColor="text1"/>
        </w:rPr>
        <w:t>hether she had ceased</w:t>
      </w:r>
      <w:r w:rsidR="00302136" w:rsidRPr="00437356">
        <w:rPr>
          <w:rFonts w:ascii="Arial" w:hAnsi="Arial" w:cs="Arial"/>
          <w:color w:val="000000" w:themeColor="text1"/>
        </w:rPr>
        <w:t xml:space="preserve"> permanently</w:t>
      </w:r>
      <w:r w:rsidRPr="00437356">
        <w:rPr>
          <w:rFonts w:ascii="Arial" w:hAnsi="Arial" w:cs="Arial"/>
          <w:color w:val="000000" w:themeColor="text1"/>
        </w:rPr>
        <w:t xml:space="preserve"> to reside in the property was a merely a question of fact</w:t>
      </w:r>
      <w:r w:rsidR="00A708E4" w:rsidRPr="00437356">
        <w:rPr>
          <w:rFonts w:ascii="Arial" w:hAnsi="Arial" w:cs="Arial"/>
          <w:color w:val="000000" w:themeColor="text1"/>
        </w:rPr>
        <w:t>, and the ‘</w:t>
      </w:r>
      <w:r w:rsidR="00A708E4" w:rsidRPr="00437356">
        <w:rPr>
          <w:rFonts w:ascii="Arial" w:hAnsi="Arial" w:cs="Arial"/>
          <w:color w:val="000000" w:themeColor="text1"/>
          <w:shd w:val="clear" w:color="auto" w:fill="FFFFFF"/>
        </w:rPr>
        <w:t>the relevant double event [the wife ceasing to reside, and on a permanent basis] is sufficiently defined to make it perfectly possible for the trustees (as the judges of fact for this purpose) to decide whether it has happened or not, and in my view the testator by making the trustees' opinion the criterion has removed the difficulties which might otherwise have ensued from a gift over in a double event the happening of which, though in itself sufficiently defined, may necessarily be a matter of inference involving nice questions of fact and degree.</w:t>
      </w:r>
      <w:r w:rsidR="005D2C1D" w:rsidRPr="00437356">
        <w:rPr>
          <w:rFonts w:ascii="Arial" w:hAnsi="Arial" w:cs="Arial"/>
          <w:color w:val="000000" w:themeColor="text1"/>
          <w:shd w:val="clear" w:color="auto" w:fill="FFFFFF"/>
        </w:rPr>
        <w:t>’ Jenkins J did, however, suggest that an arbiter clause cannot be used to make a conceptually uncertain trust certain:</w:t>
      </w:r>
      <w:r w:rsidR="005D2C1D" w:rsidRPr="00437356">
        <w:rPr>
          <w:rFonts w:ascii="Arial" w:hAnsi="Arial" w:cs="Arial"/>
          <w:color w:val="000000" w:themeColor="text1"/>
        </w:rPr>
        <w:t xml:space="preserve"> </w:t>
      </w:r>
      <w:r w:rsidRPr="00437356">
        <w:rPr>
          <w:rFonts w:ascii="Arial" w:hAnsi="Arial" w:cs="Arial"/>
          <w:color w:val="000000" w:themeColor="text1"/>
        </w:rPr>
        <w:t xml:space="preserve">‘if the testator had insufficiently defined the state of affairs on which the trustees were to form their opinion, he would not I think have saved the condition from invalidity on the ground of uncertainty merely by making their opinion the criterion’. </w:t>
      </w:r>
      <w:r w:rsidR="005D2C1D" w:rsidRPr="00437356">
        <w:rPr>
          <w:rFonts w:ascii="Arial" w:hAnsi="Arial" w:cs="Arial"/>
          <w:color w:val="000000" w:themeColor="text1"/>
        </w:rPr>
        <w:t xml:space="preserve"> This view is supported by </w:t>
      </w:r>
      <w:r w:rsidR="005D2C1D" w:rsidRPr="00437356">
        <w:rPr>
          <w:rFonts w:ascii="Arial" w:hAnsi="Arial" w:cs="Arial"/>
          <w:i/>
          <w:color w:val="000000" w:themeColor="text1"/>
        </w:rPr>
        <w:t xml:space="preserve">Re Wright’s WT </w:t>
      </w:r>
      <w:r w:rsidR="005D2C1D" w:rsidRPr="00437356">
        <w:rPr>
          <w:rFonts w:ascii="Arial" w:hAnsi="Arial" w:cs="Arial"/>
          <w:color w:val="000000" w:themeColor="text1"/>
        </w:rPr>
        <w:t xml:space="preserve">[1981] LS Gaz 841 and </w:t>
      </w:r>
      <w:r w:rsidR="005D2C1D" w:rsidRPr="00437356">
        <w:rPr>
          <w:rFonts w:ascii="Arial" w:hAnsi="Arial" w:cs="Arial"/>
          <w:i/>
          <w:color w:val="000000" w:themeColor="text1"/>
        </w:rPr>
        <w:t xml:space="preserve">Re Jones </w:t>
      </w:r>
      <w:r w:rsidR="005D2C1D" w:rsidRPr="00437356">
        <w:rPr>
          <w:rFonts w:ascii="Arial" w:hAnsi="Arial" w:cs="Arial"/>
          <w:color w:val="000000" w:themeColor="text1"/>
        </w:rPr>
        <w:t>[1953] Ch 125. In the former, property was left to trustees to hold on trust</w:t>
      </w:r>
      <w:r w:rsidR="000F6052" w:rsidRPr="00437356">
        <w:rPr>
          <w:rFonts w:ascii="Arial" w:hAnsi="Arial" w:cs="Arial"/>
          <w:color w:val="000000" w:themeColor="text1"/>
        </w:rPr>
        <w:t xml:space="preserve"> for</w:t>
      </w:r>
      <w:r w:rsidR="005D2C1D" w:rsidRPr="00437356">
        <w:rPr>
          <w:rFonts w:ascii="Arial" w:hAnsi="Arial" w:cs="Arial"/>
          <w:color w:val="000000" w:themeColor="text1"/>
        </w:rPr>
        <w:t xml:space="preserve"> </w:t>
      </w:r>
      <w:r w:rsidR="005D2C1D" w:rsidRPr="00437356">
        <w:rPr>
          <w:rFonts w:ascii="Arial" w:hAnsi="Arial" w:cs="Arial"/>
          <w:color w:val="000000" w:themeColor="text1"/>
          <w:lang w:val="en-US"/>
        </w:rPr>
        <w:t xml:space="preserve">‘such people </w:t>
      </w:r>
      <w:r w:rsidR="000F6052" w:rsidRPr="00437356">
        <w:rPr>
          <w:rFonts w:ascii="Arial" w:hAnsi="Arial" w:cs="Arial"/>
          <w:color w:val="000000" w:themeColor="text1"/>
          <w:lang w:val="en-US"/>
        </w:rPr>
        <w:t>and</w:t>
      </w:r>
      <w:r w:rsidR="005D2C1D" w:rsidRPr="00437356">
        <w:rPr>
          <w:rFonts w:ascii="Arial" w:hAnsi="Arial" w:cs="Arial"/>
          <w:color w:val="000000" w:themeColor="text1"/>
          <w:lang w:val="en-US"/>
        </w:rPr>
        <w:t xml:space="preserve"> institutions as they </w:t>
      </w:r>
      <w:r w:rsidR="005D2C1D" w:rsidRPr="00437356">
        <w:rPr>
          <w:rFonts w:ascii="Arial" w:hAnsi="Arial" w:cs="Arial"/>
          <w:lang w:val="en-US"/>
        </w:rPr>
        <w:t xml:space="preserve">think have helped me or my late husband’, and in the latter, property was left to a company to hold on trust with income payable to the testator’s daughter pursuant to the condition that she should forfeit half if at any time she </w:t>
      </w:r>
      <w:r w:rsidR="005D2C1D" w:rsidRPr="00437356">
        <w:rPr>
          <w:rFonts w:ascii="Arial" w:hAnsi="Arial" w:cs="Arial"/>
        </w:rPr>
        <w:t>shall in the uncontrolled opinion of the company have social or other relationship with [a certain named person]’. Both trusts were held uncertain.</w:t>
      </w:r>
    </w:p>
    <w:p w14:paraId="087C7624" w14:textId="1518D747" w:rsidR="00356EB5" w:rsidRPr="00437356" w:rsidRDefault="00590756" w:rsidP="00C526E7">
      <w:pPr>
        <w:pStyle w:val="ListParagraph"/>
        <w:snapToGrid w:val="0"/>
        <w:spacing w:after="120" w:line="360" w:lineRule="auto"/>
        <w:ind w:left="0"/>
        <w:contextualSpacing w:val="0"/>
        <w:jc w:val="both"/>
        <w:rPr>
          <w:rFonts w:ascii="Arial" w:hAnsi="Arial" w:cs="Arial"/>
        </w:rPr>
      </w:pPr>
      <w:r w:rsidRPr="00437356">
        <w:rPr>
          <w:rFonts w:ascii="Arial" w:hAnsi="Arial" w:cs="Arial"/>
        </w:rPr>
        <w:t xml:space="preserve">A case which supports the assertion that a trust whose objects are defined with conceptual uncertainty can be saved if the trust instrument gives an expert or the trustees authority to </w:t>
      </w:r>
      <w:r w:rsidRPr="00437356">
        <w:rPr>
          <w:rFonts w:ascii="Arial" w:hAnsi="Arial" w:cs="Arial"/>
        </w:rPr>
        <w:lastRenderedPageBreak/>
        <w:t xml:space="preserve">resolve any uncertainty is </w:t>
      </w:r>
      <w:r w:rsidRPr="00437356">
        <w:rPr>
          <w:rFonts w:ascii="Arial" w:hAnsi="Arial" w:cs="Arial"/>
          <w:i/>
        </w:rPr>
        <w:t xml:space="preserve">Re Leek </w:t>
      </w:r>
      <w:r w:rsidRPr="00437356">
        <w:rPr>
          <w:rFonts w:ascii="Arial" w:hAnsi="Arial" w:cs="Arial"/>
        </w:rPr>
        <w:t xml:space="preserve">[1969] 1 Ch 563, in which a discretionary trust was created in favour of ‘such persons as the company may consider to have a moral claim’. At the time of the judgment, the test for the validity of a discretionary trust was the list certainty test, and the trust was held void for failing to satisfy this test. The Court of Appeal did however suggest that had the </w:t>
      </w:r>
      <w:proofErr w:type="spellStart"/>
      <w:r w:rsidRPr="00437356">
        <w:rPr>
          <w:rFonts w:ascii="Arial" w:hAnsi="Arial" w:cs="Arial"/>
        </w:rPr>
        <w:t>is</w:t>
      </w:r>
      <w:proofErr w:type="spellEnd"/>
      <w:r w:rsidRPr="00437356">
        <w:rPr>
          <w:rFonts w:ascii="Arial" w:hAnsi="Arial" w:cs="Arial"/>
        </w:rPr>
        <w:t xml:space="preserve">/is not test been the appropriate test for certainty of objects, then the disposition would have been valid on the grounds that the company had been expressly given authority to resolve any uncertainty. </w:t>
      </w:r>
      <w:r w:rsidR="00356EB5" w:rsidRPr="00437356">
        <w:rPr>
          <w:rFonts w:ascii="Arial" w:hAnsi="Arial" w:cs="Arial"/>
        </w:rPr>
        <w:t>Note that Virgo</w:t>
      </w:r>
      <w:r w:rsidR="001B03CA" w:rsidRPr="00437356">
        <w:rPr>
          <w:rFonts w:ascii="Arial" w:hAnsi="Arial" w:cs="Arial"/>
        </w:rPr>
        <w:t xml:space="preserve"> </w:t>
      </w:r>
      <w:r w:rsidR="00356EB5" w:rsidRPr="00437356">
        <w:rPr>
          <w:rFonts w:ascii="Arial" w:hAnsi="Arial" w:cs="Arial"/>
        </w:rPr>
        <w:t xml:space="preserve">suggests that </w:t>
      </w:r>
      <w:r w:rsidR="00356EB5" w:rsidRPr="00437356">
        <w:rPr>
          <w:rFonts w:ascii="Arial" w:hAnsi="Arial" w:cs="Arial"/>
          <w:i/>
          <w:iCs/>
        </w:rPr>
        <w:t xml:space="preserve">Leek </w:t>
      </w:r>
      <w:r w:rsidR="00356EB5" w:rsidRPr="00437356">
        <w:rPr>
          <w:rFonts w:ascii="Arial" w:hAnsi="Arial" w:cs="Arial"/>
        </w:rPr>
        <w:t xml:space="preserve">is correct because the </w:t>
      </w:r>
      <w:r w:rsidR="001B03CA" w:rsidRPr="00437356">
        <w:rPr>
          <w:rFonts w:ascii="Arial" w:hAnsi="Arial" w:cs="Arial"/>
        </w:rPr>
        <w:t>trustees’ opinion formed an ‘essential part of the definition’ of the class.</w:t>
      </w:r>
      <w:r w:rsidR="006259AB">
        <w:rPr>
          <w:rStyle w:val="FootnoteReference"/>
          <w:rFonts w:ascii="Arial" w:hAnsi="Arial" w:cs="Arial"/>
        </w:rPr>
        <w:footnoteReference w:id="1"/>
      </w:r>
      <w:r w:rsidR="001B03CA" w:rsidRPr="00437356">
        <w:rPr>
          <w:rFonts w:ascii="Arial" w:hAnsi="Arial" w:cs="Arial"/>
        </w:rPr>
        <w:t xml:space="preserve"> If, on the other hand, the clause in </w:t>
      </w:r>
      <w:r w:rsidR="001B03CA" w:rsidRPr="00437356">
        <w:rPr>
          <w:rFonts w:ascii="Arial" w:hAnsi="Arial" w:cs="Arial"/>
          <w:i/>
          <w:iCs/>
        </w:rPr>
        <w:t xml:space="preserve">Leek </w:t>
      </w:r>
      <w:r w:rsidR="001B03CA" w:rsidRPr="00437356">
        <w:rPr>
          <w:rFonts w:ascii="Arial" w:hAnsi="Arial" w:cs="Arial"/>
        </w:rPr>
        <w:t>had left it up to the trustees to supply the definition (by, for example, creating the trust in favour of ‘those who have a moral claim’, and then empowering the trustees to decide who does and does not have a moral claim), then, according to Virgo, the disposition should have been void for uncertainty. Is this too fine a distinction?</w:t>
      </w:r>
    </w:p>
    <w:p w14:paraId="38A1100B" w14:textId="6C00D404" w:rsidR="00590756" w:rsidRPr="00437356" w:rsidRDefault="005D2C1D" w:rsidP="00C526E7">
      <w:pPr>
        <w:snapToGrid w:val="0"/>
        <w:spacing w:after="120" w:line="360" w:lineRule="auto"/>
        <w:jc w:val="both"/>
        <w:rPr>
          <w:rFonts w:ascii="Arial" w:eastAsia="Times New Roman" w:hAnsi="Arial" w:cs="Arial"/>
          <w:lang w:eastAsia="en-GB"/>
        </w:rPr>
      </w:pPr>
      <w:r w:rsidRPr="00437356">
        <w:rPr>
          <w:rFonts w:ascii="Arial" w:eastAsia="Times New Roman" w:hAnsi="Arial" w:cs="Arial"/>
          <w:lang w:eastAsia="en-GB"/>
        </w:rPr>
        <w:t>So, where do these authorities leave us? There seem to be several possibilities:</w:t>
      </w:r>
    </w:p>
    <w:p w14:paraId="413982DB" w14:textId="1C1C62EF" w:rsidR="001B03CA" w:rsidRPr="00437356" w:rsidRDefault="005D2C1D" w:rsidP="00C526E7">
      <w:pPr>
        <w:pStyle w:val="ListParagraph"/>
        <w:numPr>
          <w:ilvl w:val="0"/>
          <w:numId w:val="47"/>
        </w:numPr>
        <w:snapToGrid w:val="0"/>
        <w:spacing w:after="120" w:line="360" w:lineRule="auto"/>
        <w:ind w:left="714" w:hanging="357"/>
        <w:contextualSpacing w:val="0"/>
        <w:jc w:val="both"/>
        <w:rPr>
          <w:rFonts w:ascii="Arial" w:eastAsia="Times New Roman" w:hAnsi="Arial" w:cs="Arial"/>
          <w:lang w:eastAsia="en-GB"/>
        </w:rPr>
      </w:pPr>
      <w:r w:rsidRPr="00437356">
        <w:rPr>
          <w:rFonts w:ascii="Arial" w:eastAsia="Times New Roman" w:hAnsi="Arial" w:cs="Arial"/>
          <w:lang w:eastAsia="en-GB"/>
        </w:rPr>
        <w:t xml:space="preserve">Lord Denning’s approach, and the approach suggested in </w:t>
      </w:r>
      <w:r w:rsidRPr="00437356">
        <w:rPr>
          <w:rFonts w:ascii="Arial" w:eastAsia="Times New Roman" w:hAnsi="Arial" w:cs="Arial"/>
          <w:i/>
          <w:iCs/>
          <w:lang w:eastAsia="en-GB"/>
        </w:rPr>
        <w:t>Leek</w:t>
      </w:r>
      <w:r w:rsidRPr="00437356">
        <w:rPr>
          <w:rFonts w:ascii="Arial" w:eastAsia="Times New Roman" w:hAnsi="Arial" w:cs="Arial"/>
          <w:lang w:eastAsia="en-GB"/>
        </w:rPr>
        <w:t>, are correct, and an arbiter clause can be used to resolve any kind of uncertainty</w:t>
      </w:r>
    </w:p>
    <w:p w14:paraId="2BDB528E" w14:textId="4BC36A61" w:rsidR="005D2C1D" w:rsidRPr="00437356" w:rsidRDefault="005D2C1D" w:rsidP="00C526E7">
      <w:pPr>
        <w:pStyle w:val="ListParagraph"/>
        <w:numPr>
          <w:ilvl w:val="0"/>
          <w:numId w:val="47"/>
        </w:numPr>
        <w:snapToGrid w:val="0"/>
        <w:spacing w:after="120" w:line="360" w:lineRule="auto"/>
        <w:ind w:left="714" w:hanging="357"/>
        <w:contextualSpacing w:val="0"/>
        <w:jc w:val="both"/>
        <w:rPr>
          <w:rFonts w:ascii="Arial" w:eastAsia="Times New Roman" w:hAnsi="Arial" w:cs="Arial"/>
          <w:lang w:eastAsia="en-GB"/>
        </w:rPr>
      </w:pPr>
      <w:r w:rsidRPr="00437356">
        <w:rPr>
          <w:rFonts w:ascii="Arial" w:eastAsia="Times New Roman" w:hAnsi="Arial" w:cs="Arial"/>
          <w:lang w:eastAsia="en-GB"/>
        </w:rPr>
        <w:t>An arbiter can be used for the purpose of resolving questions of fact, so long as the criteria upon which the arbiter must base their verdict are sufficiently defined (</w:t>
      </w:r>
      <w:proofErr w:type="spellStart"/>
      <w:r w:rsidRPr="00437356">
        <w:rPr>
          <w:rFonts w:ascii="Arial" w:eastAsia="Times New Roman" w:hAnsi="Arial" w:cs="Arial"/>
          <w:i/>
          <w:iCs/>
          <w:lang w:eastAsia="en-GB"/>
        </w:rPr>
        <w:t>Coxen</w:t>
      </w:r>
      <w:proofErr w:type="spellEnd"/>
      <w:r w:rsidRPr="00437356">
        <w:rPr>
          <w:rFonts w:ascii="Arial" w:eastAsia="Times New Roman" w:hAnsi="Arial" w:cs="Arial"/>
          <w:i/>
          <w:iCs/>
          <w:lang w:eastAsia="en-GB"/>
        </w:rPr>
        <w:t xml:space="preserve">, </w:t>
      </w:r>
      <w:r w:rsidRPr="00437356">
        <w:rPr>
          <w:rFonts w:ascii="Arial" w:eastAsia="Times New Roman" w:hAnsi="Arial" w:cs="Arial"/>
          <w:lang w:eastAsia="en-GB"/>
        </w:rPr>
        <w:t xml:space="preserve">and the majority in </w:t>
      </w:r>
      <w:r w:rsidRPr="00437356">
        <w:rPr>
          <w:rFonts w:ascii="Arial" w:eastAsia="Times New Roman" w:hAnsi="Arial" w:cs="Arial"/>
          <w:i/>
          <w:iCs/>
          <w:lang w:eastAsia="en-GB"/>
        </w:rPr>
        <w:t>Tuck</w:t>
      </w:r>
      <w:r w:rsidRPr="00437356">
        <w:rPr>
          <w:rFonts w:ascii="Arial" w:eastAsia="Times New Roman" w:hAnsi="Arial" w:cs="Arial"/>
          <w:lang w:eastAsia="en-GB"/>
        </w:rPr>
        <w:t>).</w:t>
      </w:r>
      <w:r w:rsidR="00356EB5" w:rsidRPr="00437356">
        <w:rPr>
          <w:rFonts w:ascii="Arial" w:eastAsia="Times New Roman" w:hAnsi="Arial" w:cs="Arial"/>
          <w:lang w:eastAsia="en-GB"/>
        </w:rPr>
        <w:t xml:space="preserve"> But an arbiter cannot be used to resolve conceptual uncertainty.</w:t>
      </w:r>
    </w:p>
    <w:p w14:paraId="628A0A7C" w14:textId="5804B106" w:rsidR="00146F8D" w:rsidRPr="00437356" w:rsidRDefault="001B03CA" w:rsidP="00C526E7">
      <w:pPr>
        <w:pStyle w:val="ListParagraph"/>
        <w:numPr>
          <w:ilvl w:val="0"/>
          <w:numId w:val="47"/>
        </w:numPr>
        <w:snapToGrid w:val="0"/>
        <w:spacing w:after="120" w:line="360" w:lineRule="auto"/>
        <w:ind w:left="714" w:hanging="357"/>
        <w:contextualSpacing w:val="0"/>
        <w:jc w:val="both"/>
        <w:rPr>
          <w:rFonts w:ascii="Arial" w:eastAsia="Times New Roman" w:hAnsi="Arial" w:cs="Arial"/>
          <w:lang w:eastAsia="en-GB"/>
        </w:rPr>
      </w:pPr>
      <w:r w:rsidRPr="00437356">
        <w:rPr>
          <w:rFonts w:ascii="Arial" w:eastAsia="Times New Roman" w:hAnsi="Arial" w:cs="Arial"/>
          <w:lang w:eastAsia="en-GB"/>
        </w:rPr>
        <w:t>An arbiter clause can resolve conceptual uncertainty, but only if the arbiter’s opinion is an essential part of the definition (</w:t>
      </w:r>
      <w:r w:rsidR="00581E8C" w:rsidRPr="00437356">
        <w:rPr>
          <w:rFonts w:ascii="Arial" w:eastAsia="Times New Roman" w:hAnsi="Arial" w:cs="Arial"/>
          <w:lang w:eastAsia="en-GB"/>
        </w:rPr>
        <w:t xml:space="preserve">Eveleigh LJ, and </w:t>
      </w:r>
      <w:r w:rsidRPr="00437356">
        <w:rPr>
          <w:rFonts w:ascii="Arial" w:eastAsia="Times New Roman" w:hAnsi="Arial" w:cs="Arial"/>
          <w:lang w:eastAsia="en-GB"/>
        </w:rPr>
        <w:t>Virgo).</w:t>
      </w:r>
    </w:p>
    <w:sectPr w:rsidR="00146F8D" w:rsidRPr="00437356" w:rsidSect="00B869B7">
      <w:headerReference w:type="default" r:id="rId8"/>
      <w:footerReference w:type="default" r:id="rId9"/>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E5A4DB" w14:textId="77777777" w:rsidR="002327D7" w:rsidRDefault="002327D7" w:rsidP="00177ED8">
      <w:pPr>
        <w:spacing w:after="0" w:line="240" w:lineRule="auto"/>
      </w:pPr>
      <w:r>
        <w:separator/>
      </w:r>
    </w:p>
  </w:endnote>
  <w:endnote w:type="continuationSeparator" w:id="0">
    <w:p w14:paraId="62DAEB29" w14:textId="77777777" w:rsidR="002327D7" w:rsidRDefault="002327D7"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Calibr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2516BB77" w14:textId="690B6A44"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5D38EC">
              <w:rPr>
                <w:rFonts w:ascii="Arial" w:hAnsi="Arial" w:cs="Arial"/>
                <w:bCs/>
                <w:noProof/>
                <w:sz w:val="20"/>
                <w:szCs w:val="20"/>
              </w:rPr>
              <w:t>14</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5D38EC">
              <w:rPr>
                <w:rFonts w:ascii="Arial" w:hAnsi="Arial" w:cs="Arial"/>
                <w:bCs/>
                <w:noProof/>
                <w:sz w:val="20"/>
                <w:szCs w:val="20"/>
              </w:rPr>
              <w:t>14</w:t>
            </w:r>
            <w:r w:rsidRPr="00B869B7">
              <w:rPr>
                <w:rFonts w:ascii="Arial" w:hAnsi="Arial" w:cs="Arial"/>
                <w:bCs/>
                <w:sz w:val="20"/>
                <w:szCs w:val="20"/>
              </w:rPr>
              <w:fldChar w:fldCharType="end"/>
            </w:r>
          </w:p>
        </w:sdtContent>
      </w:sdt>
    </w:sdtContent>
  </w:sdt>
  <w:p w14:paraId="4DDBEF00"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FE100" w14:textId="77777777" w:rsidR="002327D7" w:rsidRDefault="002327D7" w:rsidP="00177ED8">
      <w:pPr>
        <w:spacing w:after="0" w:line="240" w:lineRule="auto"/>
      </w:pPr>
      <w:r>
        <w:separator/>
      </w:r>
    </w:p>
  </w:footnote>
  <w:footnote w:type="continuationSeparator" w:id="0">
    <w:p w14:paraId="10016FD1" w14:textId="77777777" w:rsidR="002327D7" w:rsidRDefault="002327D7" w:rsidP="00177ED8">
      <w:pPr>
        <w:spacing w:after="0" w:line="240" w:lineRule="auto"/>
      </w:pPr>
      <w:r>
        <w:continuationSeparator/>
      </w:r>
    </w:p>
  </w:footnote>
  <w:footnote w:id="1">
    <w:p w14:paraId="02A3E9BB" w14:textId="2E1F0F67" w:rsidR="006259AB" w:rsidRPr="006259AB" w:rsidRDefault="006259AB">
      <w:pPr>
        <w:pStyle w:val="FootnoteText"/>
        <w:rPr>
          <w:rFonts w:ascii="Arial" w:hAnsi="Arial" w:cs="Arial"/>
          <w:sz w:val="18"/>
          <w:szCs w:val="18"/>
          <w:lang w:val="en-US"/>
        </w:rPr>
      </w:pPr>
      <w:r w:rsidRPr="006259AB">
        <w:rPr>
          <w:rStyle w:val="FootnoteReference"/>
          <w:rFonts w:ascii="Arial" w:hAnsi="Arial" w:cs="Arial"/>
          <w:sz w:val="18"/>
          <w:szCs w:val="18"/>
        </w:rPr>
        <w:footnoteRef/>
      </w:r>
      <w:r w:rsidRPr="006259AB">
        <w:rPr>
          <w:rFonts w:ascii="Arial" w:hAnsi="Arial" w:cs="Arial"/>
          <w:sz w:val="18"/>
          <w:szCs w:val="18"/>
        </w:rPr>
        <w:t xml:space="preserve"> G. Virgo, </w:t>
      </w:r>
      <w:r w:rsidRPr="006259AB">
        <w:rPr>
          <w:rFonts w:ascii="Arial" w:hAnsi="Arial" w:cs="Arial"/>
          <w:i/>
          <w:iCs/>
          <w:sz w:val="18"/>
          <w:szCs w:val="18"/>
        </w:rPr>
        <w:t>The Principles of Equity &amp; Trusts</w:t>
      </w:r>
      <w:r w:rsidRPr="006259AB">
        <w:rPr>
          <w:rFonts w:ascii="Arial" w:hAnsi="Arial" w:cs="Arial"/>
          <w:sz w:val="18"/>
          <w:szCs w:val="18"/>
        </w:rPr>
        <w:t>, 5</w:t>
      </w:r>
      <w:r w:rsidRPr="006259AB">
        <w:rPr>
          <w:rFonts w:ascii="Arial" w:hAnsi="Arial" w:cs="Arial"/>
          <w:sz w:val="18"/>
          <w:szCs w:val="18"/>
          <w:vertAlign w:val="superscript"/>
        </w:rPr>
        <w:t>th</w:t>
      </w:r>
      <w:r w:rsidRPr="006259AB">
        <w:rPr>
          <w:rFonts w:ascii="Arial" w:hAnsi="Arial" w:cs="Arial"/>
          <w:sz w:val="18"/>
          <w:szCs w:val="18"/>
        </w:rPr>
        <w:t xml:space="preserve"> edn, OUP, 2023, p. 116.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E26C7" w14:textId="7FC90728" w:rsidR="00FB760A" w:rsidRPr="00FB760A" w:rsidRDefault="00FB760A" w:rsidP="006259AB">
    <w:pPr>
      <w:pStyle w:val="Header"/>
      <w:jc w:val="right"/>
      <w:rPr>
        <w:rFonts w:ascii="Arial" w:hAnsi="Arial" w:cs="Arial"/>
      </w:rPr>
    </w:pPr>
    <w:r>
      <w:rPr>
        <w:rFonts w:ascii="Arial" w:hAnsi="Arial" w:cs="Arial"/>
      </w:rPr>
      <w:t>Trusts Law Wee</w:t>
    </w:r>
    <w:r w:rsidR="00D45FCD">
      <w:rPr>
        <w:rFonts w:ascii="Arial" w:hAnsi="Arial" w:cs="Arial"/>
      </w:rPr>
      <w:t xml:space="preserve">k </w:t>
    </w:r>
    <w:r w:rsidR="00BA6EF7">
      <w:rPr>
        <w:rFonts w:ascii="Arial" w:hAnsi="Arial" w:cs="Arial"/>
      </w:rPr>
      <w:t>6</w:t>
    </w:r>
    <w:r w:rsidR="00D45FCD">
      <w:rPr>
        <w:rFonts w:ascii="Arial" w:hAnsi="Arial" w:cs="Arial"/>
      </w:rPr>
      <w:t xml:space="preserve"> </w:t>
    </w:r>
  </w:p>
  <w:p w14:paraId="1FC39945"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B31FB"/>
    <w:multiLevelType w:val="hybridMultilevel"/>
    <w:tmpl w:val="7070D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1F6302"/>
    <w:multiLevelType w:val="hybridMultilevel"/>
    <w:tmpl w:val="F4C84D1C"/>
    <w:lvl w:ilvl="0" w:tplc="60AAE3B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141E78"/>
    <w:multiLevelType w:val="hybridMultilevel"/>
    <w:tmpl w:val="EF0403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BE57F9A"/>
    <w:multiLevelType w:val="hybridMultilevel"/>
    <w:tmpl w:val="251038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C827D81"/>
    <w:multiLevelType w:val="hybridMultilevel"/>
    <w:tmpl w:val="74E8875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4F32E6"/>
    <w:multiLevelType w:val="hybridMultilevel"/>
    <w:tmpl w:val="67CC8F8A"/>
    <w:lvl w:ilvl="0" w:tplc="29BC564E">
      <w:start w:val="1"/>
      <w:numFmt w:val="upperLetter"/>
      <w:lvlText w:val="%1."/>
      <w:lvlJc w:val="left"/>
      <w:pPr>
        <w:ind w:left="720" w:hanging="360"/>
      </w:pPr>
      <w:rPr>
        <w:rFonts w:eastAsiaTheme="minorHAnsi" w:hint="default"/>
        <w:b/>
        <w:sz w:val="22"/>
        <w:szCs w:val="22"/>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B71D32"/>
    <w:multiLevelType w:val="hybridMultilevel"/>
    <w:tmpl w:val="6AE2F9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7C22E45"/>
    <w:multiLevelType w:val="hybridMultilevel"/>
    <w:tmpl w:val="94D072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9435F06"/>
    <w:multiLevelType w:val="hybridMultilevel"/>
    <w:tmpl w:val="5956A6D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55020F"/>
    <w:multiLevelType w:val="hybridMultilevel"/>
    <w:tmpl w:val="606C8C20"/>
    <w:lvl w:ilvl="0" w:tplc="4F700CCC">
      <w:start w:val="1"/>
      <w:numFmt w:val="decimal"/>
      <w:lvlText w:val="%1."/>
      <w:lvlJc w:val="left"/>
      <w:pPr>
        <w:ind w:left="360" w:hanging="360"/>
      </w:pPr>
      <w:rPr>
        <w:rFonts w:hint="default"/>
        <w:b/>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13E0305"/>
    <w:multiLevelType w:val="hybridMultilevel"/>
    <w:tmpl w:val="E9D655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A8A1A64"/>
    <w:multiLevelType w:val="hybridMultilevel"/>
    <w:tmpl w:val="E46808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E4008EF"/>
    <w:multiLevelType w:val="hybridMultilevel"/>
    <w:tmpl w:val="12BE7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027C56"/>
    <w:multiLevelType w:val="hybridMultilevel"/>
    <w:tmpl w:val="29060F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A756D18"/>
    <w:multiLevelType w:val="hybridMultilevel"/>
    <w:tmpl w:val="19E004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9" w15:restartNumberingAfterBreak="0">
    <w:nsid w:val="3F7D60D4"/>
    <w:multiLevelType w:val="hybridMultilevel"/>
    <w:tmpl w:val="F788D6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5F6A19"/>
    <w:multiLevelType w:val="hybridMultilevel"/>
    <w:tmpl w:val="245E83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52F6D65"/>
    <w:multiLevelType w:val="hybridMultilevel"/>
    <w:tmpl w:val="15FE34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81C1BF6"/>
    <w:multiLevelType w:val="hybridMultilevel"/>
    <w:tmpl w:val="D974B91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A671AC1"/>
    <w:multiLevelType w:val="hybridMultilevel"/>
    <w:tmpl w:val="EC5AD49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BEB3FD4"/>
    <w:multiLevelType w:val="hybridMultilevel"/>
    <w:tmpl w:val="D0783DAE"/>
    <w:lvl w:ilvl="0" w:tplc="B5BA572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3150DD1"/>
    <w:multiLevelType w:val="hybridMultilevel"/>
    <w:tmpl w:val="EC5AD49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3F776A3"/>
    <w:multiLevelType w:val="hybridMultilevel"/>
    <w:tmpl w:val="15E666BE"/>
    <w:lvl w:ilvl="0" w:tplc="F69AFA9C">
      <w:start w:val="1"/>
      <w:numFmt w:val="bullet"/>
      <w:lvlText w:val="·"/>
      <w:lvlJc w:val="left"/>
      <w:pPr>
        <w:ind w:left="720" w:hanging="360"/>
      </w:pPr>
      <w:rPr>
        <w:rFonts w:ascii="Symbol" w:hAnsi="Symbol" w:hint="default"/>
      </w:rPr>
    </w:lvl>
    <w:lvl w:ilvl="1" w:tplc="C75C90DC">
      <w:start w:val="1"/>
      <w:numFmt w:val="bullet"/>
      <w:lvlText w:val="o"/>
      <w:lvlJc w:val="left"/>
      <w:pPr>
        <w:ind w:left="1440" w:hanging="360"/>
      </w:pPr>
      <w:rPr>
        <w:rFonts w:ascii="Courier New" w:hAnsi="Courier New" w:hint="default"/>
      </w:rPr>
    </w:lvl>
    <w:lvl w:ilvl="2" w:tplc="B0507738">
      <w:start w:val="1"/>
      <w:numFmt w:val="bullet"/>
      <w:lvlText w:val=""/>
      <w:lvlJc w:val="left"/>
      <w:pPr>
        <w:ind w:left="2160" w:hanging="360"/>
      </w:pPr>
      <w:rPr>
        <w:rFonts w:ascii="Wingdings" w:hAnsi="Wingdings" w:hint="default"/>
      </w:rPr>
    </w:lvl>
    <w:lvl w:ilvl="3" w:tplc="17D0ED78">
      <w:start w:val="1"/>
      <w:numFmt w:val="bullet"/>
      <w:lvlText w:val=""/>
      <w:lvlJc w:val="left"/>
      <w:pPr>
        <w:ind w:left="2880" w:hanging="360"/>
      </w:pPr>
      <w:rPr>
        <w:rFonts w:ascii="Symbol" w:hAnsi="Symbol" w:hint="default"/>
      </w:rPr>
    </w:lvl>
    <w:lvl w:ilvl="4" w:tplc="AF2A78DA">
      <w:start w:val="1"/>
      <w:numFmt w:val="bullet"/>
      <w:lvlText w:val="o"/>
      <w:lvlJc w:val="left"/>
      <w:pPr>
        <w:ind w:left="3600" w:hanging="360"/>
      </w:pPr>
      <w:rPr>
        <w:rFonts w:ascii="Courier New" w:hAnsi="Courier New" w:hint="default"/>
      </w:rPr>
    </w:lvl>
    <w:lvl w:ilvl="5" w:tplc="C0703486">
      <w:start w:val="1"/>
      <w:numFmt w:val="bullet"/>
      <w:lvlText w:val=""/>
      <w:lvlJc w:val="left"/>
      <w:pPr>
        <w:ind w:left="4320" w:hanging="360"/>
      </w:pPr>
      <w:rPr>
        <w:rFonts w:ascii="Wingdings" w:hAnsi="Wingdings" w:hint="default"/>
      </w:rPr>
    </w:lvl>
    <w:lvl w:ilvl="6" w:tplc="62A485F4">
      <w:start w:val="1"/>
      <w:numFmt w:val="bullet"/>
      <w:lvlText w:val=""/>
      <w:lvlJc w:val="left"/>
      <w:pPr>
        <w:ind w:left="5040" w:hanging="360"/>
      </w:pPr>
      <w:rPr>
        <w:rFonts w:ascii="Symbol" w:hAnsi="Symbol" w:hint="default"/>
      </w:rPr>
    </w:lvl>
    <w:lvl w:ilvl="7" w:tplc="690C8E70">
      <w:start w:val="1"/>
      <w:numFmt w:val="bullet"/>
      <w:lvlText w:val="o"/>
      <w:lvlJc w:val="left"/>
      <w:pPr>
        <w:ind w:left="5760" w:hanging="360"/>
      </w:pPr>
      <w:rPr>
        <w:rFonts w:ascii="Courier New" w:hAnsi="Courier New" w:hint="default"/>
      </w:rPr>
    </w:lvl>
    <w:lvl w:ilvl="8" w:tplc="E0944F00">
      <w:start w:val="1"/>
      <w:numFmt w:val="bullet"/>
      <w:lvlText w:val=""/>
      <w:lvlJc w:val="left"/>
      <w:pPr>
        <w:ind w:left="6480" w:hanging="360"/>
      </w:pPr>
      <w:rPr>
        <w:rFonts w:ascii="Wingdings" w:hAnsi="Wingdings" w:hint="default"/>
      </w:rPr>
    </w:lvl>
  </w:abstractNum>
  <w:abstractNum w:abstractNumId="29" w15:restartNumberingAfterBreak="0">
    <w:nsid w:val="58B604E2"/>
    <w:multiLevelType w:val="hybridMultilevel"/>
    <w:tmpl w:val="9CB42BB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612335A9"/>
    <w:multiLevelType w:val="hybridMultilevel"/>
    <w:tmpl w:val="B09830A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1EA2830"/>
    <w:multiLevelType w:val="hybridMultilevel"/>
    <w:tmpl w:val="495001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7D06F4E"/>
    <w:multiLevelType w:val="hybridMultilevel"/>
    <w:tmpl w:val="63506EB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7EB01B4"/>
    <w:multiLevelType w:val="hybridMultilevel"/>
    <w:tmpl w:val="348A1C54"/>
    <w:lvl w:ilvl="0" w:tplc="08090001">
      <w:start w:val="1"/>
      <w:numFmt w:val="bullet"/>
      <w:lvlText w:val=""/>
      <w:lvlJc w:val="left"/>
      <w:pPr>
        <w:ind w:left="360" w:hanging="360"/>
      </w:pPr>
      <w:rPr>
        <w:rFonts w:ascii="Symbol" w:hAnsi="Symbol" w:hint="default"/>
      </w:rPr>
    </w:lvl>
    <w:lvl w:ilvl="1" w:tplc="08090017">
      <w:start w:val="1"/>
      <w:numFmt w:val="lowerLetter"/>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98F5198"/>
    <w:multiLevelType w:val="hybridMultilevel"/>
    <w:tmpl w:val="5930F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AE34F09"/>
    <w:multiLevelType w:val="hybridMultilevel"/>
    <w:tmpl w:val="C16E12BC"/>
    <w:lvl w:ilvl="0" w:tplc="3E025B90">
      <w:start w:val="1"/>
      <w:numFmt w:val="bullet"/>
      <w:lvlText w:val=""/>
      <w:lvlJc w:val="left"/>
      <w:pPr>
        <w:tabs>
          <w:tab w:val="num" w:pos="720"/>
        </w:tabs>
        <w:ind w:left="720" w:hanging="360"/>
      </w:pPr>
      <w:rPr>
        <w:rFonts w:ascii="Symbol" w:hAnsi="Symbol" w:hint="default"/>
        <w:sz w:val="20"/>
      </w:rPr>
    </w:lvl>
    <w:lvl w:ilvl="1" w:tplc="33026480" w:tentative="1">
      <w:start w:val="1"/>
      <w:numFmt w:val="bullet"/>
      <w:lvlText w:val=""/>
      <w:lvlJc w:val="left"/>
      <w:pPr>
        <w:tabs>
          <w:tab w:val="num" w:pos="1440"/>
        </w:tabs>
        <w:ind w:left="1440" w:hanging="360"/>
      </w:pPr>
      <w:rPr>
        <w:rFonts w:ascii="Symbol" w:hAnsi="Symbol" w:hint="default"/>
        <w:sz w:val="20"/>
      </w:rPr>
    </w:lvl>
    <w:lvl w:ilvl="2" w:tplc="FA7ADEAA" w:tentative="1">
      <w:start w:val="1"/>
      <w:numFmt w:val="bullet"/>
      <w:lvlText w:val=""/>
      <w:lvlJc w:val="left"/>
      <w:pPr>
        <w:tabs>
          <w:tab w:val="num" w:pos="2160"/>
        </w:tabs>
        <w:ind w:left="2160" w:hanging="360"/>
      </w:pPr>
      <w:rPr>
        <w:rFonts w:ascii="Symbol" w:hAnsi="Symbol" w:hint="default"/>
        <w:sz w:val="20"/>
      </w:rPr>
    </w:lvl>
    <w:lvl w:ilvl="3" w:tplc="CE564244" w:tentative="1">
      <w:start w:val="1"/>
      <w:numFmt w:val="bullet"/>
      <w:lvlText w:val=""/>
      <w:lvlJc w:val="left"/>
      <w:pPr>
        <w:tabs>
          <w:tab w:val="num" w:pos="2880"/>
        </w:tabs>
        <w:ind w:left="2880" w:hanging="360"/>
      </w:pPr>
      <w:rPr>
        <w:rFonts w:ascii="Symbol" w:hAnsi="Symbol" w:hint="default"/>
        <w:sz w:val="20"/>
      </w:rPr>
    </w:lvl>
    <w:lvl w:ilvl="4" w:tplc="9482ADBE" w:tentative="1">
      <w:start w:val="1"/>
      <w:numFmt w:val="bullet"/>
      <w:lvlText w:val=""/>
      <w:lvlJc w:val="left"/>
      <w:pPr>
        <w:tabs>
          <w:tab w:val="num" w:pos="3600"/>
        </w:tabs>
        <w:ind w:left="3600" w:hanging="360"/>
      </w:pPr>
      <w:rPr>
        <w:rFonts w:ascii="Symbol" w:hAnsi="Symbol" w:hint="default"/>
        <w:sz w:val="20"/>
      </w:rPr>
    </w:lvl>
    <w:lvl w:ilvl="5" w:tplc="EE48F508" w:tentative="1">
      <w:start w:val="1"/>
      <w:numFmt w:val="bullet"/>
      <w:lvlText w:val=""/>
      <w:lvlJc w:val="left"/>
      <w:pPr>
        <w:tabs>
          <w:tab w:val="num" w:pos="4320"/>
        </w:tabs>
        <w:ind w:left="4320" w:hanging="360"/>
      </w:pPr>
      <w:rPr>
        <w:rFonts w:ascii="Symbol" w:hAnsi="Symbol" w:hint="default"/>
        <w:sz w:val="20"/>
      </w:rPr>
    </w:lvl>
    <w:lvl w:ilvl="6" w:tplc="B858BAB8" w:tentative="1">
      <w:start w:val="1"/>
      <w:numFmt w:val="bullet"/>
      <w:lvlText w:val=""/>
      <w:lvlJc w:val="left"/>
      <w:pPr>
        <w:tabs>
          <w:tab w:val="num" w:pos="5040"/>
        </w:tabs>
        <w:ind w:left="5040" w:hanging="360"/>
      </w:pPr>
      <w:rPr>
        <w:rFonts w:ascii="Symbol" w:hAnsi="Symbol" w:hint="default"/>
        <w:sz w:val="20"/>
      </w:rPr>
    </w:lvl>
    <w:lvl w:ilvl="7" w:tplc="BB240C1A" w:tentative="1">
      <w:start w:val="1"/>
      <w:numFmt w:val="bullet"/>
      <w:lvlText w:val=""/>
      <w:lvlJc w:val="left"/>
      <w:pPr>
        <w:tabs>
          <w:tab w:val="num" w:pos="5760"/>
        </w:tabs>
        <w:ind w:left="5760" w:hanging="360"/>
      </w:pPr>
      <w:rPr>
        <w:rFonts w:ascii="Symbol" w:hAnsi="Symbol" w:hint="default"/>
        <w:sz w:val="20"/>
      </w:rPr>
    </w:lvl>
    <w:lvl w:ilvl="8" w:tplc="A83EF906"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D8F4909"/>
    <w:multiLevelType w:val="hybridMultilevel"/>
    <w:tmpl w:val="25C2DD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EF7BF1"/>
    <w:multiLevelType w:val="hybridMultilevel"/>
    <w:tmpl w:val="B9822A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21676F1"/>
    <w:multiLevelType w:val="hybridMultilevel"/>
    <w:tmpl w:val="A0C2DB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6060CCE"/>
    <w:multiLevelType w:val="hybridMultilevel"/>
    <w:tmpl w:val="F4D8C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5"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849834127">
    <w:abstractNumId w:val="45"/>
  </w:num>
  <w:num w:numId="2" w16cid:durableId="861044256">
    <w:abstractNumId w:val="9"/>
  </w:num>
  <w:num w:numId="3" w16cid:durableId="1024674884">
    <w:abstractNumId w:val="13"/>
  </w:num>
  <w:num w:numId="4" w16cid:durableId="305747167">
    <w:abstractNumId w:val="31"/>
  </w:num>
  <w:num w:numId="5" w16cid:durableId="1545747601">
    <w:abstractNumId w:val="30"/>
  </w:num>
  <w:num w:numId="6" w16cid:durableId="1859731283">
    <w:abstractNumId w:val="18"/>
  </w:num>
  <w:num w:numId="7" w16cid:durableId="444928929">
    <w:abstractNumId w:val="37"/>
  </w:num>
  <w:num w:numId="8" w16cid:durableId="418599516">
    <w:abstractNumId w:val="12"/>
  </w:num>
  <w:num w:numId="9" w16cid:durableId="2102528462">
    <w:abstractNumId w:val="44"/>
  </w:num>
  <w:num w:numId="10" w16cid:durableId="994796934">
    <w:abstractNumId w:val="24"/>
  </w:num>
  <w:num w:numId="11" w16cid:durableId="1530802387">
    <w:abstractNumId w:val="43"/>
  </w:num>
  <w:num w:numId="12" w16cid:durableId="807743615">
    <w:abstractNumId w:val="36"/>
  </w:num>
  <w:num w:numId="13" w16cid:durableId="998583414">
    <w:abstractNumId w:val="11"/>
  </w:num>
  <w:num w:numId="14" w16cid:durableId="896358481">
    <w:abstractNumId w:val="29"/>
  </w:num>
  <w:num w:numId="15" w16cid:durableId="1461876160">
    <w:abstractNumId w:val="46"/>
  </w:num>
  <w:num w:numId="16" w16cid:durableId="1146430786">
    <w:abstractNumId w:val="20"/>
  </w:num>
  <w:num w:numId="17" w16cid:durableId="163908628">
    <w:abstractNumId w:val="16"/>
  </w:num>
  <w:num w:numId="18" w16cid:durableId="1500852265">
    <w:abstractNumId w:val="14"/>
  </w:num>
  <w:num w:numId="19" w16cid:durableId="1111776887">
    <w:abstractNumId w:val="21"/>
  </w:num>
  <w:num w:numId="20" w16cid:durableId="866599456">
    <w:abstractNumId w:val="3"/>
  </w:num>
  <w:num w:numId="21" w16cid:durableId="1507553867">
    <w:abstractNumId w:val="35"/>
  </w:num>
  <w:num w:numId="22" w16cid:durableId="1821582240">
    <w:abstractNumId w:val="17"/>
  </w:num>
  <w:num w:numId="23" w16cid:durableId="1998458725">
    <w:abstractNumId w:val="15"/>
  </w:num>
  <w:num w:numId="24" w16cid:durableId="1156267404">
    <w:abstractNumId w:val="34"/>
  </w:num>
  <w:num w:numId="25" w16cid:durableId="1455128222">
    <w:abstractNumId w:val="22"/>
  </w:num>
  <w:num w:numId="26" w16cid:durableId="314576303">
    <w:abstractNumId w:val="23"/>
  </w:num>
  <w:num w:numId="27" w16cid:durableId="1122722009">
    <w:abstractNumId w:val="38"/>
  </w:num>
  <w:num w:numId="28" w16cid:durableId="1636566282">
    <w:abstractNumId w:val="0"/>
  </w:num>
  <w:num w:numId="29" w16cid:durableId="1667438518">
    <w:abstractNumId w:val="28"/>
  </w:num>
  <w:num w:numId="30" w16cid:durableId="244995806">
    <w:abstractNumId w:val="4"/>
  </w:num>
  <w:num w:numId="31" w16cid:durableId="69892841">
    <w:abstractNumId w:val="26"/>
  </w:num>
  <w:num w:numId="32" w16cid:durableId="1823037912">
    <w:abstractNumId w:val="8"/>
  </w:num>
  <w:num w:numId="33" w16cid:durableId="1453672001">
    <w:abstractNumId w:val="6"/>
  </w:num>
  <w:num w:numId="34" w16cid:durableId="1480461792">
    <w:abstractNumId w:val="5"/>
  </w:num>
  <w:num w:numId="35" w16cid:durableId="210503443">
    <w:abstractNumId w:val="39"/>
  </w:num>
  <w:num w:numId="36" w16cid:durableId="2118789143">
    <w:abstractNumId w:val="19"/>
  </w:num>
  <w:num w:numId="37" w16cid:durableId="2101825165">
    <w:abstractNumId w:val="2"/>
  </w:num>
  <w:num w:numId="38" w16cid:durableId="900100023">
    <w:abstractNumId w:val="7"/>
  </w:num>
  <w:num w:numId="39" w16cid:durableId="129136395">
    <w:abstractNumId w:val="10"/>
  </w:num>
  <w:num w:numId="40" w16cid:durableId="756486685">
    <w:abstractNumId w:val="33"/>
  </w:num>
  <w:num w:numId="41" w16cid:durableId="1285380592">
    <w:abstractNumId w:val="32"/>
  </w:num>
  <w:num w:numId="42" w16cid:durableId="102458431">
    <w:abstractNumId w:val="1"/>
  </w:num>
  <w:num w:numId="43" w16cid:durableId="1449160776">
    <w:abstractNumId w:val="27"/>
  </w:num>
  <w:num w:numId="44" w16cid:durableId="365914740">
    <w:abstractNumId w:val="25"/>
  </w:num>
  <w:num w:numId="45" w16cid:durableId="757483827">
    <w:abstractNumId w:val="41"/>
  </w:num>
  <w:num w:numId="46" w16cid:durableId="1947037749">
    <w:abstractNumId w:val="42"/>
  </w:num>
  <w:num w:numId="47" w16cid:durableId="211702223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2"/>
  <w:removePersonalInformation/>
  <w:removeDateAndTime/>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11CDE"/>
    <w:rsid w:val="0002295D"/>
    <w:rsid w:val="00024CE4"/>
    <w:rsid w:val="0004604C"/>
    <w:rsid w:val="00085FFC"/>
    <w:rsid w:val="00094462"/>
    <w:rsid w:val="000A467B"/>
    <w:rsid w:val="000A7816"/>
    <w:rsid w:val="000B0EB6"/>
    <w:rsid w:val="000B5A12"/>
    <w:rsid w:val="000B5CE1"/>
    <w:rsid w:val="000B5F20"/>
    <w:rsid w:val="000B787A"/>
    <w:rsid w:val="000B788C"/>
    <w:rsid w:val="000D0FA1"/>
    <w:rsid w:val="000D21D2"/>
    <w:rsid w:val="000D2494"/>
    <w:rsid w:val="000D6BFC"/>
    <w:rsid w:val="000E366B"/>
    <w:rsid w:val="000E51DA"/>
    <w:rsid w:val="000F6052"/>
    <w:rsid w:val="001001D8"/>
    <w:rsid w:val="0010038B"/>
    <w:rsid w:val="001067E9"/>
    <w:rsid w:val="00136955"/>
    <w:rsid w:val="00146F8D"/>
    <w:rsid w:val="00150BC1"/>
    <w:rsid w:val="0015167A"/>
    <w:rsid w:val="00155C00"/>
    <w:rsid w:val="00156AC9"/>
    <w:rsid w:val="00163655"/>
    <w:rsid w:val="00164BD7"/>
    <w:rsid w:val="001662F6"/>
    <w:rsid w:val="00167D14"/>
    <w:rsid w:val="00170269"/>
    <w:rsid w:val="001772B1"/>
    <w:rsid w:val="00177ED8"/>
    <w:rsid w:val="0018683A"/>
    <w:rsid w:val="001B03CA"/>
    <w:rsid w:val="001B2FBC"/>
    <w:rsid w:val="001B5B88"/>
    <w:rsid w:val="001D239F"/>
    <w:rsid w:val="001D7484"/>
    <w:rsid w:val="001E1C83"/>
    <w:rsid w:val="002034A0"/>
    <w:rsid w:val="002251D3"/>
    <w:rsid w:val="00225CB1"/>
    <w:rsid w:val="002327D7"/>
    <w:rsid w:val="00232954"/>
    <w:rsid w:val="00233B9D"/>
    <w:rsid w:val="00244323"/>
    <w:rsid w:val="002469EC"/>
    <w:rsid w:val="00247BCC"/>
    <w:rsid w:val="002513AE"/>
    <w:rsid w:val="002A2739"/>
    <w:rsid w:val="002B0337"/>
    <w:rsid w:val="002E738B"/>
    <w:rsid w:val="002F5035"/>
    <w:rsid w:val="00302136"/>
    <w:rsid w:val="00304F02"/>
    <w:rsid w:val="00317E77"/>
    <w:rsid w:val="003265E5"/>
    <w:rsid w:val="00332E80"/>
    <w:rsid w:val="00350BF2"/>
    <w:rsid w:val="00356EB5"/>
    <w:rsid w:val="00384371"/>
    <w:rsid w:val="003A29BD"/>
    <w:rsid w:val="003A3A06"/>
    <w:rsid w:val="003A5768"/>
    <w:rsid w:val="003B1D6F"/>
    <w:rsid w:val="003C1EAF"/>
    <w:rsid w:val="003C4009"/>
    <w:rsid w:val="003D771D"/>
    <w:rsid w:val="003E03BB"/>
    <w:rsid w:val="003E5ECF"/>
    <w:rsid w:val="003F0863"/>
    <w:rsid w:val="003F2B8E"/>
    <w:rsid w:val="00422C1E"/>
    <w:rsid w:val="00437356"/>
    <w:rsid w:val="00443533"/>
    <w:rsid w:val="00450CA3"/>
    <w:rsid w:val="0045130E"/>
    <w:rsid w:val="00456B01"/>
    <w:rsid w:val="00472839"/>
    <w:rsid w:val="004832AA"/>
    <w:rsid w:val="004A6598"/>
    <w:rsid w:val="004C7332"/>
    <w:rsid w:val="004C7BA9"/>
    <w:rsid w:val="004F034A"/>
    <w:rsid w:val="004F7B28"/>
    <w:rsid w:val="00524CC3"/>
    <w:rsid w:val="00533545"/>
    <w:rsid w:val="00544EA6"/>
    <w:rsid w:val="005501DE"/>
    <w:rsid w:val="005620DD"/>
    <w:rsid w:val="00566221"/>
    <w:rsid w:val="00575FFF"/>
    <w:rsid w:val="00581E8C"/>
    <w:rsid w:val="00582160"/>
    <w:rsid w:val="00590756"/>
    <w:rsid w:val="005C18FD"/>
    <w:rsid w:val="005C72A5"/>
    <w:rsid w:val="005D2C1D"/>
    <w:rsid w:val="005D38EC"/>
    <w:rsid w:val="005D4D36"/>
    <w:rsid w:val="005E0E84"/>
    <w:rsid w:val="005E5AEF"/>
    <w:rsid w:val="005F4F9C"/>
    <w:rsid w:val="005F7DBE"/>
    <w:rsid w:val="00605147"/>
    <w:rsid w:val="0061100D"/>
    <w:rsid w:val="006120CC"/>
    <w:rsid w:val="006224EC"/>
    <w:rsid w:val="00623B57"/>
    <w:rsid w:val="006244AF"/>
    <w:rsid w:val="006259AB"/>
    <w:rsid w:val="00625ED1"/>
    <w:rsid w:val="00630854"/>
    <w:rsid w:val="00641DAE"/>
    <w:rsid w:val="00653CE5"/>
    <w:rsid w:val="00691293"/>
    <w:rsid w:val="00695FF9"/>
    <w:rsid w:val="006A18F9"/>
    <w:rsid w:val="006A2FD0"/>
    <w:rsid w:val="006B1AF7"/>
    <w:rsid w:val="006B2727"/>
    <w:rsid w:val="006B6F26"/>
    <w:rsid w:val="006B715F"/>
    <w:rsid w:val="006C48D2"/>
    <w:rsid w:val="006E0B58"/>
    <w:rsid w:val="006F45A7"/>
    <w:rsid w:val="007238E8"/>
    <w:rsid w:val="0072424D"/>
    <w:rsid w:val="00762745"/>
    <w:rsid w:val="007636C8"/>
    <w:rsid w:val="00766CC2"/>
    <w:rsid w:val="00771DEC"/>
    <w:rsid w:val="00777A69"/>
    <w:rsid w:val="00797733"/>
    <w:rsid w:val="007A1453"/>
    <w:rsid w:val="007A7136"/>
    <w:rsid w:val="007B3480"/>
    <w:rsid w:val="007C05F8"/>
    <w:rsid w:val="007C40A5"/>
    <w:rsid w:val="007D5F06"/>
    <w:rsid w:val="007E6351"/>
    <w:rsid w:val="008048D9"/>
    <w:rsid w:val="00807836"/>
    <w:rsid w:val="008109B7"/>
    <w:rsid w:val="0081142C"/>
    <w:rsid w:val="00816ADE"/>
    <w:rsid w:val="00840705"/>
    <w:rsid w:val="00841D14"/>
    <w:rsid w:val="00842ED4"/>
    <w:rsid w:val="008532F1"/>
    <w:rsid w:val="00856919"/>
    <w:rsid w:val="008773FA"/>
    <w:rsid w:val="00880652"/>
    <w:rsid w:val="0088171A"/>
    <w:rsid w:val="008A09B8"/>
    <w:rsid w:val="008A2DDA"/>
    <w:rsid w:val="008A4E69"/>
    <w:rsid w:val="008B100A"/>
    <w:rsid w:val="008C4A94"/>
    <w:rsid w:val="008D6D47"/>
    <w:rsid w:val="008E0D88"/>
    <w:rsid w:val="008F4CFD"/>
    <w:rsid w:val="009005A6"/>
    <w:rsid w:val="00905D27"/>
    <w:rsid w:val="0095680A"/>
    <w:rsid w:val="00962489"/>
    <w:rsid w:val="00962A1B"/>
    <w:rsid w:val="00964950"/>
    <w:rsid w:val="009778A3"/>
    <w:rsid w:val="00981500"/>
    <w:rsid w:val="009867DF"/>
    <w:rsid w:val="00992FCE"/>
    <w:rsid w:val="009B49BE"/>
    <w:rsid w:val="009C60F4"/>
    <w:rsid w:val="009D23A1"/>
    <w:rsid w:val="009D5787"/>
    <w:rsid w:val="009E0C97"/>
    <w:rsid w:val="00A013BA"/>
    <w:rsid w:val="00A05EF1"/>
    <w:rsid w:val="00A30BBE"/>
    <w:rsid w:val="00A47758"/>
    <w:rsid w:val="00A708E4"/>
    <w:rsid w:val="00A7692A"/>
    <w:rsid w:val="00A77013"/>
    <w:rsid w:val="00A83129"/>
    <w:rsid w:val="00AA1B8B"/>
    <w:rsid w:val="00AD27BB"/>
    <w:rsid w:val="00AE2B44"/>
    <w:rsid w:val="00B056EE"/>
    <w:rsid w:val="00B160E7"/>
    <w:rsid w:val="00B1649A"/>
    <w:rsid w:val="00B204D3"/>
    <w:rsid w:val="00B325F4"/>
    <w:rsid w:val="00B37EAA"/>
    <w:rsid w:val="00B47CB5"/>
    <w:rsid w:val="00B562A0"/>
    <w:rsid w:val="00B66918"/>
    <w:rsid w:val="00B84EBF"/>
    <w:rsid w:val="00B869B7"/>
    <w:rsid w:val="00B9763D"/>
    <w:rsid w:val="00BA507E"/>
    <w:rsid w:val="00BA6EF7"/>
    <w:rsid w:val="00BB64DB"/>
    <w:rsid w:val="00BF04EF"/>
    <w:rsid w:val="00BF59B8"/>
    <w:rsid w:val="00C02453"/>
    <w:rsid w:val="00C15B63"/>
    <w:rsid w:val="00C3444E"/>
    <w:rsid w:val="00C526E7"/>
    <w:rsid w:val="00C54BB1"/>
    <w:rsid w:val="00C558CC"/>
    <w:rsid w:val="00C7447F"/>
    <w:rsid w:val="00C93EA1"/>
    <w:rsid w:val="00C973DA"/>
    <w:rsid w:val="00CA213C"/>
    <w:rsid w:val="00CB6080"/>
    <w:rsid w:val="00CB7712"/>
    <w:rsid w:val="00CC3D7B"/>
    <w:rsid w:val="00CD04E4"/>
    <w:rsid w:val="00CD7E72"/>
    <w:rsid w:val="00CD7F53"/>
    <w:rsid w:val="00CE5ADF"/>
    <w:rsid w:val="00CE6067"/>
    <w:rsid w:val="00D0337F"/>
    <w:rsid w:val="00D13AFF"/>
    <w:rsid w:val="00D15974"/>
    <w:rsid w:val="00D17A04"/>
    <w:rsid w:val="00D25B6D"/>
    <w:rsid w:val="00D4213C"/>
    <w:rsid w:val="00D455B0"/>
    <w:rsid w:val="00D45FCD"/>
    <w:rsid w:val="00D56668"/>
    <w:rsid w:val="00D63C77"/>
    <w:rsid w:val="00D70BEB"/>
    <w:rsid w:val="00D73458"/>
    <w:rsid w:val="00D75B37"/>
    <w:rsid w:val="00D84B69"/>
    <w:rsid w:val="00D93CFC"/>
    <w:rsid w:val="00D95C76"/>
    <w:rsid w:val="00DA55A2"/>
    <w:rsid w:val="00DF259A"/>
    <w:rsid w:val="00E043EA"/>
    <w:rsid w:val="00E04EA1"/>
    <w:rsid w:val="00E05852"/>
    <w:rsid w:val="00E13D93"/>
    <w:rsid w:val="00E2013D"/>
    <w:rsid w:val="00E24762"/>
    <w:rsid w:val="00E27C9E"/>
    <w:rsid w:val="00E27E74"/>
    <w:rsid w:val="00E40AF7"/>
    <w:rsid w:val="00E4659D"/>
    <w:rsid w:val="00E523F1"/>
    <w:rsid w:val="00EA6ED5"/>
    <w:rsid w:val="00EB3A79"/>
    <w:rsid w:val="00EC1011"/>
    <w:rsid w:val="00EE2D31"/>
    <w:rsid w:val="00EE6142"/>
    <w:rsid w:val="00EE766C"/>
    <w:rsid w:val="00EF3408"/>
    <w:rsid w:val="00EF3C83"/>
    <w:rsid w:val="00F07C39"/>
    <w:rsid w:val="00F5111A"/>
    <w:rsid w:val="00F5524E"/>
    <w:rsid w:val="00F707C1"/>
    <w:rsid w:val="00F708DB"/>
    <w:rsid w:val="00F70E24"/>
    <w:rsid w:val="00F72C4B"/>
    <w:rsid w:val="00F77345"/>
    <w:rsid w:val="00F91FF1"/>
    <w:rsid w:val="00F94ECD"/>
    <w:rsid w:val="00F97CBE"/>
    <w:rsid w:val="00FA26DA"/>
    <w:rsid w:val="00FB4D5A"/>
    <w:rsid w:val="00FB760A"/>
    <w:rsid w:val="00FE4AA8"/>
    <w:rsid w:val="00FF2258"/>
    <w:rsid w:val="00FF2DBF"/>
    <w:rsid w:val="00FF6D99"/>
    <w:rsid w:val="3344C548"/>
    <w:rsid w:val="3EB95381"/>
    <w:rsid w:val="523854D2"/>
    <w:rsid w:val="61C8580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8833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character" w:styleId="Emphasis">
    <w:name w:val="Emphasis"/>
    <w:basedOn w:val="DefaultParagraphFont"/>
    <w:uiPriority w:val="20"/>
    <w:qFormat/>
    <w:rsid w:val="00011CDE"/>
    <w:rPr>
      <w:i/>
      <w:iCs/>
    </w:rPr>
  </w:style>
  <w:style w:type="paragraph" w:customStyle="1" w:styleId="Default">
    <w:name w:val="Default"/>
    <w:rsid w:val="00CD7F53"/>
    <w:pPr>
      <w:autoSpaceDE w:val="0"/>
      <w:autoSpaceDN w:val="0"/>
      <w:adjustRightInd w:val="0"/>
      <w:spacing w:after="0" w:line="240" w:lineRule="auto"/>
    </w:pPr>
    <w:rPr>
      <w:rFonts w:ascii="Times New Roman" w:hAnsi="Times New Roman" w:cs="Times New Roman"/>
      <w:color w:val="000000"/>
      <w:sz w:val="24"/>
      <w:szCs w:val="24"/>
      <w:lang w:eastAsia="en-GB"/>
    </w:rPr>
  </w:style>
  <w:style w:type="paragraph" w:styleId="NormalWeb">
    <w:name w:val="Normal (Web)"/>
    <w:basedOn w:val="Normal"/>
    <w:rsid w:val="00FE4AA8"/>
    <w:pPr>
      <w:spacing w:before="100" w:beforeAutospacing="1" w:after="100" w:afterAutospacing="1" w:line="240" w:lineRule="auto"/>
    </w:pPr>
    <w:rPr>
      <w:rFonts w:ascii="Arial Unicode MS" w:eastAsia="Arial Unicode MS" w:hAnsi="Arial Unicode MS" w:cs="Arial Unicode MS"/>
      <w:sz w:val="24"/>
      <w:szCs w:val="24"/>
    </w:rPr>
  </w:style>
  <w:style w:type="paragraph" w:styleId="NoSpacing">
    <w:name w:val="No Spacing"/>
    <w:uiPriority w:val="1"/>
    <w:qFormat/>
    <w:rsid w:val="003C4009"/>
    <w:pPr>
      <w:spacing w:after="0" w:line="240" w:lineRule="auto"/>
    </w:pPr>
  </w:style>
  <w:style w:type="character" w:customStyle="1" w:styleId="apple-converted-space">
    <w:name w:val="apple-converted-space"/>
    <w:basedOn w:val="DefaultParagraphFont"/>
    <w:rsid w:val="00A70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606290">
      <w:bodyDiv w:val="1"/>
      <w:marLeft w:val="0"/>
      <w:marRight w:val="0"/>
      <w:marTop w:val="0"/>
      <w:marBottom w:val="0"/>
      <w:divBdr>
        <w:top w:val="none" w:sz="0" w:space="0" w:color="auto"/>
        <w:left w:val="none" w:sz="0" w:space="0" w:color="auto"/>
        <w:bottom w:val="none" w:sz="0" w:space="0" w:color="auto"/>
        <w:right w:val="none" w:sz="0" w:space="0" w:color="auto"/>
      </w:divBdr>
    </w:div>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676462899">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277786315">
      <w:bodyDiv w:val="1"/>
      <w:marLeft w:val="0"/>
      <w:marRight w:val="0"/>
      <w:marTop w:val="0"/>
      <w:marBottom w:val="0"/>
      <w:divBdr>
        <w:top w:val="none" w:sz="0" w:space="0" w:color="auto"/>
        <w:left w:val="none" w:sz="0" w:space="0" w:color="auto"/>
        <w:bottom w:val="none" w:sz="0" w:space="0" w:color="auto"/>
        <w:right w:val="none" w:sz="0" w:space="0" w:color="auto"/>
      </w:divBdr>
    </w:div>
    <w:div w:id="1376395731">
      <w:bodyDiv w:val="1"/>
      <w:marLeft w:val="0"/>
      <w:marRight w:val="0"/>
      <w:marTop w:val="0"/>
      <w:marBottom w:val="0"/>
      <w:divBdr>
        <w:top w:val="none" w:sz="0" w:space="0" w:color="auto"/>
        <w:left w:val="none" w:sz="0" w:space="0" w:color="auto"/>
        <w:bottom w:val="none" w:sz="0" w:space="0" w:color="auto"/>
        <w:right w:val="none" w:sz="0" w:space="0" w:color="auto"/>
      </w:divBdr>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1559436652">
      <w:bodyDiv w:val="1"/>
      <w:marLeft w:val="0"/>
      <w:marRight w:val="0"/>
      <w:marTop w:val="0"/>
      <w:marBottom w:val="0"/>
      <w:divBdr>
        <w:top w:val="none" w:sz="0" w:space="0" w:color="auto"/>
        <w:left w:val="none" w:sz="0" w:space="0" w:color="auto"/>
        <w:bottom w:val="none" w:sz="0" w:space="0" w:color="auto"/>
        <w:right w:val="none" w:sz="0" w:space="0" w:color="auto"/>
      </w:divBdr>
    </w:div>
    <w:div w:id="1627157415">
      <w:bodyDiv w:val="1"/>
      <w:marLeft w:val="0"/>
      <w:marRight w:val="0"/>
      <w:marTop w:val="0"/>
      <w:marBottom w:val="0"/>
      <w:divBdr>
        <w:top w:val="none" w:sz="0" w:space="0" w:color="auto"/>
        <w:left w:val="none" w:sz="0" w:space="0" w:color="auto"/>
        <w:bottom w:val="none" w:sz="0" w:space="0" w:color="auto"/>
        <w:right w:val="none" w:sz="0" w:space="0" w:color="auto"/>
      </w:divBdr>
    </w:div>
    <w:div w:id="1635794789">
      <w:bodyDiv w:val="1"/>
      <w:marLeft w:val="0"/>
      <w:marRight w:val="0"/>
      <w:marTop w:val="0"/>
      <w:marBottom w:val="0"/>
      <w:divBdr>
        <w:top w:val="none" w:sz="0" w:space="0" w:color="auto"/>
        <w:left w:val="none" w:sz="0" w:space="0" w:color="auto"/>
        <w:bottom w:val="none" w:sz="0" w:space="0" w:color="auto"/>
        <w:right w:val="none" w:sz="0" w:space="0" w:color="auto"/>
      </w:divBdr>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 w:id="211917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1D3AD-40A3-574E-9447-5227A7AED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4093</Words>
  <Characters>23332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2024-10-27T19:11:00Z</dcterms:created>
  <dcterms:modified xsi:type="dcterms:W3CDTF">2025-01-07T15:09:00Z</dcterms:modified>
</cp:coreProperties>
</file>