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5DA0D" w14:textId="16EA9D56" w:rsidR="00B635E2" w:rsidRPr="00B635E2" w:rsidRDefault="00B635E2" w:rsidP="00B635E2">
      <w:pPr>
        <w:spacing w:after="100" w:afterAutospacing="1" w:line="240" w:lineRule="auto"/>
        <w:jc w:val="both"/>
        <w:rPr>
          <w:rFonts w:cstheme="minorHAnsi"/>
          <w:b/>
          <w:sz w:val="30"/>
          <w:szCs w:val="30"/>
        </w:rPr>
      </w:pPr>
      <w:r w:rsidRPr="00B635E2">
        <w:rPr>
          <w:rFonts w:cstheme="minorHAnsi"/>
          <w:b/>
          <w:sz w:val="30"/>
          <w:szCs w:val="30"/>
        </w:rPr>
        <w:t xml:space="preserve">Constitution of trusts </w:t>
      </w:r>
    </w:p>
    <w:p w14:paraId="7268849C" w14:textId="77777777" w:rsidR="00B635E2" w:rsidRDefault="00B635E2" w:rsidP="00B635E2">
      <w:pPr>
        <w:spacing w:after="100" w:afterAutospacing="1" w:line="240" w:lineRule="auto"/>
        <w:jc w:val="both"/>
        <w:rPr>
          <w:rFonts w:cstheme="minorHAnsi"/>
          <w:b/>
        </w:rPr>
      </w:pPr>
    </w:p>
    <w:p w14:paraId="1552FFD7" w14:textId="77777777" w:rsidR="00B635E2" w:rsidRDefault="00B635E2" w:rsidP="00B635E2">
      <w:pPr>
        <w:spacing w:after="100" w:afterAutospacing="1" w:line="240" w:lineRule="auto"/>
        <w:jc w:val="both"/>
        <w:rPr>
          <w:rFonts w:cstheme="minorHAnsi"/>
          <w:b/>
        </w:rPr>
      </w:pPr>
    </w:p>
    <w:p w14:paraId="41469B6B" w14:textId="1259AD1D" w:rsidR="00177ED8" w:rsidRPr="00B635E2" w:rsidRDefault="0073109B" w:rsidP="00B635E2">
      <w:pPr>
        <w:spacing w:after="100" w:afterAutospacing="1" w:line="240" w:lineRule="auto"/>
        <w:jc w:val="both"/>
        <w:rPr>
          <w:rFonts w:cstheme="minorHAnsi"/>
          <w:b/>
        </w:rPr>
      </w:pPr>
      <w:r w:rsidRPr="00B635E2">
        <w:rPr>
          <w:rFonts w:cstheme="minorHAnsi"/>
          <w:b/>
        </w:rPr>
        <w:t>READING</w:t>
      </w:r>
    </w:p>
    <w:p w14:paraId="7444025B" w14:textId="0E088077" w:rsidR="003757E9" w:rsidRPr="003757E9" w:rsidRDefault="009C4282" w:rsidP="003757E9">
      <w:pPr>
        <w:spacing w:after="0" w:line="240" w:lineRule="auto"/>
        <w:rPr>
          <w:rFonts w:ascii="Times New Roman" w:eastAsia="Times New Roman" w:hAnsi="Times New Roman" w:cs="Times New Roman"/>
          <w:sz w:val="24"/>
          <w:szCs w:val="24"/>
          <w:lang w:eastAsia="en-GB"/>
        </w:rPr>
      </w:pPr>
      <w:r>
        <w:rPr>
          <w:rFonts w:cstheme="minorHAnsi"/>
          <w:b/>
          <w:bCs/>
          <w:color w:val="000000" w:themeColor="text1"/>
        </w:rPr>
        <w:t xml:space="preserve">See reading list on Learn Ultra </w:t>
      </w:r>
      <w:r w:rsidR="003757E9" w:rsidRPr="003757E9">
        <w:rPr>
          <w:rFonts w:ascii="Times New Roman" w:eastAsia="Times New Roman" w:hAnsi="Times New Roman" w:cs="Times New Roman"/>
          <w:sz w:val="24"/>
          <w:szCs w:val="24"/>
          <w:lang w:eastAsia="en-GB"/>
        </w:rPr>
        <w:fldChar w:fldCharType="begin"/>
      </w:r>
      <w:r w:rsidR="003757E9" w:rsidRPr="003757E9">
        <w:rPr>
          <w:rFonts w:ascii="Times New Roman" w:eastAsia="Times New Roman" w:hAnsi="Times New Roman" w:cs="Times New Roman"/>
          <w:sz w:val="24"/>
          <w:szCs w:val="24"/>
          <w:lang w:eastAsia="en-GB"/>
        </w:rPr>
        <w:instrText xml:space="preserve"> INCLUDEPICTURE "https://d19lkan9jixfcg.cloudfront.net/master/121143-c1ee068aac9d5d66c95dda8e47b932dba1272115/en-GB/shipshape-assets/resource-placeholders/Article.svg" \* MERGEFORMATINET </w:instrText>
      </w:r>
      <w:r w:rsidR="003757E9" w:rsidRPr="003757E9">
        <w:rPr>
          <w:rFonts w:ascii="Times New Roman" w:eastAsia="Times New Roman" w:hAnsi="Times New Roman" w:cs="Times New Roman"/>
          <w:sz w:val="24"/>
          <w:szCs w:val="24"/>
          <w:lang w:eastAsia="en-GB"/>
        </w:rPr>
        <w:fldChar w:fldCharType="separate"/>
      </w:r>
      <w:r w:rsidR="003757E9" w:rsidRPr="003757E9">
        <w:rPr>
          <w:rFonts w:ascii="Times New Roman" w:eastAsia="Times New Roman" w:hAnsi="Times New Roman" w:cs="Times New Roman"/>
          <w:noProof/>
          <w:sz w:val="24"/>
          <w:szCs w:val="24"/>
          <w:lang w:eastAsia="en-GB"/>
        </w:rPr>
        <mc:AlternateContent>
          <mc:Choice Requires="wps">
            <w:drawing>
              <wp:inline distT="0" distB="0" distL="0" distR="0" wp14:anchorId="2033B992" wp14:editId="4A4F3276">
                <wp:extent cx="307340" cy="307340"/>
                <wp:effectExtent l="0" t="0" r="0" b="0"/>
                <wp:docPr id="213359118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A3C4D"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003757E9" w:rsidRPr="003757E9">
        <w:rPr>
          <w:rFonts w:ascii="Times New Roman" w:eastAsia="Times New Roman" w:hAnsi="Times New Roman" w:cs="Times New Roman"/>
          <w:sz w:val="24"/>
          <w:szCs w:val="24"/>
          <w:lang w:eastAsia="en-GB"/>
        </w:rPr>
        <w:fldChar w:fldCharType="end"/>
      </w:r>
    </w:p>
    <w:p w14:paraId="2A94114B" w14:textId="4A602501" w:rsidR="00E04EA1" w:rsidRPr="0073109B" w:rsidRDefault="00E04EA1" w:rsidP="0073109B">
      <w:pPr>
        <w:spacing w:after="100" w:afterAutospacing="1" w:line="240" w:lineRule="auto"/>
        <w:jc w:val="both"/>
        <w:rPr>
          <w:rFonts w:cstheme="minorHAnsi"/>
          <w:b/>
          <w:bCs/>
        </w:rPr>
      </w:pPr>
    </w:p>
    <w:p w14:paraId="65787E2A" w14:textId="135C3745" w:rsidR="00545B5E" w:rsidRPr="0073109B" w:rsidRDefault="0073109B" w:rsidP="0073109B">
      <w:pPr>
        <w:spacing w:after="100" w:afterAutospacing="1" w:line="240" w:lineRule="auto"/>
        <w:jc w:val="both"/>
        <w:rPr>
          <w:rFonts w:cstheme="minorHAnsi"/>
          <w:b/>
          <w:bCs/>
        </w:rPr>
      </w:pPr>
      <w:r w:rsidRPr="0073109B">
        <w:rPr>
          <w:rFonts w:cstheme="minorHAnsi"/>
          <w:b/>
          <w:bCs/>
        </w:rPr>
        <w:t xml:space="preserve">Key </w:t>
      </w:r>
      <w:r w:rsidR="00545B5E" w:rsidRPr="0073109B">
        <w:rPr>
          <w:rFonts w:cstheme="minorHAnsi"/>
          <w:b/>
          <w:bCs/>
        </w:rPr>
        <w:t>Cases</w:t>
      </w:r>
    </w:p>
    <w:p w14:paraId="251EEEB9" w14:textId="3204A83B" w:rsidR="00545B5E" w:rsidRPr="0002008A" w:rsidRDefault="00725D61" w:rsidP="0073109B">
      <w:pPr>
        <w:pStyle w:val="ListParagraph"/>
        <w:numPr>
          <w:ilvl w:val="0"/>
          <w:numId w:val="8"/>
        </w:numPr>
        <w:spacing w:after="100" w:afterAutospacing="1" w:line="240" w:lineRule="auto"/>
        <w:jc w:val="both"/>
        <w:rPr>
          <w:rFonts w:cstheme="minorHAnsi"/>
        </w:rPr>
      </w:pPr>
      <w:r w:rsidRPr="0002008A">
        <w:rPr>
          <w:rFonts w:eastAsia="MS Mincho" w:cstheme="minorHAnsi"/>
          <w:i/>
          <w:lang w:bidi="en-US"/>
        </w:rPr>
        <w:t>Milroy v Lord</w:t>
      </w:r>
      <w:r w:rsidRPr="0002008A">
        <w:rPr>
          <w:rFonts w:eastAsia="MS Mincho" w:cstheme="minorHAnsi"/>
          <w:lang w:bidi="en-US"/>
        </w:rPr>
        <w:t xml:space="preserve"> (1862) 4 De GF &amp; J 264</w:t>
      </w:r>
    </w:p>
    <w:p w14:paraId="77B6A171" w14:textId="587A3143" w:rsidR="00725D61" w:rsidRPr="0002008A" w:rsidRDefault="00725D61" w:rsidP="0073109B">
      <w:pPr>
        <w:pStyle w:val="ListParagraph"/>
        <w:numPr>
          <w:ilvl w:val="0"/>
          <w:numId w:val="8"/>
        </w:numPr>
        <w:spacing w:after="100" w:afterAutospacing="1" w:line="240" w:lineRule="auto"/>
        <w:jc w:val="both"/>
        <w:rPr>
          <w:rFonts w:cstheme="minorHAnsi"/>
        </w:rPr>
      </w:pPr>
      <w:r w:rsidRPr="0002008A">
        <w:rPr>
          <w:rFonts w:eastAsia="MS Mincho" w:cstheme="minorHAnsi"/>
          <w:i/>
          <w:lang w:bidi="en-US"/>
        </w:rPr>
        <w:t xml:space="preserve">Re Rose </w:t>
      </w:r>
      <w:r w:rsidRPr="0002008A">
        <w:rPr>
          <w:rFonts w:eastAsia="MS Mincho" w:cstheme="minorHAnsi"/>
          <w:lang w:bidi="en-US"/>
        </w:rPr>
        <w:t>[1952] Ch 499</w:t>
      </w:r>
    </w:p>
    <w:p w14:paraId="742EA16D" w14:textId="77B3F09B" w:rsidR="0002008A" w:rsidRPr="0002008A" w:rsidRDefault="0002008A" w:rsidP="0073109B">
      <w:pPr>
        <w:pStyle w:val="ListParagraph"/>
        <w:numPr>
          <w:ilvl w:val="0"/>
          <w:numId w:val="8"/>
        </w:numPr>
        <w:spacing w:after="100" w:afterAutospacing="1" w:line="240" w:lineRule="auto"/>
        <w:jc w:val="both"/>
        <w:rPr>
          <w:rFonts w:cstheme="minorHAnsi"/>
        </w:rPr>
      </w:pPr>
      <w:proofErr w:type="spellStart"/>
      <w:r w:rsidRPr="0002008A">
        <w:rPr>
          <w:i/>
          <w:iCs/>
        </w:rPr>
        <w:t>Mascall</w:t>
      </w:r>
      <w:proofErr w:type="spellEnd"/>
      <w:r w:rsidRPr="0002008A">
        <w:rPr>
          <w:i/>
          <w:iCs/>
        </w:rPr>
        <w:t xml:space="preserve"> v </w:t>
      </w:r>
      <w:proofErr w:type="spellStart"/>
      <w:r w:rsidRPr="0002008A">
        <w:rPr>
          <w:i/>
          <w:iCs/>
        </w:rPr>
        <w:t>Mascall</w:t>
      </w:r>
      <w:proofErr w:type="spellEnd"/>
      <w:r w:rsidRPr="0002008A">
        <w:t xml:space="preserve"> [1984] EWCA </w:t>
      </w:r>
      <w:proofErr w:type="spellStart"/>
      <w:r w:rsidRPr="0002008A">
        <w:t>Civ</w:t>
      </w:r>
      <w:proofErr w:type="spellEnd"/>
      <w:r w:rsidRPr="0002008A">
        <w:t xml:space="preserve"> 10</w:t>
      </w:r>
    </w:p>
    <w:p w14:paraId="160E7FDF" w14:textId="5383B954" w:rsidR="00725D61" w:rsidRPr="0002008A" w:rsidRDefault="00725D61" w:rsidP="0073109B">
      <w:pPr>
        <w:pStyle w:val="ListParagraph"/>
        <w:numPr>
          <w:ilvl w:val="0"/>
          <w:numId w:val="8"/>
        </w:numPr>
        <w:spacing w:after="100" w:afterAutospacing="1" w:line="240" w:lineRule="auto"/>
        <w:jc w:val="both"/>
        <w:rPr>
          <w:rFonts w:cstheme="minorHAnsi"/>
        </w:rPr>
      </w:pPr>
      <w:r w:rsidRPr="0002008A">
        <w:rPr>
          <w:rFonts w:eastAsia="MS Mincho" w:cstheme="minorHAnsi"/>
          <w:i/>
          <w:lang w:bidi="en-US"/>
        </w:rPr>
        <w:t xml:space="preserve">Pennington v </w:t>
      </w:r>
      <w:proofErr w:type="spellStart"/>
      <w:r w:rsidRPr="0002008A">
        <w:rPr>
          <w:rFonts w:eastAsia="MS Mincho" w:cstheme="minorHAnsi"/>
          <w:i/>
          <w:lang w:bidi="en-US"/>
        </w:rPr>
        <w:t>Waine</w:t>
      </w:r>
      <w:proofErr w:type="spellEnd"/>
      <w:r w:rsidRPr="0002008A">
        <w:rPr>
          <w:rFonts w:eastAsia="MS Mincho" w:cstheme="minorHAnsi"/>
          <w:lang w:bidi="en-US"/>
        </w:rPr>
        <w:t xml:space="preserve"> [2002] 1WLR 2075</w:t>
      </w:r>
    </w:p>
    <w:p w14:paraId="204E7C74" w14:textId="4CE8F464" w:rsidR="0002008A" w:rsidRPr="0002008A" w:rsidRDefault="0002008A" w:rsidP="0002008A">
      <w:pPr>
        <w:pStyle w:val="ListParagraph"/>
        <w:numPr>
          <w:ilvl w:val="0"/>
          <w:numId w:val="8"/>
        </w:numPr>
        <w:spacing w:after="100" w:afterAutospacing="1" w:line="240" w:lineRule="auto"/>
        <w:jc w:val="both"/>
        <w:rPr>
          <w:rFonts w:cstheme="minorHAnsi"/>
        </w:rPr>
      </w:pPr>
      <w:r w:rsidRPr="0002008A">
        <w:rPr>
          <w:rFonts w:eastAsia="MS Mincho" w:cstheme="minorHAnsi"/>
          <w:i/>
          <w:lang w:bidi="en-US"/>
        </w:rPr>
        <w:t xml:space="preserve">T. </w:t>
      </w:r>
      <w:proofErr w:type="spellStart"/>
      <w:r w:rsidRPr="0002008A">
        <w:rPr>
          <w:rFonts w:eastAsia="MS Mincho" w:cstheme="minorHAnsi"/>
          <w:i/>
          <w:lang w:bidi="en-US"/>
        </w:rPr>
        <w:t>Choithram</w:t>
      </w:r>
      <w:proofErr w:type="spellEnd"/>
      <w:r w:rsidRPr="0002008A">
        <w:rPr>
          <w:rFonts w:eastAsia="MS Mincho" w:cstheme="minorHAnsi"/>
          <w:i/>
          <w:lang w:bidi="en-US"/>
        </w:rPr>
        <w:t xml:space="preserve"> International SA v </w:t>
      </w:r>
      <w:proofErr w:type="spellStart"/>
      <w:r w:rsidRPr="0002008A">
        <w:rPr>
          <w:rFonts w:eastAsia="MS Mincho" w:cstheme="minorHAnsi"/>
          <w:i/>
          <w:lang w:bidi="en-US"/>
        </w:rPr>
        <w:t>Pagarani</w:t>
      </w:r>
      <w:proofErr w:type="spellEnd"/>
      <w:r w:rsidRPr="0002008A">
        <w:rPr>
          <w:rFonts w:eastAsia="MS Mincho" w:cstheme="minorHAnsi"/>
          <w:lang w:bidi="en-US"/>
        </w:rPr>
        <w:t xml:space="preserve"> [2001] 1 WLR 1</w:t>
      </w:r>
    </w:p>
    <w:p w14:paraId="7F69A5A7" w14:textId="0E38A624" w:rsidR="00725D61" w:rsidRPr="0002008A" w:rsidRDefault="00725D61" w:rsidP="0073109B">
      <w:pPr>
        <w:pStyle w:val="ListParagraph"/>
        <w:numPr>
          <w:ilvl w:val="0"/>
          <w:numId w:val="8"/>
        </w:numPr>
        <w:spacing w:after="100" w:afterAutospacing="1" w:line="240" w:lineRule="auto"/>
        <w:jc w:val="both"/>
        <w:rPr>
          <w:rFonts w:cstheme="minorHAnsi"/>
        </w:rPr>
      </w:pPr>
      <w:r w:rsidRPr="0002008A">
        <w:rPr>
          <w:rFonts w:eastAsia="MS Mincho" w:cstheme="minorHAnsi"/>
          <w:i/>
          <w:lang w:bidi="en-US"/>
        </w:rPr>
        <w:t xml:space="preserve">Strong v Bird </w:t>
      </w:r>
      <w:r w:rsidRPr="0002008A">
        <w:rPr>
          <w:rFonts w:eastAsia="MS Mincho" w:cstheme="minorHAnsi"/>
          <w:lang w:bidi="en-US"/>
        </w:rPr>
        <w:t xml:space="preserve">(1874) LR 18 </w:t>
      </w:r>
      <w:proofErr w:type="spellStart"/>
      <w:r w:rsidRPr="0002008A">
        <w:rPr>
          <w:rFonts w:eastAsia="MS Mincho" w:cstheme="minorHAnsi"/>
          <w:lang w:bidi="en-US"/>
        </w:rPr>
        <w:t>Eq</w:t>
      </w:r>
      <w:proofErr w:type="spellEnd"/>
      <w:r w:rsidRPr="0002008A">
        <w:rPr>
          <w:rFonts w:eastAsia="MS Mincho" w:cstheme="minorHAnsi"/>
          <w:lang w:bidi="en-US"/>
        </w:rPr>
        <w:t xml:space="preserve"> 315</w:t>
      </w:r>
    </w:p>
    <w:p w14:paraId="2E4A5E77" w14:textId="60C230DC" w:rsidR="00725D61" w:rsidRPr="0002008A" w:rsidRDefault="00725D61" w:rsidP="0073109B">
      <w:pPr>
        <w:pStyle w:val="ListParagraph"/>
        <w:numPr>
          <w:ilvl w:val="0"/>
          <w:numId w:val="8"/>
        </w:numPr>
        <w:spacing w:after="100" w:afterAutospacing="1" w:line="240" w:lineRule="auto"/>
        <w:jc w:val="both"/>
        <w:rPr>
          <w:rFonts w:cstheme="minorHAnsi"/>
        </w:rPr>
      </w:pPr>
      <w:r w:rsidRPr="0002008A">
        <w:rPr>
          <w:rFonts w:cstheme="minorHAnsi"/>
          <w:i/>
        </w:rPr>
        <w:t>Sen v Headley</w:t>
      </w:r>
      <w:r w:rsidRPr="0002008A">
        <w:rPr>
          <w:rFonts w:cstheme="minorHAnsi"/>
        </w:rPr>
        <w:t xml:space="preserve"> [1991] 2 All ER 636</w:t>
      </w:r>
    </w:p>
    <w:p w14:paraId="14D94A28" w14:textId="77777777" w:rsidR="00725D61" w:rsidRPr="0073109B" w:rsidRDefault="00725D61" w:rsidP="0073109B">
      <w:pPr>
        <w:pStyle w:val="ListParagraph"/>
        <w:spacing w:after="100" w:afterAutospacing="1" w:line="240" w:lineRule="auto"/>
        <w:ind w:left="360"/>
        <w:jc w:val="both"/>
        <w:rPr>
          <w:rFonts w:cstheme="minorHAnsi"/>
        </w:rPr>
      </w:pPr>
    </w:p>
    <w:p w14:paraId="068895EF" w14:textId="77777777" w:rsidR="006C48D2" w:rsidRPr="0073109B" w:rsidRDefault="006C48D2" w:rsidP="0073109B">
      <w:pPr>
        <w:spacing w:after="100" w:afterAutospacing="1" w:line="240" w:lineRule="auto"/>
        <w:jc w:val="both"/>
        <w:rPr>
          <w:rFonts w:cstheme="minorHAnsi"/>
          <w:b/>
        </w:rPr>
      </w:pPr>
    </w:p>
    <w:p w14:paraId="40ECA1DB" w14:textId="77777777" w:rsidR="0015167A" w:rsidRPr="0073109B" w:rsidRDefault="0015167A" w:rsidP="0073109B">
      <w:pPr>
        <w:spacing w:after="100" w:afterAutospacing="1" w:line="240" w:lineRule="auto"/>
        <w:jc w:val="both"/>
        <w:rPr>
          <w:rFonts w:cstheme="minorHAnsi"/>
          <w:b/>
        </w:rPr>
      </w:pPr>
      <w:r w:rsidRPr="0073109B">
        <w:rPr>
          <w:rFonts w:cstheme="minorHAnsi"/>
          <w:b/>
        </w:rPr>
        <w:br w:type="page"/>
      </w:r>
    </w:p>
    <w:p w14:paraId="2619ED7C" w14:textId="454DEC5A" w:rsidR="0073109B" w:rsidRDefault="0073109B" w:rsidP="0073109B">
      <w:pPr>
        <w:pStyle w:val="ListParagraph"/>
        <w:numPr>
          <w:ilvl w:val="0"/>
          <w:numId w:val="3"/>
        </w:numPr>
        <w:spacing w:after="100" w:afterAutospacing="1" w:line="240" w:lineRule="auto"/>
        <w:jc w:val="both"/>
        <w:rPr>
          <w:rFonts w:cstheme="minorHAnsi"/>
          <w:b/>
        </w:rPr>
      </w:pPr>
      <w:r>
        <w:rPr>
          <w:rFonts w:cstheme="minorHAnsi"/>
          <w:b/>
        </w:rPr>
        <w:lastRenderedPageBreak/>
        <w:t>INTRODUCTION</w:t>
      </w:r>
    </w:p>
    <w:p w14:paraId="60A79189" w14:textId="77777777" w:rsidR="002D3B53" w:rsidRPr="002D3B53" w:rsidRDefault="002D3B53" w:rsidP="002D3B53">
      <w:pPr>
        <w:pStyle w:val="ListParagraph"/>
        <w:spacing w:after="100" w:afterAutospacing="1" w:line="240" w:lineRule="auto"/>
        <w:ind w:left="360"/>
        <w:jc w:val="both"/>
        <w:rPr>
          <w:rFonts w:cstheme="minorHAnsi"/>
          <w:b/>
        </w:rPr>
      </w:pPr>
    </w:p>
    <w:p w14:paraId="1F2B3373" w14:textId="42A4CD0A" w:rsidR="00F76033" w:rsidRPr="0073109B" w:rsidRDefault="0073109B" w:rsidP="0073109B">
      <w:pPr>
        <w:pStyle w:val="ListParagraph"/>
        <w:numPr>
          <w:ilvl w:val="0"/>
          <w:numId w:val="43"/>
        </w:numPr>
        <w:spacing w:after="100" w:afterAutospacing="1" w:line="240" w:lineRule="auto"/>
        <w:jc w:val="both"/>
        <w:rPr>
          <w:rFonts w:eastAsia="MS Mincho" w:cstheme="minorHAnsi"/>
          <w:b/>
          <w:bCs/>
          <w:lang w:bidi="en-US"/>
        </w:rPr>
      </w:pPr>
      <w:r w:rsidRPr="0073109B">
        <w:rPr>
          <w:rFonts w:eastAsia="MS Mincho" w:cstheme="minorHAnsi"/>
          <w:b/>
          <w:bCs/>
          <w:lang w:bidi="en-US"/>
        </w:rPr>
        <w:t>The Constitution of Trusts</w:t>
      </w:r>
    </w:p>
    <w:p w14:paraId="54F35FE4" w14:textId="56BEA702" w:rsidR="00F76033" w:rsidRPr="0073109B" w:rsidRDefault="00F76033" w:rsidP="0002008A">
      <w:pPr>
        <w:spacing w:after="100" w:afterAutospacing="1" w:line="240" w:lineRule="auto"/>
        <w:jc w:val="both"/>
        <w:rPr>
          <w:rFonts w:eastAsia="MS Mincho" w:cstheme="minorHAnsi"/>
          <w:lang w:bidi="en-US"/>
        </w:rPr>
      </w:pPr>
      <w:r w:rsidRPr="0073109B">
        <w:rPr>
          <w:rFonts w:eastAsia="MS Mincho" w:cstheme="minorHAnsi"/>
          <w:lang w:bidi="en-US"/>
        </w:rPr>
        <w:t xml:space="preserve">Trust property must be transferred to </w:t>
      </w:r>
      <w:r w:rsidR="00B44AE2" w:rsidRPr="0073109B">
        <w:rPr>
          <w:rFonts w:eastAsia="MS Mincho" w:cstheme="minorHAnsi"/>
          <w:lang w:bidi="en-US"/>
        </w:rPr>
        <w:t xml:space="preserve">the intended </w:t>
      </w:r>
      <w:r w:rsidRPr="0073109B">
        <w:rPr>
          <w:rFonts w:eastAsia="MS Mincho" w:cstheme="minorHAnsi"/>
          <w:lang w:bidi="en-US"/>
        </w:rPr>
        <w:t xml:space="preserve">trustees for a fully enforceable trust to be created. </w:t>
      </w:r>
      <w:r w:rsidR="005512FA">
        <w:rPr>
          <w:rFonts w:eastAsia="MS Mincho" w:cstheme="minorHAnsi"/>
          <w:lang w:bidi="en-US"/>
        </w:rPr>
        <w:t xml:space="preserve">In other words, the trust must be constituted. </w:t>
      </w:r>
      <w:r w:rsidRPr="0073109B">
        <w:rPr>
          <w:rFonts w:eastAsia="MS Mincho" w:cstheme="minorHAnsi"/>
          <w:lang w:bidi="en-US"/>
        </w:rPr>
        <w:t xml:space="preserve">If trusts were enforceable without this step, trustees would find themselves under a duty to deal with trust property without having legal control over it. </w:t>
      </w:r>
      <w:r w:rsidR="00C3154F">
        <w:rPr>
          <w:rFonts w:eastAsia="MS Mincho" w:cstheme="minorHAnsi"/>
          <w:lang w:bidi="en-US"/>
        </w:rPr>
        <w:t>Therefore</w:t>
      </w:r>
      <w:r w:rsidR="005512FA">
        <w:rPr>
          <w:rFonts w:eastAsia="MS Mincho" w:cstheme="minorHAnsi"/>
          <w:lang w:bidi="en-US"/>
        </w:rPr>
        <w:t xml:space="preserve">, as a general rule, </w:t>
      </w:r>
      <w:proofErr w:type="spellStart"/>
      <w:r w:rsidR="00A536EC">
        <w:rPr>
          <w:rFonts w:eastAsia="MS Mincho" w:cstheme="minorHAnsi"/>
          <w:lang w:bidi="en-US"/>
        </w:rPr>
        <w:t>un</w:t>
      </w:r>
      <w:r w:rsidR="005512FA">
        <w:rPr>
          <w:rFonts w:eastAsia="MS Mincho" w:cstheme="minorHAnsi"/>
          <w:lang w:bidi="en-US"/>
        </w:rPr>
        <w:t>constituted</w:t>
      </w:r>
      <w:proofErr w:type="spellEnd"/>
      <w:r w:rsidR="005512FA">
        <w:rPr>
          <w:rFonts w:eastAsia="MS Mincho" w:cstheme="minorHAnsi"/>
          <w:lang w:bidi="en-US"/>
        </w:rPr>
        <w:t xml:space="preserve"> trusts have no legal effect.</w:t>
      </w:r>
    </w:p>
    <w:p w14:paraId="38AC4A0B" w14:textId="6B19DADB" w:rsidR="00F76033" w:rsidRPr="0073109B" w:rsidRDefault="00C3154F" w:rsidP="0002008A">
      <w:pPr>
        <w:spacing w:after="100" w:afterAutospacing="1" w:line="240" w:lineRule="auto"/>
        <w:jc w:val="both"/>
        <w:rPr>
          <w:rFonts w:eastAsia="MS Mincho" w:cstheme="minorHAnsi"/>
          <w:lang w:bidi="en-US"/>
        </w:rPr>
      </w:pPr>
      <w:r>
        <w:rPr>
          <w:rFonts w:eastAsia="MS Mincho" w:cstheme="minorHAnsi"/>
          <w:lang w:bidi="en-US"/>
        </w:rPr>
        <w:t xml:space="preserve"> </w:t>
      </w:r>
      <w:r w:rsidR="00F76033" w:rsidRPr="0073109B">
        <w:rPr>
          <w:rFonts w:eastAsia="MS Mincho" w:cstheme="minorHAnsi"/>
          <w:lang w:bidi="en-US"/>
        </w:rPr>
        <w:t xml:space="preserve">Where the settlor and trustee are different persons, constitution refers to the formal process by which the property is transferred </w:t>
      </w:r>
      <w:r w:rsidR="00A32B1C" w:rsidRPr="0073109B">
        <w:rPr>
          <w:rFonts w:eastAsia="MS Mincho" w:cstheme="minorHAnsi"/>
          <w:lang w:bidi="en-US"/>
        </w:rPr>
        <w:t xml:space="preserve">from the settlor </w:t>
      </w:r>
      <w:r w:rsidR="00F76033" w:rsidRPr="0073109B">
        <w:rPr>
          <w:rFonts w:eastAsia="MS Mincho" w:cstheme="minorHAnsi"/>
          <w:lang w:bidi="en-US"/>
        </w:rPr>
        <w:t xml:space="preserve">to the trustee. In practice this is the same as for transferring the property without a trust, i.e., under contract or as an outright gift. What </w:t>
      </w:r>
      <w:r w:rsidR="00382673" w:rsidRPr="0073109B">
        <w:rPr>
          <w:rFonts w:eastAsia="MS Mincho" w:cstheme="minorHAnsi"/>
          <w:lang w:bidi="en-US"/>
        </w:rPr>
        <w:t>counts as</w:t>
      </w:r>
      <w:r w:rsidR="00F76033" w:rsidRPr="0073109B">
        <w:rPr>
          <w:rFonts w:eastAsia="MS Mincho" w:cstheme="minorHAnsi"/>
          <w:lang w:bidi="en-US"/>
        </w:rPr>
        <w:t xml:space="preserve"> complete constitution therefore depends on the property in question, as different formality requirements apply to different kinds of property. Take care not to confuse these with the formality requirements relating to the creation of a trust. For example, one can create a trust over shares in a private company by </w:t>
      </w:r>
      <w:proofErr w:type="spellStart"/>
      <w:r w:rsidR="00F76033" w:rsidRPr="0073109B">
        <w:rPr>
          <w:rFonts w:eastAsia="MS Mincho" w:cstheme="minorHAnsi"/>
          <w:lang w:bidi="en-US"/>
        </w:rPr>
        <w:t>parol</w:t>
      </w:r>
      <w:proofErr w:type="spellEnd"/>
      <w:r w:rsidR="00620BB0" w:rsidRPr="0073109B">
        <w:rPr>
          <w:rFonts w:eastAsia="MS Mincho" w:cstheme="minorHAnsi"/>
          <w:lang w:bidi="en-US"/>
        </w:rPr>
        <w:t xml:space="preserve"> (orally)</w:t>
      </w:r>
      <w:r w:rsidR="00F76033" w:rsidRPr="0073109B">
        <w:rPr>
          <w:rFonts w:eastAsia="MS Mincho" w:cstheme="minorHAnsi"/>
          <w:lang w:bidi="en-US"/>
        </w:rPr>
        <w:t xml:space="preserve">, but the transfer of </w:t>
      </w:r>
      <w:r w:rsidR="00124CCB" w:rsidRPr="0073109B">
        <w:rPr>
          <w:rFonts w:eastAsia="MS Mincho" w:cstheme="minorHAnsi"/>
          <w:lang w:bidi="en-US"/>
        </w:rPr>
        <w:t xml:space="preserve">the </w:t>
      </w:r>
      <w:r w:rsidR="00F76033" w:rsidRPr="0073109B">
        <w:rPr>
          <w:rFonts w:eastAsia="MS Mincho" w:cstheme="minorHAnsi"/>
          <w:lang w:bidi="en-US"/>
        </w:rPr>
        <w:t xml:space="preserve">shares to </w:t>
      </w:r>
      <w:r w:rsidR="00124CCB" w:rsidRPr="0073109B">
        <w:rPr>
          <w:rFonts w:eastAsia="MS Mincho" w:cstheme="minorHAnsi"/>
          <w:lang w:bidi="en-US"/>
        </w:rPr>
        <w:t xml:space="preserve">the </w:t>
      </w:r>
      <w:r w:rsidR="00F76033" w:rsidRPr="0073109B">
        <w:rPr>
          <w:rFonts w:eastAsia="MS Mincho" w:cstheme="minorHAnsi"/>
          <w:lang w:bidi="en-US"/>
        </w:rPr>
        <w:t xml:space="preserve">trustees has to comply with the relevant statutory requirements in the Stock Transfer Act 1963 and the Companies Act 2006.   </w:t>
      </w:r>
    </w:p>
    <w:p w14:paraId="44A14B48" w14:textId="372F5566" w:rsidR="00F76033" w:rsidRPr="0073109B" w:rsidRDefault="00F76033" w:rsidP="0002008A">
      <w:pPr>
        <w:spacing w:after="100" w:afterAutospacing="1" w:line="240" w:lineRule="auto"/>
        <w:jc w:val="both"/>
        <w:rPr>
          <w:rFonts w:eastAsia="MS Mincho" w:cstheme="minorHAnsi"/>
          <w:lang w:bidi="en-US"/>
        </w:rPr>
      </w:pPr>
      <w:r w:rsidRPr="0073109B">
        <w:rPr>
          <w:rFonts w:eastAsia="MS Mincho" w:cstheme="minorHAnsi"/>
          <w:lang w:bidi="en-US"/>
        </w:rPr>
        <w:t xml:space="preserve">Where a settlor declares himself trustee, the constitution requirement is satisfied </w:t>
      </w:r>
      <w:r w:rsidR="005512FA">
        <w:rPr>
          <w:rFonts w:eastAsia="MS Mincho" w:cstheme="minorHAnsi"/>
          <w:lang w:bidi="en-US"/>
        </w:rPr>
        <w:t>by</w:t>
      </w:r>
      <w:r w:rsidRPr="0073109B">
        <w:rPr>
          <w:rFonts w:eastAsia="MS Mincho" w:cstheme="minorHAnsi"/>
          <w:lang w:bidi="en-US"/>
        </w:rPr>
        <w:t xml:space="preserve"> the declaration of trust, as the </w:t>
      </w:r>
      <w:r w:rsidR="009569FF" w:rsidRPr="0073109B">
        <w:rPr>
          <w:rFonts w:eastAsia="MS Mincho" w:cstheme="minorHAnsi"/>
          <w:lang w:bidi="en-US"/>
        </w:rPr>
        <w:t xml:space="preserve">trust </w:t>
      </w:r>
      <w:r w:rsidRPr="0073109B">
        <w:rPr>
          <w:rFonts w:eastAsia="MS Mincho" w:cstheme="minorHAnsi"/>
          <w:lang w:bidi="en-US"/>
        </w:rPr>
        <w:t>property does not need to</w:t>
      </w:r>
      <w:r w:rsidR="009569FF" w:rsidRPr="0073109B">
        <w:rPr>
          <w:rFonts w:eastAsia="MS Mincho" w:cstheme="minorHAnsi"/>
          <w:lang w:bidi="en-US"/>
        </w:rPr>
        <w:t xml:space="preserve"> be transferred from the settlor to a trustee.</w:t>
      </w:r>
      <w:r w:rsidRPr="0073109B">
        <w:rPr>
          <w:rFonts w:eastAsia="MS Mincho" w:cstheme="minorHAnsi"/>
          <w:lang w:bidi="en-US"/>
        </w:rPr>
        <w:t xml:space="preserve"> </w:t>
      </w:r>
      <w:r w:rsidR="005512FA">
        <w:rPr>
          <w:rFonts w:eastAsia="MS Mincho" w:cstheme="minorHAnsi"/>
          <w:lang w:bidi="en-US"/>
        </w:rPr>
        <w:t>Note also that t</w:t>
      </w:r>
      <w:r w:rsidRPr="0073109B">
        <w:rPr>
          <w:rFonts w:eastAsia="MS Mincho" w:cstheme="minorHAnsi"/>
          <w:lang w:bidi="en-US"/>
        </w:rPr>
        <w:t>rusts created under a will are fully constituted on the death of the testator.</w:t>
      </w:r>
    </w:p>
    <w:p w14:paraId="7AD1E756" w14:textId="0A4E8ACF" w:rsidR="00F76033" w:rsidRPr="0073109B" w:rsidRDefault="007544F0" w:rsidP="0002008A">
      <w:pPr>
        <w:spacing w:after="100" w:afterAutospacing="1" w:line="240" w:lineRule="auto"/>
        <w:jc w:val="both"/>
        <w:rPr>
          <w:rFonts w:eastAsia="MS Mincho" w:cstheme="minorHAnsi"/>
          <w:lang w:bidi="en-US"/>
        </w:rPr>
      </w:pPr>
      <w:r w:rsidRPr="0073109B">
        <w:rPr>
          <w:rFonts w:eastAsia="MS Mincho" w:cstheme="minorHAnsi"/>
          <w:lang w:bidi="en-US"/>
        </w:rPr>
        <w:t xml:space="preserve">The problems </w:t>
      </w:r>
      <w:r w:rsidR="00D15CC6" w:rsidRPr="0073109B">
        <w:rPr>
          <w:rFonts w:eastAsia="MS Mincho" w:cstheme="minorHAnsi"/>
          <w:lang w:bidi="en-US"/>
        </w:rPr>
        <w:t>with constitution</w:t>
      </w:r>
      <w:r w:rsidRPr="0073109B">
        <w:rPr>
          <w:rFonts w:eastAsia="MS Mincho" w:cstheme="minorHAnsi"/>
          <w:lang w:bidi="en-US"/>
        </w:rPr>
        <w:t xml:space="preserve"> </w:t>
      </w:r>
      <w:r w:rsidR="005512FA">
        <w:rPr>
          <w:rFonts w:eastAsia="MS Mincho" w:cstheme="minorHAnsi"/>
          <w:lang w:bidi="en-US"/>
        </w:rPr>
        <w:t xml:space="preserve">tend to </w:t>
      </w:r>
      <w:r w:rsidRPr="0073109B">
        <w:rPr>
          <w:rFonts w:eastAsia="MS Mincho" w:cstheme="minorHAnsi"/>
          <w:lang w:bidi="en-US"/>
        </w:rPr>
        <w:t xml:space="preserve">arise when a trust obligation has clearly been intended, but the transfer of legal title </w:t>
      </w:r>
      <w:r w:rsidR="00124CCB" w:rsidRPr="0073109B">
        <w:rPr>
          <w:rFonts w:eastAsia="MS Mincho" w:cstheme="minorHAnsi"/>
          <w:lang w:bidi="en-US"/>
        </w:rPr>
        <w:t xml:space="preserve">to the property </w:t>
      </w:r>
      <w:r w:rsidRPr="0073109B">
        <w:rPr>
          <w:rFonts w:eastAsia="MS Mincho" w:cstheme="minorHAnsi"/>
          <w:lang w:bidi="en-US"/>
        </w:rPr>
        <w:t>fails for some reason, such as the settlor’s inadvertence</w:t>
      </w:r>
      <w:r w:rsidR="002D3B53">
        <w:rPr>
          <w:rFonts w:eastAsia="MS Mincho" w:cstheme="minorHAnsi"/>
          <w:lang w:bidi="en-US"/>
        </w:rPr>
        <w:t>.</w:t>
      </w:r>
      <w:r w:rsidRPr="0073109B">
        <w:rPr>
          <w:rFonts w:eastAsia="MS Mincho" w:cstheme="minorHAnsi"/>
          <w:lang w:bidi="en-US"/>
        </w:rPr>
        <w:t xml:space="preserve"> The property does not reach the intended trustee, and the question is whether the law should complete the transfer, thereby enforcing the </w:t>
      </w:r>
      <w:r w:rsidR="00A32B1C" w:rsidRPr="0073109B">
        <w:rPr>
          <w:rFonts w:eastAsia="MS Mincho" w:cstheme="minorHAnsi"/>
          <w:lang w:bidi="en-US"/>
        </w:rPr>
        <w:t xml:space="preserve">intended </w:t>
      </w:r>
      <w:r w:rsidRPr="0073109B">
        <w:rPr>
          <w:rFonts w:eastAsia="MS Mincho" w:cstheme="minorHAnsi"/>
          <w:lang w:bidi="en-US"/>
        </w:rPr>
        <w:t>trust.</w:t>
      </w:r>
    </w:p>
    <w:p w14:paraId="31673517" w14:textId="7702BFB7" w:rsidR="0027290A" w:rsidRPr="0073109B" w:rsidRDefault="5D2C18BA" w:rsidP="0002008A">
      <w:pPr>
        <w:spacing w:after="100" w:afterAutospacing="1" w:line="240" w:lineRule="auto"/>
        <w:jc w:val="both"/>
        <w:rPr>
          <w:rFonts w:cstheme="minorHAnsi"/>
          <w:lang w:eastAsia="en-GB" w:bidi="en-US"/>
        </w:rPr>
      </w:pPr>
      <w:r w:rsidRPr="0073109B">
        <w:rPr>
          <w:rFonts w:eastAsia="MS Mincho" w:cstheme="minorHAnsi"/>
          <w:lang w:bidi="en-US"/>
        </w:rPr>
        <w:t xml:space="preserve">The law in this area developed from the treatment of imperfect outright gifts, and </w:t>
      </w:r>
      <w:r w:rsidR="0073109B">
        <w:rPr>
          <w:rFonts w:eastAsia="MS Mincho" w:cstheme="minorHAnsi"/>
          <w:lang w:bidi="en-US"/>
        </w:rPr>
        <w:t xml:space="preserve">many </w:t>
      </w:r>
      <w:r w:rsidRPr="0073109B">
        <w:rPr>
          <w:rFonts w:eastAsia="MS Mincho" w:cstheme="minorHAnsi"/>
          <w:lang w:bidi="en-US"/>
        </w:rPr>
        <w:t>of the cases we will cover concern outright gifts rather than trusts. Recall that an outright gift needs intention, delivery (including any formalities req</w:t>
      </w:r>
      <w:r w:rsidR="00EC488A" w:rsidRPr="0073109B">
        <w:rPr>
          <w:rFonts w:eastAsia="MS Mincho" w:cstheme="minorHAnsi"/>
          <w:lang w:bidi="en-US"/>
        </w:rPr>
        <w:t>uired for the giving of a gift)</w:t>
      </w:r>
      <w:r w:rsidRPr="0073109B">
        <w:rPr>
          <w:rFonts w:eastAsia="MS Mincho" w:cstheme="minorHAnsi"/>
          <w:lang w:bidi="en-US"/>
        </w:rPr>
        <w:t xml:space="preserve"> a</w:t>
      </w:r>
      <w:r w:rsidR="00EC488A" w:rsidRPr="0073109B">
        <w:rPr>
          <w:rFonts w:eastAsia="MS Mincho" w:cstheme="minorHAnsi"/>
          <w:lang w:bidi="en-US"/>
        </w:rPr>
        <w:t xml:space="preserve">nd acceptance. </w:t>
      </w:r>
      <w:r w:rsidRPr="0073109B">
        <w:rPr>
          <w:rFonts w:cstheme="minorHAnsi"/>
          <w:lang w:eastAsia="en-GB" w:bidi="en-US"/>
        </w:rPr>
        <w:t xml:space="preserve">If a donor makes a promise to give a gift to a </w:t>
      </w:r>
      <w:proofErr w:type="spellStart"/>
      <w:r w:rsidRPr="0073109B">
        <w:rPr>
          <w:rFonts w:cstheme="minorHAnsi"/>
          <w:lang w:eastAsia="en-GB" w:bidi="en-US"/>
        </w:rPr>
        <w:t>donee</w:t>
      </w:r>
      <w:proofErr w:type="spellEnd"/>
      <w:r w:rsidRPr="0073109B">
        <w:rPr>
          <w:rFonts w:cstheme="minorHAnsi"/>
          <w:lang w:eastAsia="en-GB" w:bidi="en-US"/>
        </w:rPr>
        <w:t xml:space="preserve">, this is a gratuitous promise unless </w:t>
      </w:r>
      <w:r w:rsidR="00D15CC6" w:rsidRPr="0073109B">
        <w:rPr>
          <w:rFonts w:cstheme="minorHAnsi"/>
          <w:lang w:eastAsia="en-GB" w:bidi="en-US"/>
        </w:rPr>
        <w:t>consideration has been supplied</w:t>
      </w:r>
      <w:r w:rsidRPr="0073109B">
        <w:rPr>
          <w:rFonts w:cstheme="minorHAnsi"/>
          <w:lang w:eastAsia="en-GB" w:bidi="en-US"/>
        </w:rPr>
        <w:t xml:space="preserve"> and therefore only fulfils the intention requirement. On its own, it is not enough for a court to compel the donor to transfer the property to the </w:t>
      </w:r>
      <w:proofErr w:type="spellStart"/>
      <w:r w:rsidRPr="0073109B">
        <w:rPr>
          <w:rFonts w:cstheme="minorHAnsi"/>
          <w:lang w:eastAsia="en-GB" w:bidi="en-US"/>
        </w:rPr>
        <w:t>donee</w:t>
      </w:r>
      <w:proofErr w:type="spellEnd"/>
      <w:r w:rsidRPr="0073109B">
        <w:rPr>
          <w:rFonts w:cstheme="minorHAnsi"/>
          <w:lang w:eastAsia="en-GB" w:bidi="en-US"/>
        </w:rPr>
        <w:t xml:space="preserve">. Conversely, no consideration is required for an outright gift to be legally valid where all the steps have been completed. </w:t>
      </w:r>
    </w:p>
    <w:p w14:paraId="45DB11A6" w14:textId="17C636C8" w:rsidR="00B44AE2" w:rsidRPr="0073109B" w:rsidRDefault="00B44AE2" w:rsidP="0002008A">
      <w:pPr>
        <w:spacing w:after="100" w:afterAutospacing="1" w:line="240" w:lineRule="auto"/>
        <w:jc w:val="both"/>
        <w:rPr>
          <w:rFonts w:cstheme="minorHAnsi"/>
          <w:lang w:eastAsia="en-GB" w:bidi="en-US"/>
        </w:rPr>
      </w:pPr>
      <w:r w:rsidRPr="0073109B">
        <w:rPr>
          <w:rFonts w:cstheme="minorHAnsi"/>
          <w:lang w:eastAsia="en-GB" w:bidi="en-US"/>
        </w:rPr>
        <w:t xml:space="preserve">Equity traditionally respected this distinction. A </w:t>
      </w:r>
      <w:proofErr w:type="spellStart"/>
      <w:r w:rsidRPr="0073109B">
        <w:rPr>
          <w:rFonts w:cstheme="minorHAnsi"/>
          <w:lang w:eastAsia="en-GB" w:bidi="en-US"/>
        </w:rPr>
        <w:t>donee</w:t>
      </w:r>
      <w:proofErr w:type="spellEnd"/>
      <w:r w:rsidRPr="0073109B">
        <w:rPr>
          <w:rFonts w:cstheme="minorHAnsi"/>
          <w:lang w:eastAsia="en-GB" w:bidi="en-US"/>
        </w:rPr>
        <w:t xml:space="preserve"> could only enforce the promise by a donor to give him something if the </w:t>
      </w:r>
      <w:proofErr w:type="spellStart"/>
      <w:r w:rsidRPr="0073109B">
        <w:rPr>
          <w:rFonts w:cstheme="minorHAnsi"/>
          <w:lang w:eastAsia="en-GB" w:bidi="en-US"/>
        </w:rPr>
        <w:t>donee</w:t>
      </w:r>
      <w:proofErr w:type="spellEnd"/>
      <w:r w:rsidRPr="0073109B">
        <w:rPr>
          <w:rFonts w:cstheme="minorHAnsi"/>
          <w:lang w:eastAsia="en-GB" w:bidi="en-US"/>
        </w:rPr>
        <w:t xml:space="preserve"> had given consideration. The </w:t>
      </w:r>
      <w:proofErr w:type="spellStart"/>
      <w:r w:rsidRPr="0073109B">
        <w:rPr>
          <w:rFonts w:cstheme="minorHAnsi"/>
          <w:lang w:eastAsia="en-GB" w:bidi="en-US"/>
        </w:rPr>
        <w:t>donee</w:t>
      </w:r>
      <w:proofErr w:type="spellEnd"/>
      <w:r w:rsidRPr="0073109B">
        <w:rPr>
          <w:rFonts w:cstheme="minorHAnsi"/>
          <w:lang w:eastAsia="en-GB" w:bidi="en-US"/>
        </w:rPr>
        <w:t xml:space="preserve"> might assert that an imperfect gift should be completed by a court of equity (meaning the donor should be compelled to transfer the property to the </w:t>
      </w:r>
      <w:proofErr w:type="spellStart"/>
      <w:r w:rsidRPr="0073109B">
        <w:rPr>
          <w:rFonts w:cstheme="minorHAnsi"/>
          <w:lang w:eastAsia="en-GB" w:bidi="en-US"/>
        </w:rPr>
        <w:t>donee</w:t>
      </w:r>
      <w:proofErr w:type="spellEnd"/>
      <w:r w:rsidRPr="0073109B">
        <w:rPr>
          <w:rFonts w:cstheme="minorHAnsi"/>
          <w:lang w:eastAsia="en-GB" w:bidi="en-US"/>
        </w:rPr>
        <w:t xml:space="preserve">) on the basis that it would be inequitable for the donor not to complete the transfer, but this </w:t>
      </w:r>
      <w:r w:rsidR="00124CCB" w:rsidRPr="0073109B">
        <w:rPr>
          <w:rFonts w:cstheme="minorHAnsi"/>
          <w:lang w:eastAsia="en-GB" w:bidi="en-US"/>
        </w:rPr>
        <w:t>was not</w:t>
      </w:r>
      <w:r w:rsidRPr="0073109B">
        <w:rPr>
          <w:rFonts w:cstheme="minorHAnsi"/>
          <w:lang w:eastAsia="en-GB" w:bidi="en-US"/>
        </w:rPr>
        <w:t xml:space="preserve"> accepted by </w:t>
      </w:r>
      <w:r w:rsidR="00124CCB" w:rsidRPr="0073109B">
        <w:rPr>
          <w:rFonts w:cstheme="minorHAnsi"/>
          <w:lang w:eastAsia="en-GB" w:bidi="en-US"/>
        </w:rPr>
        <w:t xml:space="preserve">the </w:t>
      </w:r>
      <w:r w:rsidRPr="0073109B">
        <w:rPr>
          <w:rFonts w:cstheme="minorHAnsi"/>
          <w:lang w:eastAsia="en-GB" w:bidi="en-US"/>
        </w:rPr>
        <w:t xml:space="preserve">courts. In this respect, equity </w:t>
      </w:r>
      <w:r w:rsidR="00D15CC6" w:rsidRPr="0073109B">
        <w:rPr>
          <w:rFonts w:cstheme="minorHAnsi"/>
          <w:lang w:eastAsia="en-GB" w:bidi="en-US"/>
        </w:rPr>
        <w:t xml:space="preserve">really did </w:t>
      </w:r>
      <w:r w:rsidRPr="0073109B">
        <w:rPr>
          <w:rFonts w:cstheme="minorHAnsi"/>
          <w:lang w:eastAsia="en-GB" w:bidi="en-US"/>
        </w:rPr>
        <w:t>follow</w:t>
      </w:r>
      <w:r w:rsidR="00D15CC6" w:rsidRPr="0073109B">
        <w:rPr>
          <w:rFonts w:cstheme="minorHAnsi"/>
          <w:lang w:eastAsia="en-GB" w:bidi="en-US"/>
        </w:rPr>
        <w:t xml:space="preserve"> the law.</w:t>
      </w:r>
      <w:r w:rsidRPr="0073109B">
        <w:rPr>
          <w:rFonts w:cstheme="minorHAnsi"/>
          <w:lang w:eastAsia="en-GB" w:bidi="en-US"/>
        </w:rPr>
        <w:t xml:space="preserve"> </w:t>
      </w:r>
      <w:r w:rsidRPr="0073109B">
        <w:rPr>
          <w:rFonts w:cstheme="minorHAnsi"/>
        </w:rPr>
        <w:t xml:space="preserve">From this background, two related equitable </w:t>
      </w:r>
      <w:r w:rsidR="00124CCB" w:rsidRPr="0073109B">
        <w:rPr>
          <w:rFonts w:cstheme="minorHAnsi"/>
        </w:rPr>
        <w:t xml:space="preserve">maxims </w:t>
      </w:r>
      <w:r w:rsidRPr="0073109B">
        <w:rPr>
          <w:rFonts w:cstheme="minorHAnsi"/>
        </w:rPr>
        <w:t>ar</w:t>
      </w:r>
      <w:r w:rsidR="00124CCB" w:rsidRPr="0073109B">
        <w:rPr>
          <w:rFonts w:cstheme="minorHAnsi"/>
        </w:rPr>
        <w:t>o</w:t>
      </w:r>
      <w:r w:rsidRPr="0073109B">
        <w:rPr>
          <w:rFonts w:cstheme="minorHAnsi"/>
        </w:rPr>
        <w:t xml:space="preserve">se: </w:t>
      </w:r>
    </w:p>
    <w:p w14:paraId="0040FA2E" w14:textId="7533B11F" w:rsidR="00B44AE2" w:rsidRPr="0073109B" w:rsidRDefault="00124CCB" w:rsidP="0002008A">
      <w:pPr>
        <w:pStyle w:val="ListParagraph"/>
        <w:numPr>
          <w:ilvl w:val="0"/>
          <w:numId w:val="42"/>
        </w:numPr>
        <w:spacing w:after="100" w:afterAutospacing="1" w:line="240" w:lineRule="auto"/>
        <w:jc w:val="both"/>
        <w:rPr>
          <w:rFonts w:cstheme="minorHAnsi"/>
        </w:rPr>
      </w:pPr>
      <w:r w:rsidRPr="0073109B">
        <w:rPr>
          <w:rFonts w:cstheme="minorHAnsi"/>
        </w:rPr>
        <w:t>‘</w:t>
      </w:r>
      <w:r w:rsidR="00B44AE2" w:rsidRPr="0073109B">
        <w:rPr>
          <w:rFonts w:cstheme="minorHAnsi"/>
        </w:rPr>
        <w:t>Equity will not assist a volunteer</w:t>
      </w:r>
      <w:r w:rsidRPr="0073109B">
        <w:rPr>
          <w:rFonts w:cstheme="minorHAnsi"/>
        </w:rPr>
        <w:t>.’</w:t>
      </w:r>
      <w:r w:rsidR="00B44AE2" w:rsidRPr="0073109B">
        <w:rPr>
          <w:rFonts w:cstheme="minorHAnsi"/>
        </w:rPr>
        <w:t xml:space="preserve"> </w:t>
      </w:r>
    </w:p>
    <w:p w14:paraId="69AECB28" w14:textId="74BF60DF" w:rsidR="00B44AE2" w:rsidRPr="0073109B" w:rsidRDefault="00124CCB" w:rsidP="0002008A">
      <w:pPr>
        <w:pStyle w:val="ListParagraph"/>
        <w:numPr>
          <w:ilvl w:val="0"/>
          <w:numId w:val="42"/>
        </w:numPr>
        <w:spacing w:after="100" w:afterAutospacing="1" w:line="240" w:lineRule="auto"/>
        <w:jc w:val="both"/>
        <w:rPr>
          <w:rFonts w:cstheme="minorHAnsi"/>
        </w:rPr>
      </w:pPr>
      <w:r w:rsidRPr="0073109B">
        <w:rPr>
          <w:rFonts w:cstheme="minorHAnsi"/>
        </w:rPr>
        <w:t>‘</w:t>
      </w:r>
      <w:r w:rsidR="00B44AE2" w:rsidRPr="0073109B">
        <w:rPr>
          <w:rFonts w:cstheme="minorHAnsi"/>
        </w:rPr>
        <w:t>Equity will not perfect an imperfect gift</w:t>
      </w:r>
      <w:r w:rsidRPr="0073109B">
        <w:rPr>
          <w:rFonts w:cstheme="minorHAnsi"/>
        </w:rPr>
        <w:t>.’</w:t>
      </w:r>
    </w:p>
    <w:p w14:paraId="402FDD00" w14:textId="1D2C4786" w:rsidR="009569FF" w:rsidRPr="0073109B" w:rsidRDefault="009569FF" w:rsidP="0002008A">
      <w:pPr>
        <w:spacing w:after="100" w:afterAutospacing="1" w:line="240" w:lineRule="auto"/>
        <w:jc w:val="both"/>
        <w:rPr>
          <w:rFonts w:cstheme="minorHAnsi"/>
        </w:rPr>
      </w:pPr>
      <w:r w:rsidRPr="0073109B">
        <w:rPr>
          <w:rFonts w:cstheme="minorHAnsi"/>
        </w:rPr>
        <w:t xml:space="preserve">A volunteer, in the legal sense, is a recipient of property who has not provided consideration in exchange for that property. In other words, a volunteer is the recipient of a gift. The common law, as a general rule, will not enforce a gift; a promise unsupported by consideration is thus unenforceable. Accordingly, if X promises to give certain property to Y, but legal title is not transferred effectively, Y, as a volunteer, will not be able to enforce the promise or claim the property.  The maxim, ‘equity will not assist a volunteer’ </w:t>
      </w:r>
      <w:proofErr w:type="gramStart"/>
      <w:r w:rsidRPr="0073109B">
        <w:rPr>
          <w:rFonts w:cstheme="minorHAnsi"/>
        </w:rPr>
        <w:t>is a reflection of</w:t>
      </w:r>
      <w:proofErr w:type="gramEnd"/>
      <w:r w:rsidRPr="0073109B">
        <w:rPr>
          <w:rFonts w:cstheme="minorHAnsi"/>
        </w:rPr>
        <w:t xml:space="preserve"> the rule that, just like the common law, equity will not enforce </w:t>
      </w:r>
      <w:r w:rsidRPr="0073109B">
        <w:rPr>
          <w:rFonts w:cstheme="minorHAnsi"/>
        </w:rPr>
        <w:lastRenderedPageBreak/>
        <w:t xml:space="preserve">gifts either. Therefore, as a general rule, Y (in the aforementioned scenario) would not be able to claim equitable title to the property. Note that if legal title to the property </w:t>
      </w:r>
      <w:r w:rsidRPr="0073109B">
        <w:rPr>
          <w:rFonts w:cstheme="minorHAnsi"/>
          <w:i/>
        </w:rPr>
        <w:t xml:space="preserve">is </w:t>
      </w:r>
      <w:r w:rsidRPr="0073109B">
        <w:rPr>
          <w:rFonts w:cstheme="minorHAnsi"/>
        </w:rPr>
        <w:t xml:space="preserve">transferred effectively to Y, then Y becomes the owner of that property. In such circumstances, Y does not require equity’s assistance. </w:t>
      </w:r>
    </w:p>
    <w:p w14:paraId="7E315AF3" w14:textId="121F1963" w:rsidR="0027290A" w:rsidRDefault="009569FF" w:rsidP="0002008A">
      <w:pPr>
        <w:spacing w:after="100" w:afterAutospacing="1" w:line="240" w:lineRule="auto"/>
        <w:jc w:val="both"/>
        <w:rPr>
          <w:rFonts w:cstheme="minorHAnsi"/>
        </w:rPr>
      </w:pPr>
      <w:r w:rsidRPr="0073109B">
        <w:rPr>
          <w:rFonts w:cstheme="minorHAnsi"/>
        </w:rPr>
        <w:t xml:space="preserve">It is sometimes also said that ‘equity will not perfect an imperfect gift’. This is, in essence, an alternative way of expressing the maxim that ‘equity will not assist a volunteer’. Because beneficiaries under trusts are almost invariably volunteers, the maxim that equity will not assist a volunteer applies to trusts as well as gifts. In order for a trust to take effect, it must be constituted. This means that legal title to the trust property must be vested in the trustee in his capacity as a trustee. Once the trust is constituted, it is irrevocable (see </w:t>
      </w:r>
      <w:r w:rsidRPr="0073109B">
        <w:rPr>
          <w:rFonts w:cstheme="minorHAnsi"/>
          <w:i/>
        </w:rPr>
        <w:t>Re Bowden</w:t>
      </w:r>
      <w:r w:rsidRPr="0073109B">
        <w:rPr>
          <w:rFonts w:cstheme="minorHAnsi"/>
        </w:rPr>
        <w:t xml:space="preserve"> [1936] Ch 71) and may be enforced by the beneficiaries. This is because the point at which a trust is constituted is the point at which the title </w:t>
      </w:r>
      <w:proofErr w:type="gramStart"/>
      <w:r w:rsidRPr="0073109B">
        <w:rPr>
          <w:rFonts w:cstheme="minorHAnsi"/>
        </w:rPr>
        <w:t>separates</w:t>
      </w:r>
      <w:proofErr w:type="gramEnd"/>
      <w:r w:rsidRPr="0073109B">
        <w:rPr>
          <w:rFonts w:cstheme="minorHAnsi"/>
        </w:rPr>
        <w:t xml:space="preserve"> and the beneficiary acquires the beneficial interest in the trust property.  If a trust is incompletely constituted, it is void; no trust actually exists until it is constituted.</w:t>
      </w:r>
    </w:p>
    <w:p w14:paraId="60E12BE5" w14:textId="77777777" w:rsidR="004C769F" w:rsidRPr="0073109B" w:rsidRDefault="004C769F" w:rsidP="0002008A">
      <w:pPr>
        <w:spacing w:after="100" w:afterAutospacing="1" w:line="240" w:lineRule="auto"/>
        <w:jc w:val="both"/>
        <w:rPr>
          <w:rFonts w:cstheme="minorHAnsi"/>
        </w:rPr>
      </w:pPr>
    </w:p>
    <w:p w14:paraId="569B7391" w14:textId="1747C0E7" w:rsidR="0027290A" w:rsidRPr="005512FA" w:rsidRDefault="0027290A" w:rsidP="0002008A">
      <w:pPr>
        <w:pStyle w:val="ListParagraph"/>
        <w:numPr>
          <w:ilvl w:val="0"/>
          <w:numId w:val="43"/>
        </w:numPr>
        <w:spacing w:after="100" w:afterAutospacing="1" w:line="240" w:lineRule="auto"/>
        <w:jc w:val="both"/>
        <w:rPr>
          <w:rFonts w:cstheme="minorHAnsi"/>
          <w:b/>
          <w:bCs/>
        </w:rPr>
      </w:pPr>
      <w:r w:rsidRPr="0073109B">
        <w:rPr>
          <w:rFonts w:eastAsia="MS Mincho" w:cstheme="minorHAnsi"/>
          <w:b/>
          <w:bCs/>
          <w:lang w:bidi="en-US"/>
        </w:rPr>
        <w:t xml:space="preserve">Three ways to transfer the benefit of property to a volunteer: </w:t>
      </w:r>
      <w:r w:rsidRPr="0073109B">
        <w:rPr>
          <w:rFonts w:eastAsia="MS Mincho" w:cstheme="minorHAnsi"/>
          <w:b/>
          <w:bCs/>
          <w:i/>
          <w:lang w:bidi="en-US"/>
        </w:rPr>
        <w:t>Milroy v Lord</w:t>
      </w:r>
      <w:r w:rsidRPr="0073109B">
        <w:rPr>
          <w:rFonts w:eastAsia="MS Mincho" w:cstheme="minorHAnsi"/>
          <w:b/>
          <w:bCs/>
          <w:lang w:bidi="en-US"/>
        </w:rPr>
        <w:t xml:space="preserve"> (1862) 4 De GF &amp; J 264).</w:t>
      </w:r>
    </w:p>
    <w:p w14:paraId="0261390A" w14:textId="4727A6DB" w:rsidR="0027290A" w:rsidRPr="0073109B" w:rsidRDefault="0027290A" w:rsidP="0002008A">
      <w:pPr>
        <w:spacing w:after="100" w:afterAutospacing="1" w:line="240" w:lineRule="auto"/>
        <w:jc w:val="both"/>
        <w:rPr>
          <w:rFonts w:cstheme="minorHAnsi"/>
        </w:rPr>
      </w:pPr>
      <w:r w:rsidRPr="0073109B">
        <w:rPr>
          <w:rFonts w:cstheme="minorHAnsi"/>
        </w:rPr>
        <w:t xml:space="preserve">If X wishes to transfer ‘ownership’ of some property to a volunteer such as Y, there are three ways in which he may achieve this aim. As expressed by Turner LJ in </w:t>
      </w:r>
      <w:r w:rsidRPr="0073109B">
        <w:rPr>
          <w:rFonts w:cstheme="minorHAnsi"/>
          <w:i/>
        </w:rPr>
        <w:t xml:space="preserve">Milroy v Lord </w:t>
      </w:r>
      <w:r w:rsidRPr="0073109B">
        <w:rPr>
          <w:rFonts w:cstheme="minorHAnsi"/>
        </w:rPr>
        <w:t>(1862) 4 De GF &amp; J 264</w:t>
      </w:r>
      <w:r w:rsidR="005512FA">
        <w:rPr>
          <w:rFonts w:cstheme="minorHAnsi"/>
        </w:rPr>
        <w:t xml:space="preserve"> </w:t>
      </w:r>
      <w:r w:rsidRPr="0073109B">
        <w:rPr>
          <w:rFonts w:cstheme="minorHAnsi"/>
        </w:rPr>
        <w:t>at 274, ‘[h]e may of course do this by actually transferring the property to the persons for whom he intends to provide, and the provision will then be effectual, and it will be equally effectual if he transfers the property to a trustee for the purposes of the settlement, or declares that he himself holds it in trust for those purposes’.</w:t>
      </w:r>
    </w:p>
    <w:p w14:paraId="4BD37DF9" w14:textId="000D6187" w:rsidR="006353B2" w:rsidRPr="0073109B" w:rsidRDefault="0027290A" w:rsidP="0002008A">
      <w:pPr>
        <w:spacing w:after="100" w:afterAutospacing="1" w:line="240" w:lineRule="auto"/>
        <w:jc w:val="both"/>
        <w:rPr>
          <w:rFonts w:cstheme="minorHAnsi"/>
        </w:rPr>
      </w:pPr>
      <w:r w:rsidRPr="0073109B">
        <w:rPr>
          <w:rFonts w:cstheme="minorHAnsi"/>
        </w:rPr>
        <w:t>Therefore</w:t>
      </w:r>
      <w:r w:rsidR="006353B2" w:rsidRPr="0073109B">
        <w:rPr>
          <w:rFonts w:cstheme="minorHAnsi"/>
        </w:rPr>
        <w:t>, X may</w:t>
      </w:r>
    </w:p>
    <w:p w14:paraId="57921B1E" w14:textId="794A9F1F" w:rsidR="006353B2" w:rsidRPr="0073109B" w:rsidRDefault="0027290A" w:rsidP="0002008A">
      <w:pPr>
        <w:pStyle w:val="ListParagraph"/>
        <w:numPr>
          <w:ilvl w:val="0"/>
          <w:numId w:val="44"/>
        </w:numPr>
        <w:spacing w:after="100" w:afterAutospacing="1" w:line="240" w:lineRule="auto"/>
        <w:jc w:val="both"/>
        <w:rPr>
          <w:rFonts w:cstheme="minorHAnsi"/>
        </w:rPr>
      </w:pPr>
      <w:r w:rsidRPr="0073109B">
        <w:rPr>
          <w:rFonts w:cstheme="minorHAnsi"/>
        </w:rPr>
        <w:t xml:space="preserve">transfer the property to Y directly, as an absolute gift. If legal title is not transferred successfully to Y, then the gift is imperfect. </w:t>
      </w:r>
    </w:p>
    <w:p w14:paraId="08597452" w14:textId="0A48FCEB" w:rsidR="006353B2" w:rsidRPr="0073109B" w:rsidRDefault="0027290A" w:rsidP="0002008A">
      <w:pPr>
        <w:pStyle w:val="ListParagraph"/>
        <w:numPr>
          <w:ilvl w:val="0"/>
          <w:numId w:val="44"/>
        </w:numPr>
        <w:spacing w:after="100" w:afterAutospacing="1" w:line="240" w:lineRule="auto"/>
        <w:jc w:val="both"/>
        <w:rPr>
          <w:rFonts w:cstheme="minorHAnsi"/>
        </w:rPr>
      </w:pPr>
      <w:r w:rsidRPr="0073109B">
        <w:rPr>
          <w:rFonts w:cstheme="minorHAnsi"/>
        </w:rPr>
        <w:t>transfer the property to trustees to hold on trust for Y. Here, if legal title is not transferred successfully to the trustees, then the trust is incompletely constituted.</w:t>
      </w:r>
    </w:p>
    <w:p w14:paraId="66D5F0A6" w14:textId="3CD01D45" w:rsidR="0027290A" w:rsidRPr="0073109B" w:rsidRDefault="0027290A" w:rsidP="0002008A">
      <w:pPr>
        <w:pStyle w:val="ListParagraph"/>
        <w:numPr>
          <w:ilvl w:val="0"/>
          <w:numId w:val="44"/>
        </w:numPr>
        <w:spacing w:after="100" w:afterAutospacing="1" w:line="240" w:lineRule="auto"/>
        <w:jc w:val="both"/>
        <w:rPr>
          <w:rFonts w:cstheme="minorHAnsi"/>
        </w:rPr>
      </w:pPr>
      <w:r w:rsidRPr="0073109B">
        <w:rPr>
          <w:rFonts w:cstheme="minorHAnsi"/>
        </w:rPr>
        <w:t>may declare himself trustee for Y. In this third instance, it is not necessary for X to transfer legal title to anyone. Instead, in order for the trust to be constituted, X must change the capacity in which he holds the property from owner with absolute title to trustee with bare legal title. This is achieved by a sufficiently certain declaration of trust by X.</w:t>
      </w:r>
    </w:p>
    <w:p w14:paraId="0C6B07C0" w14:textId="12F5A6D6" w:rsidR="00F76033" w:rsidRPr="0073109B" w:rsidRDefault="006353B2" w:rsidP="0002008A">
      <w:pPr>
        <w:spacing w:after="100" w:afterAutospacing="1" w:line="240" w:lineRule="auto"/>
        <w:jc w:val="both"/>
        <w:rPr>
          <w:rFonts w:cstheme="minorHAnsi"/>
        </w:rPr>
      </w:pPr>
      <w:r w:rsidRPr="0073109B">
        <w:rPr>
          <w:rFonts w:cstheme="minorHAnsi"/>
        </w:rPr>
        <w:t xml:space="preserve">We covered scenario iii when we looked at certainty of intention. The rules governing scenarios </w:t>
      </w:r>
      <w:proofErr w:type="spellStart"/>
      <w:r w:rsidRPr="0073109B">
        <w:rPr>
          <w:rFonts w:cstheme="minorHAnsi"/>
        </w:rPr>
        <w:t>i</w:t>
      </w:r>
      <w:proofErr w:type="spellEnd"/>
      <w:r w:rsidRPr="0073109B">
        <w:rPr>
          <w:rFonts w:cstheme="minorHAnsi"/>
        </w:rPr>
        <w:t xml:space="preserve"> and ii are the same, in the sense that, in both scenarios, it is necessary for legal title to be transferred effectively. Thus, in this topic, we will be dealing (sometimes interchangeably) with scenarios </w:t>
      </w:r>
      <w:proofErr w:type="spellStart"/>
      <w:r w:rsidRPr="0073109B">
        <w:rPr>
          <w:rFonts w:cstheme="minorHAnsi"/>
        </w:rPr>
        <w:t>i</w:t>
      </w:r>
      <w:proofErr w:type="spellEnd"/>
      <w:r w:rsidRPr="0073109B">
        <w:rPr>
          <w:rFonts w:cstheme="minorHAnsi"/>
        </w:rPr>
        <w:t xml:space="preserve"> and ii</w:t>
      </w:r>
      <w:r w:rsidR="0073109B">
        <w:rPr>
          <w:rFonts w:cstheme="minorHAnsi"/>
        </w:rPr>
        <w:t>.</w:t>
      </w:r>
    </w:p>
    <w:p w14:paraId="3BA72F62" w14:textId="77777777" w:rsidR="009569FF" w:rsidRPr="0073109B" w:rsidRDefault="009569FF" w:rsidP="0002008A">
      <w:pPr>
        <w:spacing w:after="100" w:afterAutospacing="1" w:line="240" w:lineRule="auto"/>
        <w:jc w:val="both"/>
        <w:rPr>
          <w:rFonts w:eastAsia="MS Mincho" w:cstheme="minorHAnsi"/>
          <w:u w:val="single"/>
          <w:lang w:bidi="en-US"/>
        </w:rPr>
      </w:pPr>
    </w:p>
    <w:p w14:paraId="5D6EA39D" w14:textId="7AC86E89" w:rsidR="009569FF" w:rsidRPr="0073109B" w:rsidRDefault="00FE0705" w:rsidP="0002008A">
      <w:pPr>
        <w:pStyle w:val="ListParagraph"/>
        <w:numPr>
          <w:ilvl w:val="0"/>
          <w:numId w:val="43"/>
        </w:numPr>
        <w:spacing w:after="100" w:afterAutospacing="1" w:line="240" w:lineRule="auto"/>
        <w:jc w:val="both"/>
        <w:rPr>
          <w:rFonts w:eastAsia="MS Mincho" w:cstheme="minorHAnsi"/>
          <w:b/>
          <w:bCs/>
          <w:lang w:bidi="en-US"/>
        </w:rPr>
      </w:pPr>
      <w:r w:rsidRPr="0073109B">
        <w:rPr>
          <w:rFonts w:eastAsia="MS Mincho" w:cstheme="minorHAnsi"/>
          <w:b/>
          <w:bCs/>
          <w:lang w:bidi="en-US"/>
        </w:rPr>
        <w:t>Transferring legal title: when problems arise</w:t>
      </w:r>
    </w:p>
    <w:p w14:paraId="3571E73D" w14:textId="59267D7E" w:rsidR="00FE0705" w:rsidRPr="0073109B" w:rsidRDefault="00FE0705" w:rsidP="0002008A">
      <w:pPr>
        <w:spacing w:after="100" w:afterAutospacing="1" w:line="240" w:lineRule="auto"/>
        <w:jc w:val="both"/>
        <w:rPr>
          <w:rFonts w:eastAsia="MS Mincho" w:cstheme="minorHAnsi"/>
          <w:lang w:bidi="en-US"/>
        </w:rPr>
      </w:pPr>
      <w:r w:rsidRPr="0073109B">
        <w:rPr>
          <w:rFonts w:eastAsia="MS Mincho" w:cstheme="minorHAnsi"/>
          <w:lang w:bidi="en-US"/>
        </w:rPr>
        <w:t xml:space="preserve">The transfer of legal title to most kinds of property is a straightforward matter. Delivering the subject matter along with intention to part with title is sufficient, so long as the property is accepted by the </w:t>
      </w:r>
      <w:proofErr w:type="spellStart"/>
      <w:r w:rsidRPr="0073109B">
        <w:rPr>
          <w:rFonts w:eastAsia="MS Mincho" w:cstheme="minorHAnsi"/>
          <w:lang w:bidi="en-US"/>
        </w:rPr>
        <w:t>done</w:t>
      </w:r>
      <w:r w:rsidR="00883999">
        <w:rPr>
          <w:rFonts w:eastAsia="MS Mincho" w:cstheme="minorHAnsi"/>
          <w:lang w:bidi="en-US"/>
        </w:rPr>
        <w:t>e</w:t>
      </w:r>
      <w:proofErr w:type="spellEnd"/>
      <w:r w:rsidRPr="0073109B">
        <w:rPr>
          <w:rFonts w:eastAsia="MS Mincho" w:cstheme="minorHAnsi"/>
          <w:lang w:bidi="en-US"/>
        </w:rPr>
        <w:t xml:space="preserve">. This is usually accomplished without problems (think of the gifts that you have received during your lifetime, and how you became the owner of the property in question. </w:t>
      </w:r>
    </w:p>
    <w:p w14:paraId="736AE423" w14:textId="598FE916" w:rsidR="00FE0705" w:rsidRPr="0073109B" w:rsidRDefault="00FE0705" w:rsidP="0002008A">
      <w:pPr>
        <w:spacing w:after="100" w:afterAutospacing="1" w:line="240" w:lineRule="auto"/>
        <w:jc w:val="both"/>
        <w:rPr>
          <w:rFonts w:eastAsia="MS Mincho" w:cstheme="minorHAnsi"/>
          <w:lang w:bidi="en-US"/>
        </w:rPr>
      </w:pPr>
      <w:r w:rsidRPr="0073109B">
        <w:rPr>
          <w:rFonts w:eastAsia="MS Mincho" w:cstheme="minorHAnsi"/>
          <w:lang w:bidi="en-US"/>
        </w:rPr>
        <w:lastRenderedPageBreak/>
        <w:t>Many of the cases on transfers of legal title involve land and shares because there are formality requirements for the transfer of legal title to these assets. It is not unusual for a donor/settlor to attempt to make a gift</w:t>
      </w:r>
      <w:r w:rsidR="00387A29" w:rsidRPr="0073109B">
        <w:rPr>
          <w:rFonts w:eastAsia="MS Mincho" w:cstheme="minorHAnsi"/>
          <w:lang w:bidi="en-US"/>
        </w:rPr>
        <w:t>, or create a trust,</w:t>
      </w:r>
      <w:r w:rsidRPr="0073109B">
        <w:rPr>
          <w:rFonts w:eastAsia="MS Mincho" w:cstheme="minorHAnsi"/>
          <w:lang w:bidi="en-US"/>
        </w:rPr>
        <w:t xml:space="preserve"> of land or shares</w:t>
      </w:r>
      <w:r w:rsidR="00387A29" w:rsidRPr="0073109B">
        <w:rPr>
          <w:rFonts w:eastAsia="MS Mincho" w:cstheme="minorHAnsi"/>
          <w:lang w:bidi="en-US"/>
        </w:rPr>
        <w:t xml:space="preserve"> </w:t>
      </w:r>
      <w:r w:rsidRPr="0073109B">
        <w:rPr>
          <w:rFonts w:eastAsia="MS Mincho" w:cstheme="minorHAnsi"/>
          <w:lang w:bidi="en-US"/>
        </w:rPr>
        <w:t>but to fail to comply with the requisite formality requirements. In such instances, there will be an imperfect gift</w:t>
      </w:r>
      <w:r w:rsidR="005512FA">
        <w:rPr>
          <w:rFonts w:eastAsia="MS Mincho" w:cstheme="minorHAnsi"/>
          <w:lang w:bidi="en-US"/>
        </w:rPr>
        <w:t>, or (as the case may be) an incompletely constituted trust</w:t>
      </w:r>
      <w:r w:rsidR="00EC1F1E">
        <w:rPr>
          <w:rFonts w:eastAsia="MS Mincho" w:cstheme="minorHAnsi"/>
          <w:lang w:bidi="en-US"/>
        </w:rPr>
        <w:t>.</w:t>
      </w:r>
    </w:p>
    <w:p w14:paraId="754F940D" w14:textId="77777777" w:rsidR="00387A29" w:rsidRPr="0073109B" w:rsidRDefault="00387A29" w:rsidP="0002008A">
      <w:pPr>
        <w:spacing w:after="100" w:afterAutospacing="1" w:line="240" w:lineRule="auto"/>
        <w:jc w:val="both"/>
        <w:rPr>
          <w:rFonts w:cstheme="minorHAnsi"/>
        </w:rPr>
      </w:pPr>
      <w:r w:rsidRPr="0073109B">
        <w:rPr>
          <w:rFonts w:cstheme="minorHAnsi"/>
        </w:rPr>
        <w:t>According to the Law of Property Act 1925, s.52(1), legal title to land may only be transferred by a deed of conveyance. Furthermore, a transfer of registered land is only completed once the transferee’s name is entered on the Proprietorship Register of the Register of Title as Registered Proprietor.</w:t>
      </w:r>
    </w:p>
    <w:p w14:paraId="0F3885DB" w14:textId="00EDE3A3" w:rsidR="00387A29" w:rsidRPr="0073109B" w:rsidRDefault="00387A29" w:rsidP="0002008A">
      <w:pPr>
        <w:spacing w:after="100" w:afterAutospacing="1" w:line="240" w:lineRule="auto"/>
        <w:jc w:val="both"/>
        <w:rPr>
          <w:rFonts w:cstheme="minorHAnsi"/>
        </w:rPr>
      </w:pPr>
      <w:r w:rsidRPr="0073109B">
        <w:rPr>
          <w:rFonts w:cstheme="minorHAnsi"/>
        </w:rPr>
        <w:t>There are also formality requirements for the transfer of shares. As a bare minimum, a stock transfer form must usually be completed (see Companies Act 2006, s770(1) and the Stock Transfer Act 1963). In respect of shares in a private company, the company’s article</w:t>
      </w:r>
      <w:r w:rsidR="00EC1F1E">
        <w:rPr>
          <w:rFonts w:cstheme="minorHAnsi"/>
        </w:rPr>
        <w:t>s</w:t>
      </w:r>
      <w:r w:rsidRPr="0073109B">
        <w:rPr>
          <w:rFonts w:cstheme="minorHAnsi"/>
        </w:rPr>
        <w:t xml:space="preserve"> of association (its own set of internal rules) will usually stipulate additional requirements in order for shares to be transferred. It is standard practice for the following to be required:</w:t>
      </w:r>
    </w:p>
    <w:p w14:paraId="0673E5B3" w14:textId="77777777" w:rsidR="00387A29" w:rsidRPr="0073109B" w:rsidRDefault="00387A29" w:rsidP="0002008A">
      <w:pPr>
        <w:pStyle w:val="ListParagraph"/>
        <w:widowControl w:val="0"/>
        <w:numPr>
          <w:ilvl w:val="0"/>
          <w:numId w:val="46"/>
        </w:numPr>
        <w:suppressAutoHyphens/>
        <w:spacing w:after="100" w:afterAutospacing="1" w:line="240" w:lineRule="auto"/>
        <w:jc w:val="both"/>
        <w:textAlignment w:val="baseline"/>
        <w:rPr>
          <w:rFonts w:cstheme="minorHAnsi"/>
        </w:rPr>
      </w:pPr>
      <w:r w:rsidRPr="0073109B">
        <w:rPr>
          <w:rFonts w:cstheme="minorHAnsi"/>
        </w:rPr>
        <w:t xml:space="preserve">execution of an appropriate stock transfer </w:t>
      </w:r>
      <w:proofErr w:type="gramStart"/>
      <w:r w:rsidRPr="0073109B">
        <w:rPr>
          <w:rFonts w:cstheme="minorHAnsi"/>
        </w:rPr>
        <w:t>form;</w:t>
      </w:r>
      <w:proofErr w:type="gramEnd"/>
      <w:r w:rsidRPr="0073109B">
        <w:rPr>
          <w:rFonts w:cstheme="minorHAnsi"/>
        </w:rPr>
        <w:t xml:space="preserve"> </w:t>
      </w:r>
    </w:p>
    <w:p w14:paraId="273FADEA" w14:textId="77777777" w:rsidR="00387A29" w:rsidRPr="0073109B" w:rsidRDefault="00387A29" w:rsidP="0002008A">
      <w:pPr>
        <w:pStyle w:val="ListParagraph"/>
        <w:widowControl w:val="0"/>
        <w:numPr>
          <w:ilvl w:val="0"/>
          <w:numId w:val="46"/>
        </w:numPr>
        <w:suppressAutoHyphens/>
        <w:spacing w:after="100" w:afterAutospacing="1" w:line="240" w:lineRule="auto"/>
        <w:jc w:val="both"/>
        <w:textAlignment w:val="baseline"/>
        <w:rPr>
          <w:rFonts w:cstheme="minorHAnsi"/>
        </w:rPr>
      </w:pPr>
      <w:r w:rsidRPr="0073109B">
        <w:rPr>
          <w:rFonts w:cstheme="minorHAnsi"/>
        </w:rPr>
        <w:t xml:space="preserve">delivery of the completed form to the transferee along with the share </w:t>
      </w:r>
      <w:proofErr w:type="gramStart"/>
      <w:r w:rsidRPr="0073109B">
        <w:rPr>
          <w:rFonts w:cstheme="minorHAnsi"/>
        </w:rPr>
        <w:t>certificate;</w:t>
      </w:r>
      <w:proofErr w:type="gramEnd"/>
      <w:r w:rsidRPr="0073109B">
        <w:rPr>
          <w:rFonts w:cstheme="minorHAnsi"/>
        </w:rPr>
        <w:t xml:space="preserve"> </w:t>
      </w:r>
    </w:p>
    <w:p w14:paraId="50FFB217" w14:textId="77777777" w:rsidR="00387A29" w:rsidRPr="0073109B" w:rsidRDefault="00387A29" w:rsidP="0002008A">
      <w:pPr>
        <w:pStyle w:val="ListParagraph"/>
        <w:widowControl w:val="0"/>
        <w:numPr>
          <w:ilvl w:val="0"/>
          <w:numId w:val="46"/>
        </w:numPr>
        <w:suppressAutoHyphens/>
        <w:spacing w:after="100" w:afterAutospacing="1" w:line="240" w:lineRule="auto"/>
        <w:jc w:val="both"/>
        <w:textAlignment w:val="baseline"/>
        <w:rPr>
          <w:rFonts w:cstheme="minorHAnsi"/>
        </w:rPr>
      </w:pPr>
      <w:r w:rsidRPr="0073109B">
        <w:rPr>
          <w:rFonts w:cstheme="minorHAnsi"/>
        </w:rPr>
        <w:t xml:space="preserve">delivery of the form and certificate to the company by the </w:t>
      </w:r>
      <w:proofErr w:type="gramStart"/>
      <w:r w:rsidRPr="0073109B">
        <w:rPr>
          <w:rFonts w:cstheme="minorHAnsi"/>
        </w:rPr>
        <w:t>transferee;</w:t>
      </w:r>
      <w:proofErr w:type="gramEnd"/>
    </w:p>
    <w:p w14:paraId="06F37F2B" w14:textId="3B842CC4" w:rsidR="00387A29" w:rsidRPr="005512FA" w:rsidRDefault="00387A29" w:rsidP="0002008A">
      <w:pPr>
        <w:pStyle w:val="ListParagraph"/>
        <w:widowControl w:val="0"/>
        <w:numPr>
          <w:ilvl w:val="0"/>
          <w:numId w:val="46"/>
        </w:numPr>
        <w:suppressAutoHyphens/>
        <w:spacing w:after="100" w:afterAutospacing="1" w:line="240" w:lineRule="auto"/>
        <w:jc w:val="both"/>
        <w:textAlignment w:val="baseline"/>
        <w:rPr>
          <w:rFonts w:cstheme="minorHAnsi"/>
        </w:rPr>
      </w:pPr>
      <w:r w:rsidRPr="0073109B">
        <w:rPr>
          <w:rFonts w:cstheme="minorHAnsi"/>
        </w:rPr>
        <w:t xml:space="preserve">acceptance by the company of the transfer and registration in its books. </w:t>
      </w:r>
    </w:p>
    <w:p w14:paraId="04DD1DEC" w14:textId="35BD2755" w:rsidR="009569FF" w:rsidRPr="0073109B" w:rsidRDefault="00387A29" w:rsidP="0002008A">
      <w:pPr>
        <w:spacing w:after="100" w:afterAutospacing="1" w:line="240" w:lineRule="auto"/>
        <w:jc w:val="both"/>
        <w:rPr>
          <w:rFonts w:cstheme="minorHAnsi"/>
        </w:rPr>
      </w:pPr>
      <w:r w:rsidRPr="0073109B">
        <w:rPr>
          <w:rFonts w:cstheme="minorHAnsi"/>
        </w:rPr>
        <w:t xml:space="preserve">The articles of association may also </w:t>
      </w:r>
      <w:r w:rsidR="00137089" w:rsidRPr="0073109B">
        <w:rPr>
          <w:rFonts w:cstheme="minorHAnsi"/>
        </w:rPr>
        <w:t>empower</w:t>
      </w:r>
      <w:r w:rsidRPr="0073109B">
        <w:rPr>
          <w:rFonts w:cstheme="minorHAnsi"/>
        </w:rPr>
        <w:t xml:space="preserve"> the board of directors </w:t>
      </w:r>
      <w:r w:rsidR="00137089" w:rsidRPr="0073109B">
        <w:rPr>
          <w:rFonts w:cstheme="minorHAnsi"/>
        </w:rPr>
        <w:t xml:space="preserve">to refuse </w:t>
      </w:r>
      <w:r w:rsidRPr="0073109B">
        <w:rPr>
          <w:rFonts w:cstheme="minorHAnsi"/>
        </w:rPr>
        <w:t xml:space="preserve">the transfer.  </w:t>
      </w:r>
    </w:p>
    <w:p w14:paraId="69054627" w14:textId="3F88C518" w:rsidR="00137089" w:rsidRPr="0073109B" w:rsidRDefault="00137089" w:rsidP="0002008A">
      <w:pPr>
        <w:spacing w:after="100" w:afterAutospacing="1" w:line="240" w:lineRule="auto"/>
        <w:jc w:val="both"/>
        <w:rPr>
          <w:rFonts w:eastAsia="MS Mincho" w:cstheme="minorHAnsi"/>
          <w:u w:val="single"/>
          <w:lang w:bidi="en-US"/>
        </w:rPr>
      </w:pPr>
      <w:r w:rsidRPr="0073109B">
        <w:rPr>
          <w:rFonts w:cstheme="minorHAnsi"/>
        </w:rPr>
        <w:t>For shares in listed companies, a computer system called CREST is generally used to transfer</w:t>
      </w:r>
      <w:r w:rsidR="0073109B">
        <w:rPr>
          <w:rFonts w:cstheme="minorHAnsi"/>
        </w:rPr>
        <w:t xml:space="preserve"> </w:t>
      </w:r>
      <w:r w:rsidRPr="0073109B">
        <w:rPr>
          <w:rFonts w:cstheme="minorHAnsi"/>
        </w:rPr>
        <w:t>shares.</w:t>
      </w:r>
      <w:r w:rsidR="0073109B">
        <w:rPr>
          <w:rFonts w:cstheme="minorHAnsi"/>
        </w:rPr>
        <w:t xml:space="preserve"> </w:t>
      </w:r>
      <w:r w:rsidRPr="0073109B">
        <w:rPr>
          <w:rFonts w:cstheme="minorHAnsi"/>
        </w:rPr>
        <w:t>Most of the cases, however, concern shares in private companies.</w:t>
      </w:r>
    </w:p>
    <w:p w14:paraId="7C03C147" w14:textId="02225D37" w:rsidR="00137089" w:rsidRPr="0073109B" w:rsidRDefault="0073109B" w:rsidP="0002008A">
      <w:pPr>
        <w:pStyle w:val="ListParagraph"/>
        <w:numPr>
          <w:ilvl w:val="0"/>
          <w:numId w:val="3"/>
        </w:numPr>
        <w:spacing w:after="100" w:afterAutospacing="1" w:line="240" w:lineRule="auto"/>
        <w:jc w:val="both"/>
        <w:rPr>
          <w:rFonts w:eastAsia="MS Mincho" w:cstheme="minorHAnsi"/>
          <w:b/>
          <w:bCs/>
          <w:lang w:bidi="en-US"/>
        </w:rPr>
      </w:pPr>
      <w:r>
        <w:rPr>
          <w:rFonts w:eastAsia="MS Mincho" w:cstheme="minorHAnsi"/>
          <w:b/>
          <w:bCs/>
          <w:lang w:bidi="en-US"/>
        </w:rPr>
        <w:t xml:space="preserve">THE GENERAL RULE THAT EQUITY WILL NOT ASSIST A VOLUNTEER: </w:t>
      </w:r>
      <w:r>
        <w:rPr>
          <w:rFonts w:eastAsia="MS Mincho" w:cstheme="minorHAnsi"/>
          <w:b/>
          <w:bCs/>
          <w:i/>
          <w:iCs/>
          <w:lang w:bidi="en-US"/>
        </w:rPr>
        <w:t>MILROY v LORD</w:t>
      </w:r>
    </w:p>
    <w:p w14:paraId="35E5691D" w14:textId="79DEAEBE" w:rsidR="00137089" w:rsidRPr="0073109B" w:rsidRDefault="00137089" w:rsidP="0002008A">
      <w:pPr>
        <w:spacing w:after="100" w:afterAutospacing="1" w:line="240" w:lineRule="auto"/>
        <w:jc w:val="both"/>
        <w:rPr>
          <w:rFonts w:cstheme="minorHAnsi"/>
        </w:rPr>
      </w:pPr>
      <w:r w:rsidRPr="0073109B">
        <w:rPr>
          <w:rFonts w:cstheme="minorHAnsi"/>
        </w:rPr>
        <w:t xml:space="preserve">The leading case concerning the constitution of trusts and the perfection of gifts by transfer of title is </w:t>
      </w:r>
      <w:r w:rsidRPr="0073109B">
        <w:rPr>
          <w:rFonts w:cstheme="minorHAnsi"/>
          <w:i/>
        </w:rPr>
        <w:t xml:space="preserve">Milroy v Lord </w:t>
      </w:r>
      <w:r w:rsidRPr="0073109B">
        <w:rPr>
          <w:rFonts w:cstheme="minorHAnsi"/>
        </w:rPr>
        <w:t xml:space="preserve">(1862) 4 De GF &amp; J 264. The settlor purported to transfer some shares in the Bank of Louisiana to Lord to hold on trust for the benefit of the wife of Milroy. According to the Bank’s constitution, share transfers, to be effective, had to be registered in the company’s books. This was not done, even though the purported trust subsequently received dividends from the shares. When the plaintiff sought to enforce the trust, it was held that he could not do so because the trust had never been constituted. As Turner LJ stated, “in order to render a voluntary settlement [i.e. a gift or a trust involving a transfer to trustees] valid and effectual, the settlor must have done everything which, according to the nature of the property comprised in the settlement, was necessary to be done in order to transfer the property and render the settlement binding upon him”. This statement encapsulates what is known as the rule in </w:t>
      </w:r>
      <w:r w:rsidRPr="0073109B">
        <w:rPr>
          <w:rFonts w:cstheme="minorHAnsi"/>
          <w:i/>
        </w:rPr>
        <w:t xml:space="preserve">Milroy v Lord </w:t>
      </w:r>
      <w:r w:rsidRPr="0073109B">
        <w:rPr>
          <w:rFonts w:cstheme="minorHAnsi"/>
          <w:iCs/>
        </w:rPr>
        <w:t>(sometimes also referred to as the ‘bright line’)</w:t>
      </w:r>
      <w:r w:rsidRPr="0073109B">
        <w:rPr>
          <w:rFonts w:cstheme="minorHAnsi"/>
          <w:i/>
        </w:rPr>
        <w:t>.</w:t>
      </w:r>
      <w:r w:rsidRPr="0073109B">
        <w:rPr>
          <w:rFonts w:cstheme="minorHAnsi"/>
        </w:rPr>
        <w:t xml:space="preserve"> Of course, what is necessary to complete the transfer depends on what type of property is to be transferred. According to the rule, if X attempts to transfer land to Y by surrendering occupation of that land to </w:t>
      </w:r>
      <w:proofErr w:type="gramStart"/>
      <w:r w:rsidRPr="0073109B">
        <w:rPr>
          <w:rFonts w:cstheme="minorHAnsi"/>
        </w:rPr>
        <w:t>Y, but</w:t>
      </w:r>
      <w:proofErr w:type="gramEnd"/>
      <w:r w:rsidRPr="0073109B">
        <w:rPr>
          <w:rFonts w:cstheme="minorHAnsi"/>
        </w:rPr>
        <w:t xml:space="preserve"> fails to adhere to execute a deed of conveyance, the gift is imperfect. Similarly, if X attempts in the same manner to transfer land to trustees to hold on trust for Y, the trust is not constituted. In neither case has X done everything necessary to complete the transfer.</w:t>
      </w:r>
    </w:p>
    <w:p w14:paraId="670632F6" w14:textId="77777777" w:rsidR="00137089" w:rsidRPr="0073109B" w:rsidRDefault="00137089" w:rsidP="0002008A">
      <w:pPr>
        <w:spacing w:after="100" w:afterAutospacing="1" w:line="240" w:lineRule="auto"/>
        <w:jc w:val="both"/>
        <w:rPr>
          <w:rFonts w:eastAsia="MS Mincho" w:cstheme="minorHAnsi"/>
          <w:b/>
          <w:bCs/>
          <w:lang w:bidi="en-US"/>
        </w:rPr>
      </w:pPr>
    </w:p>
    <w:p w14:paraId="04082ADA" w14:textId="1B428CB6" w:rsidR="00137089" w:rsidRPr="0073109B" w:rsidRDefault="0073109B" w:rsidP="0002008A">
      <w:pPr>
        <w:pStyle w:val="ListParagraph"/>
        <w:numPr>
          <w:ilvl w:val="0"/>
          <w:numId w:val="3"/>
        </w:numPr>
        <w:spacing w:after="100" w:afterAutospacing="1" w:line="240" w:lineRule="auto"/>
        <w:jc w:val="both"/>
        <w:rPr>
          <w:rFonts w:eastAsia="MS Mincho" w:cstheme="minorHAnsi"/>
          <w:b/>
          <w:bCs/>
          <w:lang w:bidi="en-US"/>
        </w:rPr>
      </w:pPr>
      <w:r>
        <w:rPr>
          <w:rFonts w:eastAsia="MS Mincho" w:cstheme="minorHAnsi"/>
          <w:b/>
          <w:bCs/>
          <w:lang w:bidi="en-US"/>
        </w:rPr>
        <w:t xml:space="preserve">THE RULE IN </w:t>
      </w:r>
      <w:r>
        <w:rPr>
          <w:rFonts w:eastAsia="MS Mincho" w:cstheme="minorHAnsi"/>
          <w:b/>
          <w:bCs/>
          <w:i/>
          <w:iCs/>
          <w:lang w:bidi="en-US"/>
        </w:rPr>
        <w:t>RE ROSE</w:t>
      </w:r>
      <w:r>
        <w:rPr>
          <w:rFonts w:eastAsia="MS Mincho" w:cstheme="minorHAnsi"/>
          <w:b/>
          <w:bCs/>
          <w:lang w:bidi="en-US"/>
        </w:rPr>
        <w:t xml:space="preserve">: A RELAXATION OF THE RULE IN </w:t>
      </w:r>
      <w:r>
        <w:rPr>
          <w:rFonts w:eastAsia="MS Mincho" w:cstheme="minorHAnsi"/>
          <w:b/>
          <w:bCs/>
          <w:i/>
          <w:iCs/>
          <w:lang w:bidi="en-US"/>
        </w:rPr>
        <w:t>MILROY v LORD</w:t>
      </w:r>
    </w:p>
    <w:p w14:paraId="6E42E5FC" w14:textId="252CCD50" w:rsidR="001B791F" w:rsidRPr="0073109B" w:rsidRDefault="00F76033" w:rsidP="0002008A">
      <w:pPr>
        <w:spacing w:after="100" w:afterAutospacing="1" w:line="240" w:lineRule="auto"/>
        <w:jc w:val="both"/>
        <w:rPr>
          <w:rFonts w:eastAsia="MS Mincho" w:cstheme="minorHAnsi"/>
          <w:lang w:bidi="en-US"/>
        </w:rPr>
      </w:pPr>
      <w:r w:rsidRPr="0073109B">
        <w:rPr>
          <w:rFonts w:eastAsia="MS Mincho" w:cstheme="minorHAnsi"/>
          <w:lang w:bidi="en-US"/>
        </w:rPr>
        <w:lastRenderedPageBreak/>
        <w:t xml:space="preserve">In </w:t>
      </w:r>
      <w:r w:rsidRPr="0073109B">
        <w:rPr>
          <w:rFonts w:eastAsia="MS Mincho" w:cstheme="minorHAnsi"/>
          <w:i/>
          <w:lang w:bidi="en-US"/>
        </w:rPr>
        <w:t xml:space="preserve">Re Rose </w:t>
      </w:r>
      <w:r w:rsidRPr="0073109B">
        <w:rPr>
          <w:rFonts w:eastAsia="MS Mincho" w:cstheme="minorHAnsi"/>
          <w:lang w:bidi="en-US"/>
        </w:rPr>
        <w:t>[1952] Ch 499</w:t>
      </w:r>
      <w:r w:rsidR="00725D61" w:rsidRPr="0073109B">
        <w:rPr>
          <w:rFonts w:eastAsia="MS Mincho" w:cstheme="minorHAnsi"/>
          <w:lang w:bidi="en-US"/>
        </w:rPr>
        <w:t>,</w:t>
      </w:r>
      <w:r w:rsidRPr="0073109B">
        <w:rPr>
          <w:rFonts w:eastAsia="MS Mincho" w:cstheme="minorHAnsi"/>
          <w:lang w:bidi="en-US"/>
        </w:rPr>
        <w:t xml:space="preserve"> the Inland Revenue sought to impose tax on Mr Rose’s estate, claiming that he had not divested himself of shares before the cut-off date in April four years before his death. Mr Rose had wished to transfer the shares in that year, and in March had executed the relevant transfer forms and delivered the share certificates to the company. However, the company had only registered the change in ownership in June of that year. The Court of Appeal held that Mr Rose had done everything in his power to transfer the shares in March, and that, even though the transfer had not been complete, he had divested himself of their beneficial ownership and became a trustee at this point</w:t>
      </w:r>
      <w:r w:rsidR="00391399" w:rsidRPr="0073109B">
        <w:rPr>
          <w:rFonts w:eastAsia="MS Mincho" w:cstheme="minorHAnsi"/>
          <w:lang w:bidi="en-US"/>
        </w:rPr>
        <w:t xml:space="preserve"> until the registration of the transfer</w:t>
      </w:r>
      <w:r w:rsidRPr="0073109B">
        <w:rPr>
          <w:rFonts w:eastAsia="MS Mincho" w:cstheme="minorHAnsi"/>
          <w:lang w:bidi="en-US"/>
        </w:rPr>
        <w:t>.</w:t>
      </w:r>
      <w:r w:rsidR="00391399" w:rsidRPr="0073109B">
        <w:rPr>
          <w:rFonts w:eastAsia="MS Mincho" w:cstheme="minorHAnsi"/>
          <w:lang w:bidi="en-US"/>
        </w:rPr>
        <w:t xml:space="preserve"> </w:t>
      </w:r>
      <w:r w:rsidR="001B791F" w:rsidRPr="0073109B">
        <w:rPr>
          <w:rFonts w:eastAsia="MS Mincho" w:cstheme="minorHAnsi"/>
          <w:lang w:bidi="en-US"/>
        </w:rPr>
        <w:t>Evershed MR, at 510, set out his thinking as follows:</w:t>
      </w:r>
    </w:p>
    <w:p w14:paraId="06035AB3" w14:textId="77777777" w:rsidR="001B791F" w:rsidRPr="0073109B" w:rsidRDefault="001B791F" w:rsidP="0002008A">
      <w:pPr>
        <w:spacing w:after="100" w:afterAutospacing="1" w:line="240" w:lineRule="auto"/>
        <w:ind w:left="720"/>
        <w:jc w:val="both"/>
        <w:rPr>
          <w:rFonts w:eastAsia="MS Mincho" w:cstheme="minorHAnsi"/>
          <w:lang w:bidi="en-US"/>
        </w:rPr>
      </w:pPr>
      <w:r w:rsidRPr="0073109B">
        <w:rPr>
          <w:rFonts w:eastAsia="MS Mincho" w:cstheme="minorHAnsi"/>
          <w:lang w:bidi="en-US"/>
        </w:rPr>
        <w:t>“I agree that if a man purporting to transfer property executes documents which are not apt to effect that purpose, the court cannot then extract from those documents some quite different transaction and say that they were intended merely to operate as a declaration of trust, which ex facie they were not; but if a document is apt and proper to transfer the property - is in truth the appropriate way in which the property must be transferred - then it does not seem to me to follow from the statement of Turner L.J. [in Milroy v Lord] that, as a result, either during some limited period or otherwise, a trust may not arise, for the purpose of giving effect to the transfer.”</w:t>
      </w:r>
    </w:p>
    <w:p w14:paraId="0BFAE704" w14:textId="5EA1E905" w:rsidR="00F76033" w:rsidRPr="0073109B" w:rsidRDefault="00391399" w:rsidP="0002008A">
      <w:pPr>
        <w:spacing w:after="100" w:afterAutospacing="1" w:line="240" w:lineRule="auto"/>
        <w:jc w:val="both"/>
        <w:rPr>
          <w:rFonts w:eastAsia="MS Mincho" w:cstheme="minorHAnsi"/>
          <w:lang w:bidi="en-US"/>
        </w:rPr>
      </w:pPr>
      <w:r w:rsidRPr="0073109B">
        <w:rPr>
          <w:rFonts w:eastAsia="MS Mincho" w:cstheme="minorHAnsi"/>
          <w:lang w:bidi="en-US"/>
        </w:rPr>
        <w:t>Th</w:t>
      </w:r>
      <w:r w:rsidR="001B791F" w:rsidRPr="0073109B">
        <w:rPr>
          <w:rFonts w:eastAsia="MS Mincho" w:cstheme="minorHAnsi"/>
          <w:lang w:bidi="en-US"/>
        </w:rPr>
        <w:t>e</w:t>
      </w:r>
      <w:r w:rsidRPr="0073109B">
        <w:rPr>
          <w:rFonts w:eastAsia="MS Mincho" w:cstheme="minorHAnsi"/>
          <w:lang w:bidi="en-US"/>
        </w:rPr>
        <w:t xml:space="preserve"> trust, </w:t>
      </w:r>
      <w:r w:rsidR="001B791F" w:rsidRPr="0073109B">
        <w:rPr>
          <w:rFonts w:eastAsia="MS Mincho" w:cstheme="minorHAnsi"/>
          <w:lang w:bidi="en-US"/>
        </w:rPr>
        <w:t>then</w:t>
      </w:r>
      <w:r w:rsidRPr="0073109B">
        <w:rPr>
          <w:rFonts w:eastAsia="MS Mincho" w:cstheme="minorHAnsi"/>
          <w:lang w:bidi="en-US"/>
        </w:rPr>
        <w:t>, was not a trust</w:t>
      </w:r>
      <w:r w:rsidR="001B791F" w:rsidRPr="0073109B">
        <w:rPr>
          <w:rFonts w:eastAsia="MS Mincho" w:cstheme="minorHAnsi"/>
          <w:lang w:bidi="en-US"/>
        </w:rPr>
        <w:t xml:space="preserve"> self-declared by Mr Rose</w:t>
      </w:r>
      <w:r w:rsidRPr="0073109B">
        <w:rPr>
          <w:rFonts w:eastAsia="MS Mincho" w:cstheme="minorHAnsi"/>
          <w:lang w:bidi="en-US"/>
        </w:rPr>
        <w:t xml:space="preserve">, as the court did not find an intention to create a trust on the part of Mr Rose. It is unclear what kind of trust </w:t>
      </w:r>
      <w:r w:rsidR="001B791F" w:rsidRPr="0073109B">
        <w:rPr>
          <w:rFonts w:eastAsia="MS Mincho" w:cstheme="minorHAnsi"/>
          <w:lang w:bidi="en-US"/>
        </w:rPr>
        <w:t xml:space="preserve">arises in a situation such as the one in </w:t>
      </w:r>
      <w:r w:rsidR="001B791F" w:rsidRPr="0073109B">
        <w:rPr>
          <w:rFonts w:eastAsia="MS Mincho" w:cstheme="minorHAnsi"/>
          <w:i/>
          <w:lang w:bidi="en-US"/>
        </w:rPr>
        <w:t>Re Rose</w:t>
      </w:r>
      <w:r w:rsidR="001B791F" w:rsidRPr="0073109B">
        <w:rPr>
          <w:rFonts w:eastAsia="MS Mincho" w:cstheme="minorHAnsi"/>
          <w:lang w:bidi="en-US"/>
        </w:rPr>
        <w:t>, but</w:t>
      </w:r>
      <w:r w:rsidRPr="0073109B">
        <w:rPr>
          <w:rFonts w:eastAsia="MS Mincho" w:cstheme="minorHAnsi"/>
          <w:lang w:bidi="en-US"/>
        </w:rPr>
        <w:t xml:space="preserve"> it has been argued </w:t>
      </w:r>
      <w:r w:rsidR="001B791F" w:rsidRPr="0073109B">
        <w:rPr>
          <w:rFonts w:eastAsia="MS Mincho" w:cstheme="minorHAnsi"/>
          <w:lang w:bidi="en-US"/>
        </w:rPr>
        <w:t>that it is</w:t>
      </w:r>
      <w:r w:rsidRPr="0073109B">
        <w:rPr>
          <w:rFonts w:eastAsia="MS Mincho" w:cstheme="minorHAnsi"/>
          <w:lang w:bidi="en-US"/>
        </w:rPr>
        <w:t xml:space="preserve"> a constructive trust</w:t>
      </w:r>
      <w:r w:rsidR="00BA6447" w:rsidRPr="0073109B">
        <w:rPr>
          <w:rFonts w:eastAsia="MS Mincho" w:cstheme="minorHAnsi"/>
          <w:lang w:bidi="en-US"/>
        </w:rPr>
        <w:t xml:space="preserve"> of the ‘bare’ kind that </w:t>
      </w:r>
      <w:r w:rsidR="001B791F" w:rsidRPr="0073109B">
        <w:rPr>
          <w:rFonts w:eastAsia="MS Mincho" w:cstheme="minorHAnsi"/>
          <w:lang w:bidi="en-US"/>
        </w:rPr>
        <w:t xml:space="preserve">does </w:t>
      </w:r>
      <w:r w:rsidR="00BA6447" w:rsidRPr="0073109B">
        <w:rPr>
          <w:rFonts w:eastAsia="MS Mincho" w:cstheme="minorHAnsi"/>
          <w:lang w:bidi="en-US"/>
        </w:rPr>
        <w:t xml:space="preserve">not impose </w:t>
      </w:r>
      <w:r w:rsidRPr="0073109B">
        <w:rPr>
          <w:rFonts w:eastAsia="MS Mincho" w:cstheme="minorHAnsi"/>
          <w:lang w:bidi="en-US"/>
        </w:rPr>
        <w:t xml:space="preserve">active obligations </w:t>
      </w:r>
      <w:r w:rsidR="00BA6447" w:rsidRPr="0073109B">
        <w:rPr>
          <w:rFonts w:eastAsia="MS Mincho" w:cstheme="minorHAnsi"/>
          <w:lang w:bidi="en-US"/>
        </w:rPr>
        <w:t xml:space="preserve">on the trustee but would </w:t>
      </w:r>
      <w:r w:rsidR="001B791F" w:rsidRPr="0073109B">
        <w:rPr>
          <w:rFonts w:eastAsia="MS Mincho" w:cstheme="minorHAnsi"/>
          <w:lang w:bidi="en-US"/>
        </w:rPr>
        <w:t>prevent the trustee</w:t>
      </w:r>
      <w:r w:rsidR="00BA6447" w:rsidRPr="0073109B">
        <w:rPr>
          <w:rFonts w:eastAsia="MS Mincho" w:cstheme="minorHAnsi"/>
          <w:lang w:bidi="en-US"/>
        </w:rPr>
        <w:t xml:space="preserve"> from dealing with the property contrary to the intended transfer</w:t>
      </w:r>
      <w:r w:rsidRPr="0073109B">
        <w:rPr>
          <w:rFonts w:eastAsia="MS Mincho" w:cstheme="minorHAnsi"/>
          <w:lang w:bidi="en-US"/>
        </w:rPr>
        <w:t xml:space="preserve">. </w:t>
      </w:r>
    </w:p>
    <w:p w14:paraId="3BD84D64" w14:textId="54E6F4CD" w:rsidR="0091764E" w:rsidRPr="0073109B" w:rsidRDefault="001B791F" w:rsidP="0002008A">
      <w:pPr>
        <w:spacing w:after="100" w:afterAutospacing="1" w:line="240" w:lineRule="auto"/>
        <w:jc w:val="both"/>
        <w:rPr>
          <w:rFonts w:eastAsia="MS Mincho" w:cstheme="minorHAnsi"/>
          <w:u w:val="single"/>
          <w:lang w:bidi="en-US"/>
        </w:rPr>
      </w:pPr>
      <w:r w:rsidRPr="0073109B">
        <w:rPr>
          <w:rFonts w:eastAsia="MS Mincho" w:cstheme="minorHAnsi"/>
          <w:i/>
          <w:lang w:bidi="en-US"/>
        </w:rPr>
        <w:t xml:space="preserve">Re Rose </w:t>
      </w:r>
      <w:r w:rsidR="00F76033" w:rsidRPr="0073109B">
        <w:rPr>
          <w:rFonts w:eastAsia="MS Mincho" w:cstheme="minorHAnsi"/>
          <w:lang w:bidi="en-US"/>
        </w:rPr>
        <w:t xml:space="preserve">was applied in </w:t>
      </w:r>
      <w:proofErr w:type="spellStart"/>
      <w:r w:rsidR="00F76033" w:rsidRPr="0073109B">
        <w:rPr>
          <w:rFonts w:eastAsia="MS Mincho" w:cstheme="minorHAnsi"/>
          <w:i/>
          <w:lang w:bidi="en-US"/>
        </w:rPr>
        <w:t>Mascall</w:t>
      </w:r>
      <w:proofErr w:type="spellEnd"/>
      <w:r w:rsidR="00F76033" w:rsidRPr="0073109B">
        <w:rPr>
          <w:rFonts w:eastAsia="MS Mincho" w:cstheme="minorHAnsi"/>
          <w:i/>
          <w:lang w:bidi="en-US"/>
        </w:rPr>
        <w:t xml:space="preserve"> v </w:t>
      </w:r>
      <w:proofErr w:type="spellStart"/>
      <w:r w:rsidR="00F76033" w:rsidRPr="0073109B">
        <w:rPr>
          <w:rFonts w:eastAsia="MS Mincho" w:cstheme="minorHAnsi"/>
          <w:i/>
          <w:lang w:bidi="en-US"/>
        </w:rPr>
        <w:t>Mascall</w:t>
      </w:r>
      <w:proofErr w:type="spellEnd"/>
      <w:r w:rsidR="00F76033" w:rsidRPr="0073109B">
        <w:rPr>
          <w:rFonts w:eastAsia="MS Mincho" w:cstheme="minorHAnsi"/>
          <w:lang w:bidi="en-US"/>
        </w:rPr>
        <w:t xml:space="preserve"> (1985) 49 P &amp; CR 119, which related to a transfer of </w:t>
      </w:r>
      <w:r w:rsidR="0091764E" w:rsidRPr="0073109B">
        <w:rPr>
          <w:rFonts w:eastAsia="MS Mincho" w:cstheme="minorHAnsi"/>
          <w:lang w:bidi="en-US"/>
        </w:rPr>
        <w:t xml:space="preserve">registered </w:t>
      </w:r>
      <w:r w:rsidR="00F76033" w:rsidRPr="0073109B">
        <w:rPr>
          <w:rFonts w:eastAsia="MS Mincho" w:cstheme="minorHAnsi"/>
          <w:lang w:bidi="en-US"/>
        </w:rPr>
        <w:t>land.</w:t>
      </w:r>
      <w:r w:rsidR="00725D61" w:rsidRPr="0073109B">
        <w:rPr>
          <w:rFonts w:eastAsia="MS Mincho" w:cstheme="minorHAnsi"/>
          <w:lang w:bidi="en-US"/>
        </w:rPr>
        <w:t xml:space="preserve"> </w:t>
      </w:r>
      <w:r w:rsidR="0091764E" w:rsidRPr="0073109B">
        <w:rPr>
          <w:rFonts w:eastAsia="MS Mincho" w:cstheme="minorHAnsi"/>
          <w:lang w:bidi="en-US"/>
        </w:rPr>
        <w:t xml:space="preserve">The donor </w:t>
      </w:r>
      <w:r w:rsidR="00256D94" w:rsidRPr="0073109B">
        <w:rPr>
          <w:rFonts w:eastAsia="MS Mincho" w:cstheme="minorHAnsi"/>
          <w:lang w:bidi="en-US"/>
        </w:rPr>
        <w:t xml:space="preserve">wished to gift the land to his son. He executed the deed of conveyance on Land Registry’s </w:t>
      </w:r>
      <w:r w:rsidR="00BA7796" w:rsidRPr="0073109B">
        <w:rPr>
          <w:rFonts w:eastAsia="MS Mincho" w:cstheme="minorHAnsi"/>
          <w:lang w:bidi="en-US"/>
        </w:rPr>
        <w:t xml:space="preserve">designated </w:t>
      </w:r>
      <w:proofErr w:type="gramStart"/>
      <w:r w:rsidR="00BA7796" w:rsidRPr="0073109B">
        <w:rPr>
          <w:rFonts w:eastAsia="MS Mincho" w:cstheme="minorHAnsi"/>
          <w:lang w:bidi="en-US"/>
        </w:rPr>
        <w:t>form, and</w:t>
      </w:r>
      <w:proofErr w:type="gramEnd"/>
      <w:r w:rsidR="00BA7796" w:rsidRPr="0073109B">
        <w:rPr>
          <w:rFonts w:eastAsia="MS Mincho" w:cstheme="minorHAnsi"/>
          <w:lang w:bidi="en-US"/>
        </w:rPr>
        <w:t xml:space="preserve"> delivered it to his son. Before the son got around to taking the necessary steps to register himself as proprietor, the father and son fell out, and the father attempted to revoke the gift. The court, however, held that the rule in </w:t>
      </w:r>
      <w:r w:rsidR="00BA7796" w:rsidRPr="0073109B">
        <w:rPr>
          <w:rFonts w:eastAsia="MS Mincho" w:cstheme="minorHAnsi"/>
          <w:i/>
          <w:iCs/>
          <w:lang w:bidi="en-US"/>
        </w:rPr>
        <w:t xml:space="preserve">Re Rose </w:t>
      </w:r>
      <w:r w:rsidR="00BA7796" w:rsidRPr="0073109B">
        <w:rPr>
          <w:rFonts w:eastAsia="MS Mincho" w:cstheme="minorHAnsi"/>
          <w:lang w:bidi="en-US"/>
        </w:rPr>
        <w:t>applied- the father had done everything in his power to effectuate the transfer, so equitable title had passed to the son.</w:t>
      </w:r>
    </w:p>
    <w:p w14:paraId="196B9EC4" w14:textId="484C012D" w:rsidR="00124CCB" w:rsidRPr="0073109B" w:rsidRDefault="00124CCB" w:rsidP="0002008A">
      <w:pPr>
        <w:spacing w:after="100" w:afterAutospacing="1" w:line="240" w:lineRule="auto"/>
        <w:jc w:val="both"/>
        <w:rPr>
          <w:rFonts w:eastAsia="MS Mincho" w:cstheme="minorHAnsi"/>
          <w:lang w:bidi="en-US"/>
        </w:rPr>
      </w:pPr>
    </w:p>
    <w:p w14:paraId="4BC35BF2" w14:textId="77777777" w:rsidR="0073109B" w:rsidRPr="0073109B" w:rsidRDefault="0073109B" w:rsidP="0002008A">
      <w:pPr>
        <w:pStyle w:val="ListParagraph"/>
        <w:numPr>
          <w:ilvl w:val="0"/>
          <w:numId w:val="3"/>
        </w:numPr>
        <w:spacing w:after="100" w:afterAutospacing="1" w:line="240" w:lineRule="auto"/>
        <w:jc w:val="both"/>
        <w:rPr>
          <w:rFonts w:eastAsia="MS Mincho" w:cstheme="minorHAnsi"/>
          <w:b/>
          <w:bCs/>
          <w:lang w:bidi="en-US"/>
        </w:rPr>
      </w:pPr>
      <w:r>
        <w:rPr>
          <w:rFonts w:eastAsia="MS Mincho" w:cstheme="minorHAnsi"/>
          <w:b/>
          <w:bCs/>
          <w:lang w:bidi="en-US"/>
        </w:rPr>
        <w:t xml:space="preserve">FURTHER EROSION OF THE RULE IN </w:t>
      </w:r>
      <w:r>
        <w:rPr>
          <w:rFonts w:eastAsia="MS Mincho" w:cstheme="minorHAnsi"/>
          <w:b/>
          <w:bCs/>
          <w:i/>
          <w:iCs/>
          <w:lang w:bidi="en-US"/>
        </w:rPr>
        <w:t>MILROY v LORD</w:t>
      </w:r>
    </w:p>
    <w:p w14:paraId="454DEDF5" w14:textId="77777777" w:rsidR="0073109B" w:rsidRDefault="0073109B" w:rsidP="0002008A">
      <w:pPr>
        <w:spacing w:after="100" w:afterAutospacing="1" w:line="240" w:lineRule="auto"/>
        <w:jc w:val="both"/>
        <w:rPr>
          <w:rFonts w:eastAsia="MS Mincho" w:cstheme="minorHAnsi"/>
          <w:b/>
          <w:i/>
          <w:iCs/>
          <w:lang w:bidi="en-US"/>
        </w:rPr>
      </w:pPr>
    </w:p>
    <w:p w14:paraId="27621291" w14:textId="58F595FB" w:rsidR="0073109B" w:rsidRPr="0073109B" w:rsidRDefault="00BA7796" w:rsidP="0002008A">
      <w:pPr>
        <w:pStyle w:val="ListParagraph"/>
        <w:numPr>
          <w:ilvl w:val="0"/>
          <w:numId w:val="63"/>
        </w:numPr>
        <w:spacing w:after="100" w:afterAutospacing="1" w:line="240" w:lineRule="auto"/>
        <w:jc w:val="both"/>
        <w:rPr>
          <w:rFonts w:eastAsia="MS Mincho" w:cstheme="minorHAnsi"/>
          <w:b/>
          <w:bCs/>
          <w:lang w:bidi="en-US"/>
        </w:rPr>
      </w:pPr>
      <w:proofErr w:type="spellStart"/>
      <w:r w:rsidRPr="0073109B">
        <w:rPr>
          <w:rFonts w:eastAsia="MS Mincho" w:cstheme="minorHAnsi"/>
          <w:b/>
          <w:i/>
          <w:iCs/>
          <w:lang w:bidi="en-US"/>
        </w:rPr>
        <w:t>Choithram</w:t>
      </w:r>
      <w:proofErr w:type="spellEnd"/>
      <w:r w:rsidRPr="0073109B">
        <w:rPr>
          <w:rFonts w:eastAsia="MS Mincho" w:cstheme="minorHAnsi"/>
          <w:b/>
          <w:lang w:bidi="en-US"/>
        </w:rPr>
        <w:t>: equity will not strive officiously to defeat a gift</w:t>
      </w:r>
    </w:p>
    <w:p w14:paraId="266B7534" w14:textId="523A7331" w:rsidR="00F76033" w:rsidRPr="0073109B" w:rsidRDefault="00F76033" w:rsidP="0002008A">
      <w:pPr>
        <w:spacing w:after="100" w:afterAutospacing="1" w:line="240" w:lineRule="auto"/>
        <w:jc w:val="both"/>
        <w:rPr>
          <w:rFonts w:eastAsia="MS Mincho" w:cstheme="minorHAnsi"/>
          <w:b/>
          <w:bCs/>
          <w:lang w:bidi="en-US"/>
        </w:rPr>
      </w:pPr>
      <w:r w:rsidRPr="0073109B">
        <w:rPr>
          <w:rFonts w:eastAsia="MS Mincho" w:cstheme="minorHAnsi"/>
          <w:lang w:bidi="en-US"/>
        </w:rPr>
        <w:t xml:space="preserve">In </w:t>
      </w:r>
      <w:r w:rsidRPr="005512FA">
        <w:rPr>
          <w:rFonts w:eastAsia="MS Mincho" w:cstheme="minorHAnsi"/>
          <w:i/>
          <w:lang w:bidi="en-US"/>
        </w:rPr>
        <w:t xml:space="preserve">T. </w:t>
      </w:r>
      <w:proofErr w:type="spellStart"/>
      <w:r w:rsidRPr="005512FA">
        <w:rPr>
          <w:rFonts w:eastAsia="MS Mincho" w:cstheme="minorHAnsi"/>
          <w:i/>
          <w:lang w:bidi="en-US"/>
        </w:rPr>
        <w:t>Choithram</w:t>
      </w:r>
      <w:proofErr w:type="spellEnd"/>
      <w:r w:rsidRPr="005512FA">
        <w:rPr>
          <w:rFonts w:eastAsia="MS Mincho" w:cstheme="minorHAnsi"/>
          <w:i/>
          <w:lang w:bidi="en-US"/>
        </w:rPr>
        <w:t xml:space="preserve"> International SA v </w:t>
      </w:r>
      <w:proofErr w:type="spellStart"/>
      <w:r w:rsidRPr="005512FA">
        <w:rPr>
          <w:rFonts w:eastAsia="MS Mincho" w:cstheme="minorHAnsi"/>
          <w:i/>
          <w:lang w:bidi="en-US"/>
        </w:rPr>
        <w:t>Pagarani</w:t>
      </w:r>
      <w:proofErr w:type="spellEnd"/>
      <w:r w:rsidRPr="005512FA">
        <w:rPr>
          <w:rFonts w:eastAsia="MS Mincho" w:cstheme="minorHAnsi"/>
          <w:lang w:bidi="en-US"/>
        </w:rPr>
        <w:t xml:space="preserve"> [2001] 1 WLR 1</w:t>
      </w:r>
      <w:r w:rsidR="00725D61" w:rsidRPr="005512FA">
        <w:rPr>
          <w:rFonts w:eastAsia="MS Mincho" w:cstheme="minorHAnsi"/>
          <w:lang w:bidi="en-US"/>
        </w:rPr>
        <w:t>,</w:t>
      </w:r>
      <w:r w:rsidRPr="005512FA">
        <w:rPr>
          <w:rFonts w:eastAsia="MS Mincho" w:cstheme="minorHAnsi"/>
          <w:lang w:bidi="en-US"/>
        </w:rPr>
        <w:t xml:space="preserve"> </w:t>
      </w:r>
      <w:r w:rsidRPr="0073109B">
        <w:rPr>
          <w:rFonts w:eastAsia="MS Mincho" w:cstheme="minorHAnsi"/>
          <w:lang w:bidi="en-US"/>
        </w:rPr>
        <w:t xml:space="preserve">Mr </w:t>
      </w:r>
      <w:proofErr w:type="spellStart"/>
      <w:r w:rsidRPr="0073109B">
        <w:rPr>
          <w:rFonts w:eastAsia="MS Mincho" w:cstheme="minorHAnsi"/>
          <w:lang w:bidi="en-US"/>
        </w:rPr>
        <w:t>Pagarani</w:t>
      </w:r>
      <w:proofErr w:type="spellEnd"/>
      <w:r w:rsidRPr="0073109B">
        <w:rPr>
          <w:rFonts w:eastAsia="MS Mincho" w:cstheme="minorHAnsi"/>
          <w:lang w:bidi="en-US"/>
        </w:rPr>
        <w:t xml:space="preserve"> had attempted to gift his entire wealth to a foundation of which he himself was one of the trustees. However, he neither declared he was holding the property henceforth on trust nor did he transfer it to the other trustees before he died. His family claimed that this was a case of an incomplete gift, but the Privy Council held that the ‘transfer’ by Mr </w:t>
      </w:r>
      <w:proofErr w:type="spellStart"/>
      <w:r w:rsidRPr="0073109B">
        <w:rPr>
          <w:rFonts w:eastAsia="MS Mincho" w:cstheme="minorHAnsi"/>
          <w:lang w:bidi="en-US"/>
        </w:rPr>
        <w:t>Pagarani</w:t>
      </w:r>
      <w:proofErr w:type="spellEnd"/>
      <w:r w:rsidRPr="0073109B">
        <w:rPr>
          <w:rFonts w:eastAsia="MS Mincho" w:cstheme="minorHAnsi"/>
          <w:lang w:bidi="en-US"/>
        </w:rPr>
        <w:t xml:space="preserve"> to himself as one of the trustees was sufficient to place him under a duty to henceforth hold the property on a (constructive?) trust for the foundation.</w:t>
      </w:r>
    </w:p>
    <w:p w14:paraId="49E62974" w14:textId="3996A11A" w:rsidR="00F76033" w:rsidRPr="0073109B" w:rsidRDefault="00F76033" w:rsidP="0002008A">
      <w:pPr>
        <w:pStyle w:val="ListParagraph"/>
        <w:numPr>
          <w:ilvl w:val="0"/>
          <w:numId w:val="63"/>
        </w:numPr>
        <w:spacing w:after="100" w:afterAutospacing="1" w:line="240" w:lineRule="auto"/>
        <w:jc w:val="both"/>
        <w:rPr>
          <w:rFonts w:eastAsia="MS Mincho" w:cstheme="minorHAnsi"/>
          <w:b/>
          <w:lang w:bidi="en-US"/>
        </w:rPr>
      </w:pPr>
      <w:r w:rsidRPr="0073109B">
        <w:rPr>
          <w:rFonts w:eastAsia="MS Mincho" w:cstheme="minorHAnsi"/>
          <w:b/>
          <w:lang w:bidi="en-US"/>
        </w:rPr>
        <w:t xml:space="preserve">Unconscionability </w:t>
      </w:r>
    </w:p>
    <w:p w14:paraId="30BAEDD7" w14:textId="4F3512F5" w:rsidR="00ED2BB0" w:rsidRPr="005512FA" w:rsidRDefault="00ED2BB0" w:rsidP="0002008A">
      <w:pPr>
        <w:spacing w:after="100" w:afterAutospacing="1" w:line="240" w:lineRule="auto"/>
        <w:jc w:val="both"/>
        <w:rPr>
          <w:rFonts w:cstheme="minorHAnsi"/>
          <w:bCs/>
        </w:rPr>
      </w:pPr>
      <w:r w:rsidRPr="0073109B">
        <w:rPr>
          <w:rFonts w:cstheme="minorHAnsi"/>
        </w:rPr>
        <w:t xml:space="preserve">This exception provides that equity will consider an incompletely constituted trust to be constituted, or an imperfect gift to be perfect, if revocation would have been unconscionable. The leading case is </w:t>
      </w:r>
      <w:r w:rsidRPr="0073109B">
        <w:rPr>
          <w:rFonts w:cstheme="minorHAnsi"/>
          <w:bCs/>
          <w:i/>
          <w:iCs/>
        </w:rPr>
        <w:t xml:space="preserve">Pennington v </w:t>
      </w:r>
      <w:proofErr w:type="spellStart"/>
      <w:r w:rsidRPr="0073109B">
        <w:rPr>
          <w:rFonts w:cstheme="minorHAnsi"/>
          <w:bCs/>
          <w:i/>
          <w:iCs/>
        </w:rPr>
        <w:t>Waine</w:t>
      </w:r>
      <w:proofErr w:type="spellEnd"/>
      <w:r w:rsidRPr="0073109B">
        <w:rPr>
          <w:rFonts w:cstheme="minorHAnsi"/>
          <w:bCs/>
          <w:i/>
          <w:iCs/>
        </w:rPr>
        <w:t xml:space="preserve"> (No. 1) </w:t>
      </w:r>
      <w:r w:rsidRPr="0073109B">
        <w:rPr>
          <w:rFonts w:cstheme="minorHAnsi"/>
          <w:bCs/>
        </w:rPr>
        <w:t xml:space="preserve">[2002] EWCA </w:t>
      </w:r>
      <w:proofErr w:type="spellStart"/>
      <w:r w:rsidRPr="0073109B">
        <w:rPr>
          <w:rFonts w:cstheme="minorHAnsi"/>
          <w:bCs/>
        </w:rPr>
        <w:t>Civ</w:t>
      </w:r>
      <w:proofErr w:type="spellEnd"/>
      <w:r w:rsidRPr="0073109B">
        <w:rPr>
          <w:rFonts w:cstheme="minorHAnsi"/>
          <w:bCs/>
        </w:rPr>
        <w:t xml:space="preserve"> 227</w:t>
      </w:r>
      <w:r w:rsidR="005512FA">
        <w:rPr>
          <w:rFonts w:cstheme="minorHAnsi"/>
          <w:bCs/>
        </w:rPr>
        <w:t xml:space="preserve">. </w:t>
      </w:r>
      <w:r w:rsidRPr="0073109B">
        <w:rPr>
          <w:rFonts w:cstheme="minorHAnsi"/>
        </w:rPr>
        <w:t xml:space="preserve">Ada Crampton wished to make an immediate </w:t>
      </w:r>
      <w:r w:rsidRPr="0073109B">
        <w:rPr>
          <w:rFonts w:cstheme="minorHAnsi"/>
          <w:i/>
        </w:rPr>
        <w:t xml:space="preserve">inter </w:t>
      </w:r>
      <w:proofErr w:type="spellStart"/>
      <w:r w:rsidRPr="0073109B">
        <w:rPr>
          <w:rFonts w:cstheme="minorHAnsi"/>
          <w:i/>
        </w:rPr>
        <w:lastRenderedPageBreak/>
        <w:t>vivos</w:t>
      </w:r>
      <w:proofErr w:type="spellEnd"/>
      <w:r w:rsidRPr="0073109B">
        <w:rPr>
          <w:rFonts w:cstheme="minorHAnsi"/>
          <w:i/>
        </w:rPr>
        <w:t xml:space="preserve"> </w:t>
      </w:r>
      <w:r w:rsidRPr="0073109B">
        <w:rPr>
          <w:rFonts w:cstheme="minorHAnsi"/>
        </w:rPr>
        <w:t xml:space="preserve">transfer of 400 shares in a private company to her nephew, Harold. She signed the share transfer form and instructed her accountant, Pennington, to take the necessary steps to complete the transfer. At the time of Ada’s death a short time later, the share transfer had not been completed. This therefore amounted to an imperfect gift. By her valid will, Ada bequeathed a substantial number of shares in the same company to Harold. The bequeathed shares plus the imperfect gift of 400 shares would together have given Harold a majority shareholding. The issue for the court to determine was whether Harold could claim the 400 shares from the estate, or whether they formed part of Ada’s residuary estate. If the former, the executors held the shares on trust for Harold and if the latter, the residuary legatees were entitled to the shares. It should be noted that the rule in </w:t>
      </w:r>
      <w:r w:rsidRPr="0073109B">
        <w:rPr>
          <w:rFonts w:cstheme="minorHAnsi"/>
          <w:i/>
        </w:rPr>
        <w:t xml:space="preserve">Re Rose </w:t>
      </w:r>
      <w:r w:rsidRPr="0073109B">
        <w:rPr>
          <w:rFonts w:cstheme="minorHAnsi"/>
        </w:rPr>
        <w:t>could not properly apply (although see Clarke LJ’s minority reasoning to the contrary [at paras. 71-117] here because the omissions of an agent are imputed onto his principal. Thus, because the accountant had not, by Ada’s death, done everything within his power to complete the transfer, neither had she. The Court of Appeal held that Harold could claim the 400 shares. The majority view, as explained by Arden LJ [at para. 66] was that ‘it would have been unconscionable for Ada to recall the gift. It follows that it would also have been unconscionable for her personal representatives to refuse to hand over the share transfer to Harold after her death. In those circumstances, in my judgment, delivery of the share transfer before her death was unnecessary so far as perfection of the gift was concerned.’</w:t>
      </w:r>
    </w:p>
    <w:p w14:paraId="6C5B91FE" w14:textId="251BB6E1" w:rsidR="00ED2BB0" w:rsidRPr="0073109B" w:rsidRDefault="00ED2BB0" w:rsidP="0002008A">
      <w:pPr>
        <w:spacing w:after="100" w:afterAutospacing="1" w:line="240" w:lineRule="auto"/>
        <w:jc w:val="both"/>
        <w:outlineLvl w:val="2"/>
        <w:rPr>
          <w:rFonts w:eastAsia="Times New Roman" w:cstheme="minorHAnsi"/>
          <w:bCs/>
          <w:lang w:eastAsia="en-GB"/>
        </w:rPr>
      </w:pPr>
      <w:r w:rsidRPr="0073109B">
        <w:rPr>
          <w:rFonts w:cstheme="minorHAnsi"/>
          <w:i/>
        </w:rPr>
        <w:t xml:space="preserve">Pennington </w:t>
      </w:r>
      <w:r w:rsidRPr="0073109B">
        <w:rPr>
          <w:rFonts w:cstheme="minorHAnsi"/>
        </w:rPr>
        <w:t>was not well-received amongst academics as it seems to ride roughshod over several centuries of equity jurisprudence and careful rulemaking (see, for example, Halliwell, M ‘</w:t>
      </w:r>
      <w:r w:rsidRPr="0073109B">
        <w:rPr>
          <w:rFonts w:eastAsia="Times New Roman" w:cstheme="minorHAnsi"/>
          <w:bCs/>
          <w:lang w:eastAsia="en-GB"/>
        </w:rPr>
        <w:t xml:space="preserve">Perfecting imperfect gifts and trusts: have we reached the end of the Chancellor's foot?’ [2003] Conv 192). </w:t>
      </w:r>
      <w:r w:rsidR="00451DAA" w:rsidRPr="0073109B">
        <w:rPr>
          <w:rFonts w:eastAsia="Times New Roman" w:cstheme="minorHAnsi"/>
          <w:bCs/>
          <w:lang w:eastAsia="en-GB"/>
        </w:rPr>
        <w:t xml:space="preserve">Judges are arguably using the nebulous concept of unconscionability to disapply the rule in </w:t>
      </w:r>
      <w:r w:rsidR="00451DAA" w:rsidRPr="0073109B">
        <w:rPr>
          <w:rFonts w:eastAsia="Times New Roman" w:cstheme="minorHAnsi"/>
          <w:bCs/>
          <w:i/>
          <w:iCs/>
          <w:lang w:eastAsia="en-GB"/>
        </w:rPr>
        <w:t xml:space="preserve">Milroy v Lord </w:t>
      </w:r>
      <w:r w:rsidR="00451DAA" w:rsidRPr="0073109B">
        <w:rPr>
          <w:rFonts w:eastAsia="Times New Roman" w:cstheme="minorHAnsi"/>
          <w:bCs/>
          <w:lang w:eastAsia="en-GB"/>
        </w:rPr>
        <w:t xml:space="preserve">as they see fit. </w:t>
      </w:r>
      <w:r w:rsidR="00451DAA" w:rsidRPr="0073109B">
        <w:rPr>
          <w:rFonts w:eastAsia="Times New Roman" w:cstheme="minorHAnsi"/>
          <w:bCs/>
          <w:i/>
          <w:iCs/>
          <w:lang w:eastAsia="en-GB"/>
        </w:rPr>
        <w:t>Pennington</w:t>
      </w:r>
      <w:r w:rsidRPr="0073109B">
        <w:rPr>
          <w:rFonts w:eastAsia="Times New Roman" w:cstheme="minorHAnsi"/>
          <w:bCs/>
          <w:lang w:eastAsia="en-GB"/>
        </w:rPr>
        <w:t xml:space="preserve"> has nevertheless been followed in a few cases. In </w:t>
      </w:r>
      <w:r w:rsidRPr="0073109B">
        <w:rPr>
          <w:rFonts w:eastAsia="Times New Roman" w:cstheme="minorHAnsi"/>
          <w:bCs/>
          <w:i/>
          <w:iCs/>
          <w:lang w:eastAsia="en-GB"/>
        </w:rPr>
        <w:t xml:space="preserve">Curtis v </w:t>
      </w:r>
      <w:proofErr w:type="spellStart"/>
      <w:r w:rsidRPr="0073109B">
        <w:rPr>
          <w:rFonts w:eastAsia="Times New Roman" w:cstheme="minorHAnsi"/>
          <w:bCs/>
          <w:i/>
          <w:iCs/>
          <w:lang w:eastAsia="en-GB"/>
        </w:rPr>
        <w:t>Pulbrook</w:t>
      </w:r>
      <w:proofErr w:type="spellEnd"/>
      <w:r w:rsidRPr="0073109B">
        <w:rPr>
          <w:rFonts w:eastAsia="Times New Roman" w:cstheme="minorHAnsi"/>
          <w:bCs/>
          <w:lang w:eastAsia="en-GB"/>
        </w:rPr>
        <w:t xml:space="preserve">, it was suggested that </w:t>
      </w:r>
      <w:r w:rsidR="00451DAA" w:rsidRPr="0073109B">
        <w:rPr>
          <w:rFonts w:eastAsia="Times New Roman" w:cstheme="minorHAnsi"/>
          <w:bCs/>
          <w:lang w:eastAsia="en-GB"/>
        </w:rPr>
        <w:t xml:space="preserve">the unconscionability rule is engaged when the </w:t>
      </w:r>
      <w:proofErr w:type="spellStart"/>
      <w:r w:rsidR="00451DAA" w:rsidRPr="0073109B">
        <w:rPr>
          <w:rFonts w:eastAsia="Times New Roman" w:cstheme="minorHAnsi"/>
          <w:bCs/>
          <w:lang w:eastAsia="en-GB"/>
        </w:rPr>
        <w:t>donee</w:t>
      </w:r>
      <w:proofErr w:type="spellEnd"/>
      <w:r w:rsidR="00451DAA" w:rsidRPr="0073109B">
        <w:rPr>
          <w:rFonts w:eastAsia="Times New Roman" w:cstheme="minorHAnsi"/>
          <w:bCs/>
          <w:lang w:eastAsia="en-GB"/>
        </w:rPr>
        <w:t xml:space="preserve"> (or beneficiary in the case of an imperfect trust) has relied to their detriment on the imperfect gift. This suggests some affiliation between the </w:t>
      </w:r>
      <w:r w:rsidR="00451DAA" w:rsidRPr="0073109B">
        <w:rPr>
          <w:rFonts w:eastAsia="Times New Roman" w:cstheme="minorHAnsi"/>
          <w:bCs/>
          <w:i/>
          <w:iCs/>
          <w:lang w:eastAsia="en-GB"/>
        </w:rPr>
        <w:t xml:space="preserve">Pennington </w:t>
      </w:r>
      <w:r w:rsidR="00451DAA" w:rsidRPr="0073109B">
        <w:rPr>
          <w:rFonts w:eastAsia="Times New Roman" w:cstheme="minorHAnsi"/>
          <w:bCs/>
          <w:lang w:eastAsia="en-GB"/>
        </w:rPr>
        <w:t xml:space="preserve">rule and the doctrine of proprietary estoppel. In the recent case of </w:t>
      </w:r>
      <w:r w:rsidR="00451DAA" w:rsidRPr="0073109B">
        <w:rPr>
          <w:rFonts w:eastAsia="Times New Roman" w:cstheme="minorHAnsi"/>
          <w:bCs/>
          <w:i/>
          <w:iCs/>
          <w:lang w:eastAsia="en-GB"/>
        </w:rPr>
        <w:t xml:space="preserve">Khan v Mahmood </w:t>
      </w:r>
      <w:r w:rsidR="00451DAA" w:rsidRPr="0073109B">
        <w:rPr>
          <w:rFonts w:eastAsia="Times New Roman" w:cstheme="minorHAnsi"/>
          <w:bCs/>
          <w:lang w:eastAsia="en-GB"/>
        </w:rPr>
        <w:t xml:space="preserve">[2021] EWHC 597 (Ch), however, it was held that detrimental reliance by the </w:t>
      </w:r>
      <w:proofErr w:type="spellStart"/>
      <w:r w:rsidR="00451DAA" w:rsidRPr="0073109B">
        <w:rPr>
          <w:rFonts w:eastAsia="Times New Roman" w:cstheme="minorHAnsi"/>
          <w:bCs/>
          <w:lang w:eastAsia="en-GB"/>
        </w:rPr>
        <w:t>donee</w:t>
      </w:r>
      <w:proofErr w:type="spellEnd"/>
      <w:r w:rsidR="00451DAA" w:rsidRPr="0073109B">
        <w:rPr>
          <w:rFonts w:eastAsia="Times New Roman" w:cstheme="minorHAnsi"/>
          <w:bCs/>
          <w:lang w:eastAsia="en-GB"/>
        </w:rPr>
        <w:t xml:space="preserve"> is not a necessary ingredient of the </w:t>
      </w:r>
      <w:r w:rsidR="00451DAA" w:rsidRPr="0073109B">
        <w:rPr>
          <w:rFonts w:eastAsia="Times New Roman" w:cstheme="minorHAnsi"/>
          <w:bCs/>
          <w:i/>
          <w:iCs/>
          <w:lang w:eastAsia="en-GB"/>
        </w:rPr>
        <w:t xml:space="preserve">Pennington </w:t>
      </w:r>
      <w:r w:rsidR="00451DAA" w:rsidRPr="0073109B">
        <w:rPr>
          <w:rFonts w:eastAsia="Times New Roman" w:cstheme="minorHAnsi"/>
          <w:bCs/>
          <w:lang w:eastAsia="en-GB"/>
        </w:rPr>
        <w:t>rule. In summary, this ‘unconscionability’ rule remains controversial!</w:t>
      </w:r>
    </w:p>
    <w:p w14:paraId="467966A6" w14:textId="77777777" w:rsidR="00451DAA" w:rsidRPr="0073109B" w:rsidRDefault="00451DAA" w:rsidP="0002008A">
      <w:pPr>
        <w:spacing w:after="100" w:afterAutospacing="1" w:line="240" w:lineRule="auto"/>
        <w:jc w:val="both"/>
        <w:outlineLvl w:val="2"/>
        <w:rPr>
          <w:rFonts w:eastAsia="Times New Roman" w:cstheme="minorHAnsi"/>
          <w:b/>
          <w:bCs/>
          <w:lang w:eastAsia="en-GB"/>
        </w:rPr>
      </w:pPr>
    </w:p>
    <w:p w14:paraId="0F20E593" w14:textId="5DF994DF" w:rsidR="00ED2BB0" w:rsidRPr="0073109B" w:rsidRDefault="0073109B" w:rsidP="0002008A">
      <w:pPr>
        <w:pStyle w:val="ListParagraph"/>
        <w:numPr>
          <w:ilvl w:val="0"/>
          <w:numId w:val="64"/>
        </w:numPr>
        <w:spacing w:after="100" w:afterAutospacing="1" w:line="240" w:lineRule="auto"/>
        <w:jc w:val="both"/>
        <w:rPr>
          <w:rFonts w:cstheme="minorHAnsi"/>
          <w:b/>
          <w:bCs/>
        </w:rPr>
      </w:pPr>
      <w:r>
        <w:rPr>
          <w:rFonts w:cstheme="minorHAnsi"/>
          <w:b/>
          <w:bCs/>
        </w:rPr>
        <w:t xml:space="preserve">ESTABLISHED EXCEPTIONS TO THE RULE THAT EQUTY WILL NOT ASSIST A VOLUNTEER </w:t>
      </w:r>
    </w:p>
    <w:p w14:paraId="40192123" w14:textId="3A83B150" w:rsidR="00372282" w:rsidRPr="0073109B" w:rsidRDefault="00372282" w:rsidP="0002008A">
      <w:pPr>
        <w:spacing w:after="100" w:afterAutospacing="1" w:line="240" w:lineRule="auto"/>
        <w:jc w:val="both"/>
        <w:rPr>
          <w:rFonts w:cstheme="minorHAnsi"/>
        </w:rPr>
      </w:pPr>
      <w:r w:rsidRPr="0073109B">
        <w:rPr>
          <w:rFonts w:cstheme="minorHAnsi"/>
        </w:rPr>
        <w:t xml:space="preserve">We can now turn to two long-established exceptions to the rule in </w:t>
      </w:r>
      <w:r w:rsidRPr="0073109B">
        <w:rPr>
          <w:rFonts w:cstheme="minorHAnsi"/>
          <w:i/>
          <w:iCs/>
        </w:rPr>
        <w:t>Milroy v Lord</w:t>
      </w:r>
      <w:r w:rsidRPr="0073109B">
        <w:rPr>
          <w:rFonts w:cstheme="minorHAnsi"/>
        </w:rPr>
        <w:t>. You will see that, unlike in respect of the unconscionability exception, the courts have laid down clear requirements for the enga</w:t>
      </w:r>
      <w:r w:rsidR="0073109B">
        <w:rPr>
          <w:rFonts w:cstheme="minorHAnsi"/>
        </w:rPr>
        <w:t>g</w:t>
      </w:r>
      <w:r w:rsidRPr="0073109B">
        <w:rPr>
          <w:rFonts w:cstheme="minorHAnsi"/>
        </w:rPr>
        <w:t>ement of these exceptions.</w:t>
      </w:r>
    </w:p>
    <w:p w14:paraId="75E77C0A" w14:textId="1E9B5BF9" w:rsidR="0091764E" w:rsidRPr="0073109B" w:rsidRDefault="0091764E" w:rsidP="0002008A">
      <w:pPr>
        <w:spacing w:after="100" w:afterAutospacing="1" w:line="240" w:lineRule="auto"/>
        <w:jc w:val="both"/>
        <w:rPr>
          <w:rFonts w:eastAsia="MS Mincho" w:cstheme="minorHAnsi"/>
          <w:u w:val="single"/>
          <w:lang w:bidi="en-US"/>
        </w:rPr>
      </w:pPr>
    </w:p>
    <w:p w14:paraId="7C7D7CBF" w14:textId="0D922435" w:rsidR="00F76033" w:rsidRPr="0073109B" w:rsidRDefault="00F76033" w:rsidP="0002008A">
      <w:pPr>
        <w:pStyle w:val="ListParagraph"/>
        <w:numPr>
          <w:ilvl w:val="0"/>
          <w:numId w:val="48"/>
        </w:numPr>
        <w:spacing w:after="100" w:afterAutospacing="1" w:line="240" w:lineRule="auto"/>
        <w:jc w:val="both"/>
        <w:rPr>
          <w:rFonts w:eastAsia="MS Mincho" w:cstheme="minorHAnsi"/>
          <w:b/>
          <w:bCs/>
          <w:i/>
          <w:lang w:bidi="en-US"/>
        </w:rPr>
      </w:pPr>
      <w:r w:rsidRPr="0073109B">
        <w:rPr>
          <w:rFonts w:eastAsia="MS Mincho" w:cstheme="minorHAnsi"/>
          <w:b/>
          <w:bCs/>
          <w:lang w:bidi="en-US"/>
        </w:rPr>
        <w:t>The rule</w:t>
      </w:r>
      <w:r w:rsidR="0073109B" w:rsidRPr="0073109B">
        <w:rPr>
          <w:rFonts w:eastAsia="MS Mincho" w:cstheme="minorHAnsi"/>
          <w:b/>
          <w:bCs/>
          <w:lang w:bidi="en-US"/>
        </w:rPr>
        <w:t xml:space="preserve"> in </w:t>
      </w:r>
      <w:r w:rsidRPr="0073109B">
        <w:rPr>
          <w:rFonts w:eastAsia="MS Mincho" w:cstheme="minorHAnsi"/>
          <w:b/>
          <w:bCs/>
          <w:i/>
          <w:lang w:bidi="en-US"/>
        </w:rPr>
        <w:t>Strong v Bird</w:t>
      </w:r>
    </w:p>
    <w:p w14:paraId="79A371CB" w14:textId="202C9B0C" w:rsidR="00372282" w:rsidRPr="0073109B" w:rsidRDefault="001A698C" w:rsidP="0002008A">
      <w:pPr>
        <w:spacing w:after="100" w:afterAutospacing="1" w:line="240" w:lineRule="auto"/>
        <w:jc w:val="both"/>
        <w:rPr>
          <w:rFonts w:cstheme="minorHAnsi"/>
        </w:rPr>
      </w:pPr>
      <w:r w:rsidRPr="0073109B">
        <w:rPr>
          <w:rFonts w:cstheme="minorHAnsi"/>
        </w:rPr>
        <w:t xml:space="preserve">The rule in </w:t>
      </w:r>
      <w:r w:rsidRPr="0073109B">
        <w:rPr>
          <w:rFonts w:cstheme="minorHAnsi"/>
          <w:i/>
          <w:iCs/>
        </w:rPr>
        <w:t>Strong v Bird</w:t>
      </w:r>
      <w:r w:rsidRPr="0073109B">
        <w:rPr>
          <w:rFonts w:cstheme="minorHAnsi"/>
        </w:rPr>
        <w:t xml:space="preserve"> can apply when a donor makes an imperfect gift to a </w:t>
      </w:r>
      <w:proofErr w:type="spellStart"/>
      <w:r w:rsidRPr="0073109B">
        <w:rPr>
          <w:rFonts w:cstheme="minorHAnsi"/>
        </w:rPr>
        <w:t>donee</w:t>
      </w:r>
      <w:proofErr w:type="spellEnd"/>
      <w:r w:rsidRPr="0073109B">
        <w:rPr>
          <w:rFonts w:cstheme="minorHAnsi"/>
        </w:rPr>
        <w:t xml:space="preserve"> </w:t>
      </w:r>
      <w:r w:rsidR="006E73F7" w:rsidRPr="0073109B">
        <w:rPr>
          <w:rFonts w:cstheme="minorHAnsi"/>
        </w:rPr>
        <w:t xml:space="preserve">or a trustee </w:t>
      </w:r>
      <w:r w:rsidRPr="0073109B">
        <w:rPr>
          <w:rFonts w:cstheme="minorHAnsi"/>
        </w:rPr>
        <w:t xml:space="preserve">who is then appointed executor or administrator of the donor’s estate. When the rule is engaged, the vesting in the </w:t>
      </w:r>
      <w:proofErr w:type="spellStart"/>
      <w:r w:rsidRPr="0073109B">
        <w:rPr>
          <w:rFonts w:cstheme="minorHAnsi"/>
        </w:rPr>
        <w:t>donee</w:t>
      </w:r>
      <w:proofErr w:type="spellEnd"/>
      <w:r w:rsidR="006E73F7" w:rsidRPr="0073109B">
        <w:rPr>
          <w:rFonts w:cstheme="minorHAnsi"/>
        </w:rPr>
        <w:t xml:space="preserve"> or trustee</w:t>
      </w:r>
      <w:r w:rsidRPr="0073109B">
        <w:rPr>
          <w:rFonts w:cstheme="minorHAnsi"/>
        </w:rPr>
        <w:t xml:space="preserve">, in their capacity as executor or administrator, of legal title to the gift is regarded by equity as having perfected the gift. </w:t>
      </w:r>
      <w:r w:rsidR="00372282" w:rsidRPr="0073109B">
        <w:rPr>
          <w:rFonts w:cstheme="minorHAnsi"/>
        </w:rPr>
        <w:t xml:space="preserve">In </w:t>
      </w:r>
      <w:r w:rsidRPr="0073109B">
        <w:rPr>
          <w:rFonts w:cstheme="minorHAnsi"/>
          <w:iCs/>
        </w:rPr>
        <w:t xml:space="preserve">the eponymous case, </w:t>
      </w:r>
      <w:r w:rsidR="00372282" w:rsidRPr="0073109B">
        <w:rPr>
          <w:rFonts w:cstheme="minorHAnsi"/>
        </w:rPr>
        <w:t xml:space="preserve">Bird borrowed money from his stepmother. Rather than him repaying the loan directly, they agreed that she would pay him reduced rent for a property belonging to him that she was living in until the debt was discharged. However, after a while, she decided to cancel the debt, and insisted on paying full rent. It was not possible to release a debt without a deed, however, so when the stepmother died, £900 was still owing. Under the stepmother’s will, Bird was appointed executor of </w:t>
      </w:r>
      <w:r w:rsidRPr="0073109B">
        <w:rPr>
          <w:rFonts w:cstheme="minorHAnsi"/>
        </w:rPr>
        <w:t>her</w:t>
      </w:r>
      <w:r w:rsidR="00372282" w:rsidRPr="0073109B">
        <w:rPr>
          <w:rFonts w:cstheme="minorHAnsi"/>
        </w:rPr>
        <w:t xml:space="preserve"> estate. An action was brought </w:t>
      </w:r>
      <w:r w:rsidR="00372282" w:rsidRPr="0073109B">
        <w:rPr>
          <w:rFonts w:cstheme="minorHAnsi"/>
        </w:rPr>
        <w:lastRenderedPageBreak/>
        <w:t>by other relatives for repayment of the debt. The court held that there was no debt. Bird’s appointment as executor released the debt at law. The stepmother’s continuing intention to release him from the debt (by refusing to pay reduced rent) released the debt at equity</w:t>
      </w:r>
      <w:r w:rsidR="005512FA">
        <w:rPr>
          <w:rFonts w:cstheme="minorHAnsi"/>
        </w:rPr>
        <w:t xml:space="preserve">. </w:t>
      </w:r>
      <w:r w:rsidR="00372282" w:rsidRPr="0073109B">
        <w:rPr>
          <w:rFonts w:cstheme="minorHAnsi"/>
        </w:rPr>
        <w:t xml:space="preserve">As </w:t>
      </w:r>
      <w:proofErr w:type="spellStart"/>
      <w:r w:rsidR="00372282" w:rsidRPr="0073109B">
        <w:rPr>
          <w:rFonts w:cstheme="minorHAnsi"/>
        </w:rPr>
        <w:t>Jessell</w:t>
      </w:r>
      <w:proofErr w:type="spellEnd"/>
      <w:r w:rsidR="00372282" w:rsidRPr="0073109B">
        <w:rPr>
          <w:rFonts w:cstheme="minorHAnsi"/>
        </w:rPr>
        <w:t xml:space="preserve"> MR put it, the plaintiff ‘had perfect title to the £900’. </w:t>
      </w:r>
    </w:p>
    <w:p w14:paraId="1F64E5C0" w14:textId="4827066E" w:rsidR="00372282" w:rsidRPr="0073109B" w:rsidRDefault="00372282" w:rsidP="0002008A">
      <w:pPr>
        <w:spacing w:after="100" w:afterAutospacing="1" w:line="240" w:lineRule="auto"/>
        <w:jc w:val="both"/>
        <w:rPr>
          <w:rFonts w:cstheme="minorHAnsi"/>
          <w:b/>
        </w:rPr>
      </w:pPr>
      <w:r w:rsidRPr="0073109B">
        <w:rPr>
          <w:rFonts w:cstheme="minorHAnsi"/>
          <w:bCs/>
        </w:rPr>
        <w:t xml:space="preserve">The requirements for the rule in </w:t>
      </w:r>
      <w:r w:rsidRPr="0073109B">
        <w:rPr>
          <w:rFonts w:cstheme="minorHAnsi"/>
          <w:bCs/>
          <w:i/>
          <w:iCs/>
        </w:rPr>
        <w:t xml:space="preserve">Strong v Bird </w:t>
      </w:r>
      <w:r w:rsidRPr="0073109B">
        <w:rPr>
          <w:rFonts w:cstheme="minorHAnsi"/>
          <w:bCs/>
        </w:rPr>
        <w:t xml:space="preserve">are that there </w:t>
      </w:r>
      <w:r w:rsidRPr="0073109B">
        <w:rPr>
          <w:rFonts w:cstheme="minorHAnsi"/>
        </w:rPr>
        <w:t>must be:</w:t>
      </w:r>
    </w:p>
    <w:p w14:paraId="7CCEB071" w14:textId="77777777" w:rsidR="00372282" w:rsidRPr="0073109B" w:rsidRDefault="00372282" w:rsidP="0002008A">
      <w:pPr>
        <w:widowControl w:val="0"/>
        <w:numPr>
          <w:ilvl w:val="1"/>
          <w:numId w:val="49"/>
        </w:numPr>
        <w:suppressAutoHyphens/>
        <w:spacing w:after="100" w:afterAutospacing="1" w:line="240" w:lineRule="auto"/>
        <w:jc w:val="both"/>
        <w:textAlignment w:val="baseline"/>
        <w:rPr>
          <w:rFonts w:cstheme="minorHAnsi"/>
        </w:rPr>
      </w:pPr>
      <w:r w:rsidRPr="0073109B">
        <w:rPr>
          <w:rFonts w:cstheme="minorHAnsi"/>
        </w:rPr>
        <w:t xml:space="preserve">an attempt to make immediate </w:t>
      </w:r>
      <w:r w:rsidRPr="0073109B">
        <w:rPr>
          <w:rFonts w:cstheme="minorHAnsi"/>
          <w:i/>
          <w:iCs/>
        </w:rPr>
        <w:t xml:space="preserve">inter </w:t>
      </w:r>
      <w:proofErr w:type="spellStart"/>
      <w:r w:rsidRPr="0073109B">
        <w:rPr>
          <w:rFonts w:cstheme="minorHAnsi"/>
          <w:i/>
          <w:iCs/>
        </w:rPr>
        <w:t>vivos</w:t>
      </w:r>
      <w:proofErr w:type="spellEnd"/>
      <w:r w:rsidRPr="0073109B">
        <w:rPr>
          <w:rFonts w:cstheme="minorHAnsi"/>
          <w:i/>
          <w:iCs/>
        </w:rPr>
        <w:t xml:space="preserve"> </w:t>
      </w:r>
      <w:r w:rsidRPr="0073109B">
        <w:rPr>
          <w:rFonts w:cstheme="minorHAnsi"/>
        </w:rPr>
        <w:t xml:space="preserve">gift of specific </w:t>
      </w:r>
      <w:proofErr w:type="gramStart"/>
      <w:r w:rsidRPr="0073109B">
        <w:rPr>
          <w:rFonts w:cstheme="minorHAnsi"/>
        </w:rPr>
        <w:t>property;</w:t>
      </w:r>
      <w:proofErr w:type="gramEnd"/>
    </w:p>
    <w:p w14:paraId="2053DA03" w14:textId="77777777" w:rsidR="00372282" w:rsidRPr="0073109B" w:rsidRDefault="00372282" w:rsidP="0002008A">
      <w:pPr>
        <w:widowControl w:val="0"/>
        <w:numPr>
          <w:ilvl w:val="1"/>
          <w:numId w:val="49"/>
        </w:numPr>
        <w:suppressAutoHyphens/>
        <w:spacing w:after="100" w:afterAutospacing="1" w:line="240" w:lineRule="auto"/>
        <w:jc w:val="both"/>
        <w:textAlignment w:val="baseline"/>
        <w:rPr>
          <w:rFonts w:cstheme="minorHAnsi"/>
        </w:rPr>
      </w:pPr>
      <w:r w:rsidRPr="0073109B">
        <w:rPr>
          <w:rFonts w:cstheme="minorHAnsi"/>
        </w:rPr>
        <w:t xml:space="preserve">a continuing intention on the part of the donor to make the gift, and this intention must persist until the donor’s </w:t>
      </w:r>
      <w:proofErr w:type="gramStart"/>
      <w:r w:rsidRPr="0073109B">
        <w:rPr>
          <w:rFonts w:cstheme="minorHAnsi"/>
        </w:rPr>
        <w:t>death;</w:t>
      </w:r>
      <w:proofErr w:type="gramEnd"/>
    </w:p>
    <w:p w14:paraId="52C2BF6F" w14:textId="2812A0DB" w:rsidR="00372282" w:rsidRPr="005512FA" w:rsidRDefault="00372282" w:rsidP="0002008A">
      <w:pPr>
        <w:widowControl w:val="0"/>
        <w:numPr>
          <w:ilvl w:val="1"/>
          <w:numId w:val="49"/>
        </w:numPr>
        <w:suppressAutoHyphens/>
        <w:spacing w:after="100" w:afterAutospacing="1" w:line="240" w:lineRule="auto"/>
        <w:jc w:val="both"/>
        <w:textAlignment w:val="baseline"/>
        <w:rPr>
          <w:rFonts w:cstheme="minorHAnsi"/>
        </w:rPr>
      </w:pPr>
      <w:r w:rsidRPr="0073109B">
        <w:rPr>
          <w:rFonts w:cstheme="minorHAnsi"/>
        </w:rPr>
        <w:t xml:space="preserve">legal title to the subject matter of the gift must be vested in the </w:t>
      </w:r>
      <w:proofErr w:type="spellStart"/>
      <w:r w:rsidRPr="0073109B">
        <w:rPr>
          <w:rFonts w:cstheme="minorHAnsi"/>
        </w:rPr>
        <w:t>donee</w:t>
      </w:r>
      <w:proofErr w:type="spellEnd"/>
      <w:r w:rsidRPr="0073109B">
        <w:rPr>
          <w:rFonts w:cstheme="minorHAnsi"/>
        </w:rPr>
        <w:t xml:space="preserve"> after the death of the donor as his capacity as executor/administrator of the donor’s estate.</w:t>
      </w:r>
    </w:p>
    <w:p w14:paraId="28C8FE79" w14:textId="41BD46D7" w:rsidR="00372282" w:rsidRPr="0073109B" w:rsidRDefault="001A698C" w:rsidP="0002008A">
      <w:pPr>
        <w:spacing w:after="100" w:afterAutospacing="1" w:line="240" w:lineRule="auto"/>
        <w:jc w:val="both"/>
        <w:rPr>
          <w:rFonts w:cstheme="minorHAnsi"/>
          <w:i/>
          <w:iCs/>
        </w:rPr>
      </w:pPr>
      <w:r w:rsidRPr="0073109B">
        <w:rPr>
          <w:rFonts w:cstheme="minorHAnsi"/>
          <w:i/>
          <w:iCs/>
        </w:rPr>
        <w:t>Re James</w:t>
      </w:r>
      <w:r w:rsidR="00372282" w:rsidRPr="0073109B">
        <w:rPr>
          <w:rFonts w:cstheme="minorHAnsi"/>
          <w:i/>
        </w:rPr>
        <w:t xml:space="preserve"> </w:t>
      </w:r>
      <w:r w:rsidR="00372282" w:rsidRPr="0073109B">
        <w:rPr>
          <w:rFonts w:cstheme="minorHAnsi"/>
        </w:rPr>
        <w:t>[1935] Ch 449</w:t>
      </w:r>
      <w:r w:rsidRPr="0073109B">
        <w:rPr>
          <w:rFonts w:cstheme="minorHAnsi"/>
        </w:rPr>
        <w:t xml:space="preserve"> provides a good example of the application of the rule to a case concerning an administrator</w:t>
      </w:r>
      <w:r w:rsidR="00372282" w:rsidRPr="0073109B">
        <w:rPr>
          <w:rFonts w:cstheme="minorHAnsi"/>
        </w:rPr>
        <w:t xml:space="preserve">. </w:t>
      </w:r>
      <w:r w:rsidRPr="0073109B">
        <w:rPr>
          <w:rFonts w:cstheme="minorHAnsi"/>
        </w:rPr>
        <w:t xml:space="preserve">James </w:t>
      </w:r>
      <w:proofErr w:type="spellStart"/>
      <w:r w:rsidRPr="0073109B">
        <w:rPr>
          <w:rFonts w:cstheme="minorHAnsi"/>
        </w:rPr>
        <w:t>James</w:t>
      </w:r>
      <w:proofErr w:type="spellEnd"/>
      <w:r w:rsidRPr="0073109B">
        <w:rPr>
          <w:rFonts w:cstheme="minorHAnsi"/>
        </w:rPr>
        <w:t xml:space="preserve"> originally owned the land in question. </w:t>
      </w:r>
      <w:r w:rsidR="00372282" w:rsidRPr="0073109B">
        <w:rPr>
          <w:rFonts w:cstheme="minorHAnsi"/>
        </w:rPr>
        <w:t xml:space="preserve">Sarah worked without pay </w:t>
      </w:r>
      <w:r w:rsidRPr="0073109B">
        <w:rPr>
          <w:rFonts w:cstheme="minorHAnsi"/>
        </w:rPr>
        <w:t xml:space="preserve">for many years </w:t>
      </w:r>
      <w:r w:rsidR="00372282" w:rsidRPr="0073109B">
        <w:rPr>
          <w:rFonts w:cstheme="minorHAnsi"/>
        </w:rPr>
        <w:t xml:space="preserve">as his housekeeper. </w:t>
      </w:r>
      <w:r w:rsidRPr="0073109B">
        <w:rPr>
          <w:rFonts w:cstheme="minorHAnsi"/>
        </w:rPr>
        <w:t>James</w:t>
      </w:r>
      <w:r w:rsidR="000074BD" w:rsidRPr="0073109B">
        <w:rPr>
          <w:rFonts w:cstheme="minorHAnsi"/>
        </w:rPr>
        <w:t xml:space="preserve"> </w:t>
      </w:r>
      <w:r w:rsidR="00372282" w:rsidRPr="0073109B">
        <w:rPr>
          <w:rFonts w:cstheme="minorHAnsi"/>
        </w:rPr>
        <w:t xml:space="preserve">assured her that the house was to be hers upon his death. He died intestate, however, and the house passed </w:t>
      </w:r>
      <w:r w:rsidRPr="0073109B">
        <w:rPr>
          <w:rFonts w:cstheme="minorHAnsi"/>
        </w:rPr>
        <w:t>to his son, John James</w:t>
      </w:r>
      <w:r w:rsidR="00372282" w:rsidRPr="0073109B">
        <w:rPr>
          <w:rFonts w:cstheme="minorHAnsi"/>
        </w:rPr>
        <w:t xml:space="preserve">. </w:t>
      </w:r>
      <w:r w:rsidRPr="0073109B">
        <w:rPr>
          <w:rFonts w:cstheme="minorHAnsi"/>
        </w:rPr>
        <w:t xml:space="preserve">John decided to honour his father’s promise to Sarah. He </w:t>
      </w:r>
      <w:r w:rsidR="00372282" w:rsidRPr="0073109B">
        <w:rPr>
          <w:rFonts w:cstheme="minorHAnsi"/>
        </w:rPr>
        <w:t>gave the title deeds</w:t>
      </w:r>
      <w:r w:rsidRPr="0073109B">
        <w:rPr>
          <w:rFonts w:cstheme="minorHAnsi"/>
        </w:rPr>
        <w:t xml:space="preserve"> to the land,</w:t>
      </w:r>
      <w:r w:rsidR="00372282" w:rsidRPr="0073109B">
        <w:rPr>
          <w:rFonts w:cstheme="minorHAnsi"/>
        </w:rPr>
        <w:t xml:space="preserve"> and most of the furniture</w:t>
      </w:r>
      <w:r w:rsidRPr="0073109B">
        <w:rPr>
          <w:rFonts w:cstheme="minorHAnsi"/>
        </w:rPr>
        <w:t>,</w:t>
      </w:r>
      <w:r w:rsidR="00372282" w:rsidRPr="0073109B">
        <w:rPr>
          <w:rFonts w:cstheme="minorHAnsi"/>
        </w:rPr>
        <w:t xml:space="preserve"> to </w:t>
      </w:r>
      <w:r w:rsidRPr="0073109B">
        <w:rPr>
          <w:rFonts w:cstheme="minorHAnsi"/>
        </w:rPr>
        <w:t>her</w:t>
      </w:r>
      <w:r w:rsidR="00372282" w:rsidRPr="0073109B">
        <w:rPr>
          <w:rFonts w:cstheme="minorHAnsi"/>
        </w:rPr>
        <w:t xml:space="preserve"> and </w:t>
      </w:r>
      <w:r w:rsidR="000074BD" w:rsidRPr="0073109B">
        <w:rPr>
          <w:rFonts w:cstheme="minorHAnsi"/>
        </w:rPr>
        <w:t xml:space="preserve">he </w:t>
      </w:r>
      <w:r w:rsidR="00372282" w:rsidRPr="0073109B">
        <w:rPr>
          <w:rFonts w:cstheme="minorHAnsi"/>
        </w:rPr>
        <w:t xml:space="preserve">allowed her to live in the house with her husband. </w:t>
      </w:r>
      <w:r w:rsidR="000074BD" w:rsidRPr="0073109B">
        <w:rPr>
          <w:rFonts w:cstheme="minorHAnsi"/>
        </w:rPr>
        <w:t xml:space="preserve">But because he did not execute any deed of conveyance in Sarah’s favour, this was an imperfect gift. John eventually died intestate. </w:t>
      </w:r>
      <w:r w:rsidR="00372282" w:rsidRPr="0073109B">
        <w:rPr>
          <w:rFonts w:cstheme="minorHAnsi"/>
        </w:rPr>
        <w:t xml:space="preserve">When the Sarah was appointed joint administratrix of his estate. She successfully claimed the house under the rule in </w:t>
      </w:r>
      <w:r w:rsidR="00372282" w:rsidRPr="0073109B">
        <w:rPr>
          <w:rFonts w:cstheme="minorHAnsi"/>
          <w:i/>
        </w:rPr>
        <w:t>Strong v Bird</w:t>
      </w:r>
      <w:r w:rsidR="00372282" w:rsidRPr="0073109B">
        <w:rPr>
          <w:rFonts w:cstheme="minorHAnsi"/>
        </w:rPr>
        <w:t xml:space="preserve">. There was an attempt by </w:t>
      </w:r>
      <w:r w:rsidR="000074BD" w:rsidRPr="0073109B">
        <w:rPr>
          <w:rFonts w:cstheme="minorHAnsi"/>
        </w:rPr>
        <w:t xml:space="preserve">John </w:t>
      </w:r>
      <w:r w:rsidR="00372282" w:rsidRPr="0073109B">
        <w:rPr>
          <w:rFonts w:cstheme="minorHAnsi"/>
        </w:rPr>
        <w:t xml:space="preserve">to make an immediate </w:t>
      </w:r>
      <w:r w:rsidR="00372282" w:rsidRPr="0073109B">
        <w:rPr>
          <w:rFonts w:cstheme="minorHAnsi"/>
          <w:i/>
        </w:rPr>
        <w:t xml:space="preserve">inter </w:t>
      </w:r>
      <w:proofErr w:type="spellStart"/>
      <w:r w:rsidR="00372282" w:rsidRPr="0073109B">
        <w:rPr>
          <w:rFonts w:cstheme="minorHAnsi"/>
          <w:i/>
        </w:rPr>
        <w:t>vivos</w:t>
      </w:r>
      <w:proofErr w:type="spellEnd"/>
      <w:r w:rsidR="00372282" w:rsidRPr="0073109B">
        <w:rPr>
          <w:rFonts w:cstheme="minorHAnsi"/>
          <w:i/>
        </w:rPr>
        <w:t xml:space="preserve"> </w:t>
      </w:r>
      <w:r w:rsidR="00372282" w:rsidRPr="0073109B">
        <w:rPr>
          <w:rFonts w:cstheme="minorHAnsi"/>
        </w:rPr>
        <w:t>gift of the house to her, a continuing intention on his part to make the gift</w:t>
      </w:r>
      <w:r w:rsidR="000074BD" w:rsidRPr="0073109B">
        <w:rPr>
          <w:rFonts w:cstheme="minorHAnsi"/>
        </w:rPr>
        <w:t xml:space="preserve"> (because she lived there until his John’s death)</w:t>
      </w:r>
      <w:r w:rsidR="00372282" w:rsidRPr="0073109B">
        <w:rPr>
          <w:rFonts w:cstheme="minorHAnsi"/>
        </w:rPr>
        <w:t xml:space="preserve">, and she acquired legal title to the house after his death in her capacity as administrator. </w:t>
      </w:r>
    </w:p>
    <w:p w14:paraId="792F787D" w14:textId="59E9A4D1" w:rsidR="00372282" w:rsidRPr="0073109B" w:rsidRDefault="000074BD" w:rsidP="0002008A">
      <w:pPr>
        <w:spacing w:after="100" w:afterAutospacing="1" w:line="240" w:lineRule="auto"/>
        <w:jc w:val="both"/>
        <w:rPr>
          <w:rFonts w:cstheme="minorHAnsi"/>
        </w:rPr>
      </w:pPr>
      <w:r w:rsidRPr="0073109B">
        <w:rPr>
          <w:rFonts w:cstheme="minorHAnsi"/>
        </w:rPr>
        <w:t>The rather tragic case of</w:t>
      </w:r>
      <w:r w:rsidR="00372282" w:rsidRPr="0073109B">
        <w:rPr>
          <w:rFonts w:cstheme="minorHAnsi"/>
        </w:rPr>
        <w:t xml:space="preserve"> </w:t>
      </w:r>
      <w:r w:rsidR="00372282" w:rsidRPr="0073109B">
        <w:rPr>
          <w:rFonts w:cstheme="minorHAnsi"/>
          <w:i/>
        </w:rPr>
        <w:t xml:space="preserve">Re </w:t>
      </w:r>
      <w:proofErr w:type="spellStart"/>
      <w:r w:rsidR="00372282" w:rsidRPr="0073109B">
        <w:rPr>
          <w:rFonts w:cstheme="minorHAnsi"/>
          <w:i/>
        </w:rPr>
        <w:t>Gonin</w:t>
      </w:r>
      <w:proofErr w:type="spellEnd"/>
      <w:r w:rsidR="00372282" w:rsidRPr="0073109B">
        <w:rPr>
          <w:rFonts w:cstheme="minorHAnsi"/>
        </w:rPr>
        <w:t xml:space="preserve"> [1979] Ch 16</w:t>
      </w:r>
      <w:r w:rsidRPr="0073109B">
        <w:rPr>
          <w:rFonts w:cstheme="minorHAnsi"/>
        </w:rPr>
        <w:t xml:space="preserve">, however, illustrates the importance of satisfying all of the requirements of the rule in </w:t>
      </w:r>
      <w:r w:rsidRPr="0073109B">
        <w:rPr>
          <w:rFonts w:cstheme="minorHAnsi"/>
          <w:i/>
          <w:iCs/>
        </w:rPr>
        <w:t>Strong v Bird</w:t>
      </w:r>
      <w:r w:rsidR="00372282" w:rsidRPr="0073109B">
        <w:rPr>
          <w:rFonts w:cstheme="minorHAnsi"/>
        </w:rPr>
        <w:t xml:space="preserve">. In </w:t>
      </w:r>
      <w:proofErr w:type="spellStart"/>
      <w:r w:rsidRPr="0073109B">
        <w:rPr>
          <w:rFonts w:cstheme="minorHAnsi"/>
          <w:i/>
          <w:iCs/>
        </w:rPr>
        <w:t>Gonin</w:t>
      </w:r>
      <w:proofErr w:type="spellEnd"/>
      <w:r w:rsidR="00372282" w:rsidRPr="0073109B">
        <w:rPr>
          <w:rFonts w:cstheme="minorHAnsi"/>
        </w:rPr>
        <w:t>,</w:t>
      </w:r>
      <w:r w:rsidRPr="0073109B">
        <w:rPr>
          <w:rFonts w:cstheme="minorHAnsi"/>
        </w:rPr>
        <w:t xml:space="preserve"> a</w:t>
      </w:r>
      <w:r w:rsidR="00372282" w:rsidRPr="0073109B">
        <w:rPr>
          <w:rFonts w:cstheme="minorHAnsi"/>
        </w:rPr>
        <w:t xml:space="preserve"> mother and father stated their intention that their daughter, Lucy, could have the family home after their deaths if Lucy nursed them in their old age. </w:t>
      </w:r>
      <w:r w:rsidRPr="0073109B">
        <w:rPr>
          <w:rFonts w:cstheme="minorHAnsi"/>
        </w:rPr>
        <w:t xml:space="preserve">Lucy had lost her fiancé in the second world war, so she agreed to this plan. </w:t>
      </w:r>
      <w:r w:rsidR="00372282" w:rsidRPr="0073109B">
        <w:rPr>
          <w:rFonts w:cstheme="minorHAnsi"/>
        </w:rPr>
        <w:t>The father died first, leaving the mother as sole owner of the land.</w:t>
      </w:r>
      <w:r w:rsidRPr="0073109B">
        <w:rPr>
          <w:rFonts w:cstheme="minorHAnsi"/>
        </w:rPr>
        <w:t xml:space="preserve"> The mother contemplated executing a </w:t>
      </w:r>
      <w:r w:rsidR="00372282" w:rsidRPr="0073109B">
        <w:rPr>
          <w:rFonts w:cstheme="minorHAnsi"/>
        </w:rPr>
        <w:t>will bequeathing the land to Lucy</w:t>
      </w:r>
      <w:r w:rsidRPr="0073109B">
        <w:rPr>
          <w:rFonts w:cstheme="minorHAnsi"/>
        </w:rPr>
        <w:t xml:space="preserve">. But Lucy had been born out of wedlock (before her parents married). The mother thought (erroneously) that this meant that she could not bequeath any property to Lucy by will. So, in lieu of a bequest of the house, the mother wrote a substantial cheque in Lucy’s favour and put it aside. When the mother died, Lucy discovered the cheque. Because the cheque had not been paid into the bank (so had not cleared) </w:t>
      </w:r>
      <w:r w:rsidR="005512FA">
        <w:rPr>
          <w:rFonts w:cstheme="minorHAnsi"/>
        </w:rPr>
        <w:t>by</w:t>
      </w:r>
      <w:r w:rsidRPr="0073109B">
        <w:rPr>
          <w:rFonts w:cstheme="minorHAnsi"/>
        </w:rPr>
        <w:t xml:space="preserve"> the time of the mother’s death, Lucy was unable to claim the money. Lucy was, however, appointed administratrix of her mother’s estate. She therefore claimed the house under the rule in </w:t>
      </w:r>
      <w:r w:rsidRPr="0073109B">
        <w:rPr>
          <w:rFonts w:cstheme="minorHAnsi"/>
          <w:i/>
          <w:iCs/>
        </w:rPr>
        <w:t>Strong v Bird</w:t>
      </w:r>
      <w:r w:rsidRPr="0073109B">
        <w:rPr>
          <w:rFonts w:cstheme="minorHAnsi"/>
        </w:rPr>
        <w:t xml:space="preserve">. Her claim was unsuccessful because </w:t>
      </w:r>
      <w:r w:rsidR="006E73F7" w:rsidRPr="0073109B">
        <w:rPr>
          <w:rFonts w:cstheme="minorHAnsi"/>
        </w:rPr>
        <w:t xml:space="preserve">requirements for the rule in </w:t>
      </w:r>
      <w:r w:rsidR="006E73F7" w:rsidRPr="0073109B">
        <w:rPr>
          <w:rFonts w:cstheme="minorHAnsi"/>
          <w:i/>
        </w:rPr>
        <w:t xml:space="preserve">Strong v Bird </w:t>
      </w:r>
      <w:r w:rsidR="006E73F7" w:rsidRPr="0073109B">
        <w:rPr>
          <w:rFonts w:cstheme="minorHAnsi"/>
        </w:rPr>
        <w:t xml:space="preserve">were not satisfied. There was no intention to make an immediate </w:t>
      </w:r>
      <w:r w:rsidR="006E73F7" w:rsidRPr="0073109B">
        <w:rPr>
          <w:rFonts w:cstheme="minorHAnsi"/>
          <w:i/>
          <w:iCs/>
        </w:rPr>
        <w:t xml:space="preserve">inter </w:t>
      </w:r>
      <w:proofErr w:type="spellStart"/>
      <w:r w:rsidR="006E73F7" w:rsidRPr="0073109B">
        <w:rPr>
          <w:rFonts w:cstheme="minorHAnsi"/>
          <w:i/>
          <w:iCs/>
        </w:rPr>
        <w:t>vivos</w:t>
      </w:r>
      <w:proofErr w:type="spellEnd"/>
      <w:r w:rsidR="006E73F7" w:rsidRPr="0073109B">
        <w:rPr>
          <w:rFonts w:cstheme="minorHAnsi"/>
          <w:i/>
          <w:iCs/>
        </w:rPr>
        <w:t xml:space="preserve"> </w:t>
      </w:r>
      <w:r w:rsidR="006E73F7" w:rsidRPr="0073109B">
        <w:rPr>
          <w:rFonts w:cstheme="minorHAnsi"/>
        </w:rPr>
        <w:t xml:space="preserve">gift of the land (and the cheque was evidence that there was no intention at all for Lucy to inherit the land). </w:t>
      </w:r>
    </w:p>
    <w:p w14:paraId="07EDAF3C" w14:textId="77777777" w:rsidR="00372282" w:rsidRPr="0073109B" w:rsidRDefault="00372282" w:rsidP="0002008A">
      <w:pPr>
        <w:spacing w:after="100" w:afterAutospacing="1" w:line="240" w:lineRule="auto"/>
        <w:jc w:val="both"/>
        <w:rPr>
          <w:rFonts w:cstheme="minorHAnsi"/>
        </w:rPr>
      </w:pPr>
    </w:p>
    <w:p w14:paraId="279F0A26" w14:textId="26419536" w:rsidR="00F76033" w:rsidRPr="0073109B" w:rsidRDefault="0073109B" w:rsidP="0002008A">
      <w:pPr>
        <w:pStyle w:val="ListParagraph"/>
        <w:numPr>
          <w:ilvl w:val="0"/>
          <w:numId w:val="48"/>
        </w:numPr>
        <w:spacing w:after="100" w:afterAutospacing="1" w:line="240" w:lineRule="auto"/>
        <w:jc w:val="both"/>
        <w:rPr>
          <w:rFonts w:eastAsia="MS Mincho" w:cstheme="minorHAnsi"/>
          <w:b/>
          <w:bCs/>
          <w:lang w:bidi="en-US"/>
        </w:rPr>
      </w:pPr>
      <w:bookmarkStart w:id="0" w:name="_Toc431463020"/>
      <w:proofErr w:type="spellStart"/>
      <w:r>
        <w:rPr>
          <w:rFonts w:eastAsia="MS Mincho" w:cstheme="minorHAnsi"/>
          <w:b/>
          <w:bCs/>
          <w:i/>
          <w:iCs/>
          <w:lang w:bidi="en-US"/>
        </w:rPr>
        <w:t>Donationes</w:t>
      </w:r>
      <w:proofErr w:type="spellEnd"/>
      <w:r>
        <w:rPr>
          <w:rFonts w:eastAsia="MS Mincho" w:cstheme="minorHAnsi"/>
          <w:b/>
          <w:bCs/>
          <w:i/>
          <w:iCs/>
          <w:lang w:bidi="en-US"/>
        </w:rPr>
        <w:t xml:space="preserve"> Mortis Causa</w:t>
      </w:r>
    </w:p>
    <w:bookmarkEnd w:id="0"/>
    <w:p w14:paraId="22A645EE" w14:textId="77777777" w:rsidR="006E73F7" w:rsidRPr="0073109B" w:rsidRDefault="006E73F7" w:rsidP="0002008A">
      <w:pPr>
        <w:spacing w:after="100" w:afterAutospacing="1" w:line="240" w:lineRule="auto"/>
        <w:jc w:val="both"/>
        <w:rPr>
          <w:rFonts w:eastAsia="MS Mincho" w:cstheme="minorHAnsi"/>
          <w:lang w:bidi="en-US"/>
        </w:rPr>
      </w:pPr>
    </w:p>
    <w:p w14:paraId="04943DB2" w14:textId="02744CDA" w:rsidR="006E73F7" w:rsidRPr="0073109B" w:rsidRDefault="006E73F7" w:rsidP="0002008A">
      <w:pPr>
        <w:pStyle w:val="ListParagraph"/>
        <w:numPr>
          <w:ilvl w:val="0"/>
          <w:numId w:val="65"/>
        </w:numPr>
        <w:spacing w:after="100" w:afterAutospacing="1" w:line="240" w:lineRule="auto"/>
        <w:jc w:val="both"/>
        <w:rPr>
          <w:rFonts w:cstheme="minorHAnsi"/>
          <w:bCs/>
        </w:rPr>
      </w:pPr>
      <w:r w:rsidRPr="0073109B">
        <w:rPr>
          <w:rFonts w:cstheme="minorHAnsi"/>
          <w:bCs/>
        </w:rPr>
        <w:t xml:space="preserve">What is a </w:t>
      </w:r>
      <w:proofErr w:type="spellStart"/>
      <w:r w:rsidRPr="0073109B">
        <w:rPr>
          <w:rFonts w:cstheme="minorHAnsi"/>
          <w:bCs/>
        </w:rPr>
        <w:t>Donatio</w:t>
      </w:r>
      <w:proofErr w:type="spellEnd"/>
      <w:r w:rsidRPr="0073109B">
        <w:rPr>
          <w:rFonts w:cstheme="minorHAnsi"/>
          <w:bCs/>
        </w:rPr>
        <w:t xml:space="preserve"> Mortis Causa?</w:t>
      </w:r>
    </w:p>
    <w:p w14:paraId="460F7822" w14:textId="77777777" w:rsidR="006E73F7" w:rsidRPr="0073109B" w:rsidRDefault="006E73F7" w:rsidP="0002008A">
      <w:pPr>
        <w:spacing w:after="100" w:afterAutospacing="1" w:line="240" w:lineRule="auto"/>
        <w:jc w:val="both"/>
        <w:rPr>
          <w:rFonts w:cstheme="minorHAnsi"/>
        </w:rPr>
      </w:pPr>
    </w:p>
    <w:p w14:paraId="5A80791B" w14:textId="0D759B83" w:rsidR="006E73F7" w:rsidRPr="0073109B" w:rsidRDefault="006E73F7" w:rsidP="0002008A">
      <w:pPr>
        <w:spacing w:after="100" w:afterAutospacing="1" w:line="240" w:lineRule="auto"/>
        <w:jc w:val="both"/>
        <w:rPr>
          <w:rFonts w:cstheme="minorHAnsi"/>
        </w:rPr>
      </w:pPr>
      <w:r w:rsidRPr="00FE14D5">
        <w:rPr>
          <w:rFonts w:cstheme="minorHAnsi"/>
          <w:b/>
          <w:bCs/>
        </w:rPr>
        <w:lastRenderedPageBreak/>
        <w:t xml:space="preserve">A </w:t>
      </w:r>
      <w:proofErr w:type="spellStart"/>
      <w:r w:rsidRPr="00FE14D5">
        <w:rPr>
          <w:rFonts w:cstheme="minorHAnsi"/>
          <w:b/>
          <w:bCs/>
          <w:i/>
        </w:rPr>
        <w:t>donatio</w:t>
      </w:r>
      <w:proofErr w:type="spellEnd"/>
      <w:r w:rsidRPr="00FE14D5">
        <w:rPr>
          <w:rFonts w:cstheme="minorHAnsi"/>
          <w:b/>
          <w:bCs/>
          <w:i/>
        </w:rPr>
        <w:t xml:space="preserve"> mortis causa</w:t>
      </w:r>
      <w:r w:rsidRPr="00FE14D5">
        <w:rPr>
          <w:rFonts w:cstheme="minorHAnsi"/>
          <w:b/>
          <w:bCs/>
        </w:rPr>
        <w:t xml:space="preserve"> (DMC) is a gift recognised by equity that is made in contemplation of death</w:t>
      </w:r>
      <w:r w:rsidRPr="0073109B">
        <w:rPr>
          <w:rFonts w:cstheme="minorHAnsi"/>
        </w:rPr>
        <w:t xml:space="preserve">. It is conditional upon death and only takes effect on the donor’s death. It is independent of the donor’s will, if there is a will, and nothing in the will can revoke it (i.e. it takes precedence over any dispositions in the will). Put another way, equity will recognise gifts by DMC to the </w:t>
      </w:r>
      <w:proofErr w:type="spellStart"/>
      <w:r w:rsidRPr="0073109B">
        <w:rPr>
          <w:rFonts w:cstheme="minorHAnsi"/>
        </w:rPr>
        <w:t>donee</w:t>
      </w:r>
      <w:proofErr w:type="spellEnd"/>
      <w:r w:rsidRPr="0073109B">
        <w:rPr>
          <w:rFonts w:cstheme="minorHAnsi"/>
        </w:rPr>
        <w:t xml:space="preserve"> when legal title has not passed to the </w:t>
      </w:r>
      <w:proofErr w:type="spellStart"/>
      <w:r w:rsidRPr="0073109B">
        <w:rPr>
          <w:rFonts w:cstheme="minorHAnsi"/>
        </w:rPr>
        <w:t>donee</w:t>
      </w:r>
      <w:proofErr w:type="spellEnd"/>
      <w:r w:rsidRPr="0073109B">
        <w:rPr>
          <w:rFonts w:cstheme="minorHAnsi"/>
        </w:rPr>
        <w:t xml:space="preserve">. A valid DMC raises a constructive trust so that, when the donor dies, his executor, administrator or heir holds the subject matter of the DMC on trust for the </w:t>
      </w:r>
      <w:proofErr w:type="spellStart"/>
      <w:r w:rsidRPr="0073109B">
        <w:rPr>
          <w:rFonts w:cstheme="minorHAnsi"/>
        </w:rPr>
        <w:t>donee</w:t>
      </w:r>
      <w:proofErr w:type="spellEnd"/>
      <w:r w:rsidRPr="0073109B">
        <w:rPr>
          <w:rFonts w:cstheme="minorHAnsi"/>
        </w:rPr>
        <w:t xml:space="preserve">. Thus, provided the criteria for a valid DMC are satisfied, equity will assist the </w:t>
      </w:r>
      <w:proofErr w:type="spellStart"/>
      <w:r w:rsidRPr="0073109B">
        <w:rPr>
          <w:rFonts w:cstheme="minorHAnsi"/>
        </w:rPr>
        <w:t>donee</w:t>
      </w:r>
      <w:proofErr w:type="spellEnd"/>
      <w:r w:rsidRPr="0073109B">
        <w:rPr>
          <w:rFonts w:cstheme="minorHAnsi"/>
        </w:rPr>
        <w:t xml:space="preserve"> and order the executors, administrators or heirs of the donor to complete the gift. Because DMCs are neither testamentary dispositions nor </w:t>
      </w:r>
      <w:r w:rsidRPr="0073109B">
        <w:rPr>
          <w:rFonts w:cstheme="minorHAnsi"/>
          <w:i/>
        </w:rPr>
        <w:t xml:space="preserve">inter </w:t>
      </w:r>
      <w:proofErr w:type="spellStart"/>
      <w:r w:rsidRPr="0073109B">
        <w:rPr>
          <w:rFonts w:cstheme="minorHAnsi"/>
          <w:i/>
        </w:rPr>
        <w:t>vivos</w:t>
      </w:r>
      <w:proofErr w:type="spellEnd"/>
      <w:r w:rsidRPr="0073109B">
        <w:rPr>
          <w:rFonts w:cstheme="minorHAnsi"/>
          <w:i/>
        </w:rPr>
        <w:t xml:space="preserve"> </w:t>
      </w:r>
      <w:r w:rsidRPr="0073109B">
        <w:rPr>
          <w:rFonts w:cstheme="minorHAnsi"/>
        </w:rPr>
        <w:t xml:space="preserve">dispositions in the conventional sense, they are, as a general rule, not subject to any formality requirements. A DMC is not a conveyance of legal title to land, so the Law of Property Act 1925, s52(1), which requires conveyances of legal title to be by deed, does not apply to DMCs of land. Neither does s53(1)(b), which requires trusts of land to be evidenced in writing, apply; because DMCs are given effect by constructive trust, DMCs of land fall within s53(2), which exempts constructive trusts from the requirements of s53(1)(b) (see </w:t>
      </w:r>
      <w:r w:rsidRPr="0073109B">
        <w:rPr>
          <w:rFonts w:cstheme="minorHAnsi"/>
          <w:i/>
        </w:rPr>
        <w:t xml:space="preserve">Sen v Headley </w:t>
      </w:r>
      <w:r w:rsidRPr="0073109B">
        <w:rPr>
          <w:rFonts w:cstheme="minorHAnsi"/>
        </w:rPr>
        <w:t>[1991] Ch 425). Furthermore, DMCs are not testamentary dispositions, so s9 of the Wills Act 1837 does not apply either (</w:t>
      </w:r>
      <w:r w:rsidRPr="0073109B">
        <w:rPr>
          <w:rFonts w:cstheme="minorHAnsi"/>
          <w:i/>
          <w:iCs/>
        </w:rPr>
        <w:t xml:space="preserve">Moore v </w:t>
      </w:r>
      <w:proofErr w:type="spellStart"/>
      <w:r w:rsidRPr="0073109B">
        <w:rPr>
          <w:rFonts w:cstheme="minorHAnsi"/>
          <w:i/>
          <w:iCs/>
        </w:rPr>
        <w:t>Darton</w:t>
      </w:r>
      <w:proofErr w:type="spellEnd"/>
      <w:r w:rsidRPr="0073109B">
        <w:rPr>
          <w:rFonts w:cstheme="minorHAnsi"/>
          <w:i/>
          <w:iCs/>
        </w:rPr>
        <w:t xml:space="preserve"> </w:t>
      </w:r>
      <w:r w:rsidRPr="0073109B">
        <w:rPr>
          <w:rFonts w:cstheme="minorHAnsi"/>
        </w:rPr>
        <w:t xml:space="preserve">(1851) 4 De G &amp; </w:t>
      </w:r>
      <w:proofErr w:type="spellStart"/>
      <w:r w:rsidRPr="0073109B">
        <w:rPr>
          <w:rFonts w:cstheme="minorHAnsi"/>
        </w:rPr>
        <w:t>Sm</w:t>
      </w:r>
      <w:proofErr w:type="spellEnd"/>
      <w:r w:rsidRPr="0073109B">
        <w:rPr>
          <w:rFonts w:cstheme="minorHAnsi"/>
        </w:rPr>
        <w:t xml:space="preserve"> 517). </w:t>
      </w:r>
      <w:r w:rsidR="000E3A36" w:rsidRPr="0073109B">
        <w:rPr>
          <w:rFonts w:cstheme="minorHAnsi"/>
        </w:rPr>
        <w:t>DMCs are oddities that seem to be anomalous examples of surviving Roman Law</w:t>
      </w:r>
      <w:r w:rsidR="005512FA">
        <w:rPr>
          <w:rFonts w:cstheme="minorHAnsi"/>
        </w:rPr>
        <w:t>, dating from the time of the Roman Empire.</w:t>
      </w:r>
    </w:p>
    <w:p w14:paraId="0DB2E8F6" w14:textId="77777777" w:rsidR="006E73F7" w:rsidRPr="0073109B" w:rsidRDefault="006E73F7" w:rsidP="0002008A">
      <w:pPr>
        <w:spacing w:after="100" w:afterAutospacing="1" w:line="240" w:lineRule="auto"/>
        <w:jc w:val="both"/>
        <w:rPr>
          <w:rFonts w:cstheme="minorHAnsi"/>
        </w:rPr>
      </w:pPr>
    </w:p>
    <w:p w14:paraId="239FEB47" w14:textId="6E50A2C1" w:rsidR="006E73F7" w:rsidRPr="0073109B" w:rsidRDefault="006E73F7" w:rsidP="0002008A">
      <w:pPr>
        <w:pStyle w:val="ListParagraph"/>
        <w:numPr>
          <w:ilvl w:val="0"/>
          <w:numId w:val="65"/>
        </w:numPr>
        <w:spacing w:after="100" w:afterAutospacing="1" w:line="240" w:lineRule="auto"/>
        <w:jc w:val="both"/>
        <w:rPr>
          <w:rFonts w:cstheme="minorHAnsi"/>
          <w:bCs/>
        </w:rPr>
      </w:pPr>
      <w:r w:rsidRPr="0073109B">
        <w:rPr>
          <w:rFonts w:cstheme="minorHAnsi"/>
          <w:bCs/>
        </w:rPr>
        <w:t>What are the requirements for a valid DMC?</w:t>
      </w:r>
    </w:p>
    <w:p w14:paraId="4911C854" w14:textId="77777777" w:rsidR="006E73F7" w:rsidRPr="0073109B" w:rsidRDefault="006E73F7" w:rsidP="0002008A">
      <w:pPr>
        <w:spacing w:after="100" w:afterAutospacing="1" w:line="240" w:lineRule="auto"/>
        <w:jc w:val="both"/>
        <w:rPr>
          <w:rFonts w:cstheme="minorHAnsi"/>
        </w:rPr>
      </w:pPr>
    </w:p>
    <w:p w14:paraId="6F1249B2" w14:textId="73DBAD0E" w:rsidR="006E73F7" w:rsidRPr="0073109B" w:rsidRDefault="006E73F7" w:rsidP="0002008A">
      <w:pPr>
        <w:spacing w:after="100" w:afterAutospacing="1" w:line="240" w:lineRule="auto"/>
        <w:jc w:val="both"/>
        <w:rPr>
          <w:rFonts w:cstheme="minorHAnsi"/>
        </w:rPr>
      </w:pPr>
      <w:r w:rsidRPr="0073109B">
        <w:rPr>
          <w:rFonts w:cstheme="minorHAnsi"/>
        </w:rPr>
        <w:t xml:space="preserve">There are three elements to a DMC, according to Lord Russell CJ in </w:t>
      </w:r>
      <w:r w:rsidRPr="0073109B">
        <w:rPr>
          <w:rFonts w:cstheme="minorHAnsi"/>
          <w:i/>
        </w:rPr>
        <w:t>Cain v Moon</w:t>
      </w:r>
      <w:r w:rsidRPr="0073109B">
        <w:rPr>
          <w:rFonts w:cstheme="minorHAnsi"/>
        </w:rPr>
        <w:t xml:space="preserve"> [1896] 2 QB 283 [at 286]: </w:t>
      </w:r>
    </w:p>
    <w:p w14:paraId="401E0D65" w14:textId="77777777" w:rsidR="000E3A36" w:rsidRPr="0073109B" w:rsidRDefault="006E73F7" w:rsidP="0002008A">
      <w:pPr>
        <w:spacing w:after="100" w:afterAutospacing="1" w:line="240" w:lineRule="auto"/>
        <w:jc w:val="both"/>
        <w:rPr>
          <w:rFonts w:cstheme="minorHAnsi"/>
        </w:rPr>
      </w:pPr>
      <w:r w:rsidRPr="0073109B">
        <w:rPr>
          <w:rFonts w:cstheme="minorHAnsi"/>
        </w:rPr>
        <w:t>‘</w:t>
      </w:r>
      <w:proofErr w:type="gramStart"/>
      <w:r w:rsidRPr="0073109B">
        <w:rPr>
          <w:rFonts w:cstheme="minorHAnsi"/>
        </w:rPr>
        <w:t>for</w:t>
      </w:r>
      <w:proofErr w:type="gramEnd"/>
      <w:r w:rsidRPr="0073109B">
        <w:rPr>
          <w:rFonts w:cstheme="minorHAnsi"/>
        </w:rPr>
        <w:t xml:space="preserve"> an effectual </w:t>
      </w:r>
      <w:proofErr w:type="spellStart"/>
      <w:r w:rsidRPr="0073109B">
        <w:rPr>
          <w:rFonts w:cstheme="minorHAnsi"/>
        </w:rPr>
        <w:t>donatio</w:t>
      </w:r>
      <w:proofErr w:type="spellEnd"/>
      <w:r w:rsidRPr="0073109B">
        <w:rPr>
          <w:rFonts w:cstheme="minorHAnsi"/>
        </w:rPr>
        <w:t xml:space="preserve"> mortis </w:t>
      </w:r>
      <w:proofErr w:type="spellStart"/>
      <w:r w:rsidRPr="0073109B">
        <w:rPr>
          <w:rFonts w:cstheme="minorHAnsi"/>
        </w:rPr>
        <w:t>causâ</w:t>
      </w:r>
      <w:proofErr w:type="spellEnd"/>
      <w:r w:rsidRPr="0073109B">
        <w:rPr>
          <w:rFonts w:cstheme="minorHAnsi"/>
        </w:rPr>
        <w:t xml:space="preserve"> three things must combine: </w:t>
      </w:r>
    </w:p>
    <w:p w14:paraId="1B0A4511" w14:textId="77777777" w:rsidR="000E3A36" w:rsidRPr="0073109B" w:rsidRDefault="006E73F7" w:rsidP="0002008A">
      <w:pPr>
        <w:pStyle w:val="ListParagraph"/>
        <w:numPr>
          <w:ilvl w:val="0"/>
          <w:numId w:val="60"/>
        </w:numPr>
        <w:spacing w:after="100" w:afterAutospacing="1" w:line="240" w:lineRule="auto"/>
        <w:jc w:val="both"/>
        <w:rPr>
          <w:rFonts w:cstheme="minorHAnsi"/>
        </w:rPr>
      </w:pPr>
      <w:r w:rsidRPr="0073109B">
        <w:rPr>
          <w:rFonts w:cstheme="minorHAnsi"/>
        </w:rPr>
        <w:t xml:space="preserve">first, the gift or donation must have been made in contemplation, though not necessarily in expectation, of </w:t>
      </w:r>
      <w:proofErr w:type="gramStart"/>
      <w:r w:rsidRPr="0073109B">
        <w:rPr>
          <w:rFonts w:cstheme="minorHAnsi"/>
        </w:rPr>
        <w:t>death;</w:t>
      </w:r>
      <w:proofErr w:type="gramEnd"/>
      <w:r w:rsidRPr="0073109B">
        <w:rPr>
          <w:rFonts w:cstheme="minorHAnsi"/>
        </w:rPr>
        <w:t xml:space="preserve"> </w:t>
      </w:r>
    </w:p>
    <w:p w14:paraId="5852517D" w14:textId="77777777" w:rsidR="000E3A36" w:rsidRPr="0073109B" w:rsidRDefault="006E73F7" w:rsidP="0002008A">
      <w:pPr>
        <w:pStyle w:val="ListParagraph"/>
        <w:numPr>
          <w:ilvl w:val="0"/>
          <w:numId w:val="60"/>
        </w:numPr>
        <w:spacing w:after="100" w:afterAutospacing="1" w:line="240" w:lineRule="auto"/>
        <w:jc w:val="both"/>
        <w:rPr>
          <w:rFonts w:cstheme="minorHAnsi"/>
        </w:rPr>
      </w:pPr>
      <w:r w:rsidRPr="0073109B">
        <w:rPr>
          <w:rFonts w:cstheme="minorHAnsi"/>
        </w:rPr>
        <w:t xml:space="preserve">secondly, there must have been delivery to the </w:t>
      </w:r>
      <w:proofErr w:type="spellStart"/>
      <w:r w:rsidRPr="0073109B">
        <w:rPr>
          <w:rFonts w:cstheme="minorHAnsi"/>
        </w:rPr>
        <w:t>donee</w:t>
      </w:r>
      <w:proofErr w:type="spellEnd"/>
      <w:r w:rsidRPr="0073109B">
        <w:rPr>
          <w:rFonts w:cstheme="minorHAnsi"/>
        </w:rPr>
        <w:t xml:space="preserve"> of the subject-matter of the gift; and,</w:t>
      </w:r>
    </w:p>
    <w:p w14:paraId="2BA233D1" w14:textId="7D2D924B" w:rsidR="006E73F7" w:rsidRPr="0073109B" w:rsidRDefault="006E73F7" w:rsidP="0002008A">
      <w:pPr>
        <w:pStyle w:val="ListParagraph"/>
        <w:numPr>
          <w:ilvl w:val="0"/>
          <w:numId w:val="60"/>
        </w:numPr>
        <w:spacing w:after="100" w:afterAutospacing="1" w:line="240" w:lineRule="auto"/>
        <w:jc w:val="both"/>
        <w:rPr>
          <w:rFonts w:cstheme="minorHAnsi"/>
        </w:rPr>
      </w:pPr>
      <w:r w:rsidRPr="0073109B">
        <w:rPr>
          <w:rFonts w:cstheme="minorHAnsi"/>
        </w:rPr>
        <w:t>thirdly, the gift must be made under such circumstances as shew that the thing is to revert to the donor in case he should recover. This last requirement is sometimes put somewhat differently, and it is said that the gift must be made under circumstances shewing that it is to take effect only if the death of the donor follows; it is not necessary to say which way of putting it is the better.’</w:t>
      </w:r>
    </w:p>
    <w:p w14:paraId="08AAA009" w14:textId="0B87D61F" w:rsidR="006E73F7" w:rsidRPr="0073109B" w:rsidRDefault="000E3A36" w:rsidP="0002008A">
      <w:pPr>
        <w:spacing w:after="100" w:afterAutospacing="1" w:line="240" w:lineRule="auto"/>
        <w:jc w:val="both"/>
        <w:rPr>
          <w:rFonts w:cstheme="minorHAnsi"/>
        </w:rPr>
      </w:pPr>
      <w:r w:rsidRPr="0073109B">
        <w:rPr>
          <w:rFonts w:cstheme="minorHAnsi"/>
        </w:rPr>
        <w:t xml:space="preserve">These requirements were confirmed recently in the Court of Appeal case of </w:t>
      </w:r>
      <w:r w:rsidRPr="0073109B">
        <w:rPr>
          <w:rFonts w:cstheme="minorHAnsi"/>
          <w:i/>
          <w:iCs/>
        </w:rPr>
        <w:t xml:space="preserve">King v </w:t>
      </w:r>
      <w:proofErr w:type="spellStart"/>
      <w:r w:rsidRPr="0073109B">
        <w:rPr>
          <w:rFonts w:cstheme="minorHAnsi"/>
          <w:i/>
          <w:iCs/>
        </w:rPr>
        <w:t>Dubrey</w:t>
      </w:r>
      <w:proofErr w:type="spellEnd"/>
      <w:r w:rsidRPr="0073109B">
        <w:rPr>
          <w:rFonts w:cstheme="minorHAnsi"/>
          <w:i/>
          <w:iCs/>
        </w:rPr>
        <w:t xml:space="preserve"> </w:t>
      </w:r>
      <w:r w:rsidRPr="0073109B">
        <w:rPr>
          <w:rFonts w:cstheme="minorHAnsi"/>
        </w:rPr>
        <w:t xml:space="preserve">[2015] EWCA </w:t>
      </w:r>
      <w:proofErr w:type="spellStart"/>
      <w:r w:rsidRPr="0073109B">
        <w:rPr>
          <w:rFonts w:cstheme="minorHAnsi"/>
        </w:rPr>
        <w:t>Civ</w:t>
      </w:r>
      <w:proofErr w:type="spellEnd"/>
      <w:r w:rsidRPr="0073109B">
        <w:rPr>
          <w:rFonts w:cstheme="minorHAnsi"/>
        </w:rPr>
        <w:t xml:space="preserve"> 581.</w:t>
      </w:r>
    </w:p>
    <w:p w14:paraId="134E16C7" w14:textId="19B81350" w:rsidR="006E73F7" w:rsidRPr="0073109B" w:rsidRDefault="000E3A36" w:rsidP="0002008A">
      <w:pPr>
        <w:spacing w:after="100" w:afterAutospacing="1" w:line="240" w:lineRule="auto"/>
        <w:jc w:val="both"/>
        <w:rPr>
          <w:rFonts w:cstheme="minorHAnsi"/>
          <w:b/>
        </w:rPr>
      </w:pPr>
      <w:r w:rsidRPr="0073109B">
        <w:rPr>
          <w:rFonts w:cstheme="minorHAnsi"/>
          <w:i/>
          <w:iCs/>
        </w:rPr>
        <w:t xml:space="preserve">Cain </w:t>
      </w:r>
      <w:r w:rsidRPr="0073109B">
        <w:rPr>
          <w:rFonts w:cstheme="minorHAnsi"/>
        </w:rPr>
        <w:t xml:space="preserve">itself provides a clear and straightforward example of a DMC. </w:t>
      </w:r>
      <w:r w:rsidR="006E73F7" w:rsidRPr="0073109B">
        <w:rPr>
          <w:rFonts w:cstheme="minorHAnsi"/>
        </w:rPr>
        <w:t xml:space="preserve">The donor had suffered several periods of severe ill health. She was not on good terms with her husband (the plaintiff), and her mother (the defendant and </w:t>
      </w:r>
      <w:proofErr w:type="spellStart"/>
      <w:r w:rsidR="006E73F7" w:rsidRPr="0073109B">
        <w:rPr>
          <w:rFonts w:cstheme="minorHAnsi"/>
        </w:rPr>
        <w:t>donee</w:t>
      </w:r>
      <w:proofErr w:type="spellEnd"/>
      <w:r w:rsidR="006E73F7" w:rsidRPr="0073109B">
        <w:rPr>
          <w:rFonts w:cstheme="minorHAnsi"/>
        </w:rPr>
        <w:t xml:space="preserve">) nursed her through her illnesses. After her recovery, the donor gave a deposit note worth £50 to her mother, saying that her mother should never part with it because it was given in recognition of her mother’s past services to her in assisting her through the periods of ill health. Two years later, the donor became gravely ill again, and feared that she would not recover. The mother visited the donor at this time. During the visit, the donor said to her mother, “Everything I possess and the </w:t>
      </w:r>
      <w:proofErr w:type="gramStart"/>
      <w:r w:rsidR="006E73F7" w:rsidRPr="0073109B">
        <w:rPr>
          <w:rFonts w:cstheme="minorHAnsi"/>
        </w:rPr>
        <w:t>bank-note</w:t>
      </w:r>
      <w:proofErr w:type="gramEnd"/>
      <w:r w:rsidR="006E73F7" w:rsidRPr="0073109B">
        <w:rPr>
          <w:rFonts w:cstheme="minorHAnsi"/>
        </w:rPr>
        <w:t xml:space="preserve"> is for you if I die”. A few days later, the donor died. The action was brought by the husband, who was the administrator of the donor’s estate, against the mother, who had </w:t>
      </w:r>
      <w:r w:rsidR="006E73F7" w:rsidRPr="0073109B">
        <w:rPr>
          <w:rFonts w:cstheme="minorHAnsi"/>
        </w:rPr>
        <w:lastRenderedPageBreak/>
        <w:t>refused to surrender the deposit note.</w:t>
      </w:r>
      <w:r w:rsidRPr="0073109B">
        <w:rPr>
          <w:rFonts w:cstheme="minorHAnsi"/>
        </w:rPr>
        <w:t xml:space="preserve"> The mother successfully defended the husband’s claim on the ground that the daughter had made a valid DMC to her of the deposit note.</w:t>
      </w:r>
    </w:p>
    <w:p w14:paraId="6F26CAC3" w14:textId="06F98118" w:rsidR="006E73F7" w:rsidRPr="0073109B" w:rsidRDefault="000E3A36" w:rsidP="0002008A">
      <w:pPr>
        <w:spacing w:after="100" w:afterAutospacing="1" w:line="240" w:lineRule="auto"/>
        <w:jc w:val="both"/>
        <w:rPr>
          <w:rFonts w:cstheme="minorHAnsi"/>
        </w:rPr>
      </w:pPr>
      <w:r w:rsidRPr="0073109B">
        <w:rPr>
          <w:rFonts w:eastAsia="Times New Roman" w:cstheme="minorHAnsi"/>
          <w:lang w:eastAsia="en-GB"/>
        </w:rPr>
        <w:t>It is worth examining the requirements for DMCs in a little more detail:</w:t>
      </w:r>
    </w:p>
    <w:p w14:paraId="06AE482D" w14:textId="33025D74" w:rsidR="006E73F7" w:rsidRPr="0073109B" w:rsidRDefault="006E73F7" w:rsidP="0002008A">
      <w:pPr>
        <w:spacing w:after="100" w:afterAutospacing="1" w:line="240" w:lineRule="auto"/>
        <w:jc w:val="both"/>
        <w:rPr>
          <w:rFonts w:cstheme="minorHAnsi"/>
          <w:b/>
        </w:rPr>
      </w:pPr>
      <w:r w:rsidRPr="0073109B">
        <w:rPr>
          <w:rFonts w:cstheme="minorHAnsi"/>
          <w:b/>
        </w:rPr>
        <w:t>The gift must be made in contemplation, but not necessarily expectation, of death</w:t>
      </w:r>
    </w:p>
    <w:p w14:paraId="67138A89" w14:textId="011DD877" w:rsidR="006E73F7" w:rsidRPr="0073109B" w:rsidRDefault="006E73F7" w:rsidP="0002008A">
      <w:pPr>
        <w:spacing w:after="100" w:afterAutospacing="1" w:line="240" w:lineRule="auto"/>
        <w:jc w:val="both"/>
        <w:rPr>
          <w:rFonts w:cstheme="minorHAnsi"/>
        </w:rPr>
      </w:pPr>
      <w:r w:rsidRPr="0073109B">
        <w:rPr>
          <w:rFonts w:cstheme="minorHAnsi"/>
        </w:rPr>
        <w:t xml:space="preserve">As was the case in </w:t>
      </w:r>
      <w:r w:rsidRPr="0073109B">
        <w:rPr>
          <w:rFonts w:cstheme="minorHAnsi"/>
          <w:i/>
        </w:rPr>
        <w:t>Cain</w:t>
      </w:r>
      <w:r w:rsidRPr="0073109B">
        <w:rPr>
          <w:rFonts w:cstheme="minorHAnsi"/>
        </w:rPr>
        <w:t>, it is common for a DMC to be made when the donor is gravely ill. There are some authorities which suggest that a DMC may also be made when the donor is about to embark on a hazardous journey or military service (</w:t>
      </w:r>
      <w:r w:rsidRPr="0073109B">
        <w:rPr>
          <w:rFonts w:cstheme="minorHAnsi"/>
          <w:i/>
          <w:iCs/>
        </w:rPr>
        <w:t xml:space="preserve">Agnew v Belfast Banking Co </w:t>
      </w:r>
      <w:r w:rsidRPr="0073109B">
        <w:rPr>
          <w:rFonts w:cstheme="minorHAnsi"/>
        </w:rPr>
        <w:t xml:space="preserve">[1896] 2 IR204). In the Canadian case of </w:t>
      </w:r>
      <w:r w:rsidRPr="0073109B">
        <w:rPr>
          <w:rFonts w:cstheme="minorHAnsi"/>
          <w:i/>
          <w:iCs/>
        </w:rPr>
        <w:t xml:space="preserve">Thompson v </w:t>
      </w:r>
      <w:proofErr w:type="spellStart"/>
      <w:r w:rsidRPr="0073109B">
        <w:rPr>
          <w:rFonts w:cstheme="minorHAnsi"/>
          <w:i/>
          <w:iCs/>
        </w:rPr>
        <w:t>Mechan</w:t>
      </w:r>
      <w:proofErr w:type="spellEnd"/>
      <w:r w:rsidRPr="0073109B">
        <w:rPr>
          <w:rFonts w:cstheme="minorHAnsi"/>
          <w:i/>
          <w:iCs/>
        </w:rPr>
        <w:t xml:space="preserve"> </w:t>
      </w:r>
      <w:r w:rsidRPr="0073109B">
        <w:rPr>
          <w:rFonts w:cstheme="minorHAnsi"/>
        </w:rPr>
        <w:t xml:space="preserve">[1958] OR 357, it was held that the ordinary risks associated with air travel were insufficient to satisfy this requirement. Similarly, in </w:t>
      </w:r>
      <w:r w:rsidRPr="0073109B">
        <w:rPr>
          <w:rFonts w:cstheme="minorHAnsi"/>
          <w:i/>
          <w:iCs/>
        </w:rPr>
        <w:t xml:space="preserve">Re Kirkley </w:t>
      </w:r>
      <w:r w:rsidRPr="0073109B">
        <w:rPr>
          <w:rFonts w:cstheme="minorHAnsi"/>
        </w:rPr>
        <w:t>(1909) 25 TLR 522, it was held that a DMC could be made when the donor was 86 years old and</w:t>
      </w:r>
      <w:r w:rsidR="000E3A36" w:rsidRPr="0073109B">
        <w:rPr>
          <w:rFonts w:cstheme="minorHAnsi"/>
        </w:rPr>
        <w:t xml:space="preserve"> was not specifically </w:t>
      </w:r>
      <w:proofErr w:type="gramStart"/>
      <w:r w:rsidR="000E3A36" w:rsidRPr="0073109B">
        <w:rPr>
          <w:rFonts w:cstheme="minorHAnsi"/>
        </w:rPr>
        <w:t>unwell, but</w:t>
      </w:r>
      <w:proofErr w:type="gramEnd"/>
      <w:r w:rsidR="000E3A36" w:rsidRPr="0073109B">
        <w:rPr>
          <w:rFonts w:cstheme="minorHAnsi"/>
        </w:rPr>
        <w:t xml:space="preserve"> was</w:t>
      </w:r>
      <w:r w:rsidRPr="0073109B">
        <w:rPr>
          <w:rFonts w:cstheme="minorHAnsi"/>
        </w:rPr>
        <w:t xml:space="preserve"> ‘confined to his bed by feebleness</w:t>
      </w:r>
      <w:r w:rsidR="000E3A36" w:rsidRPr="0073109B">
        <w:rPr>
          <w:rFonts w:cstheme="minorHAnsi"/>
        </w:rPr>
        <w:t>.</w:t>
      </w:r>
      <w:r w:rsidRPr="0073109B">
        <w:rPr>
          <w:rFonts w:cstheme="minorHAnsi"/>
        </w:rPr>
        <w:t>’</w:t>
      </w:r>
      <w:r w:rsidR="000E3A36" w:rsidRPr="0073109B">
        <w:rPr>
          <w:rFonts w:cstheme="minorHAnsi"/>
        </w:rPr>
        <w:tab/>
      </w:r>
    </w:p>
    <w:p w14:paraId="06282B9F" w14:textId="4D8AE254" w:rsidR="006A6A8A" w:rsidRPr="0073109B" w:rsidRDefault="006E73F7" w:rsidP="0002008A">
      <w:pPr>
        <w:widowControl w:val="0"/>
        <w:suppressAutoHyphens/>
        <w:spacing w:after="100" w:afterAutospacing="1" w:line="240" w:lineRule="auto"/>
        <w:jc w:val="both"/>
        <w:textAlignment w:val="baseline"/>
        <w:rPr>
          <w:rFonts w:eastAsia="Times New Roman" w:cstheme="minorHAnsi"/>
          <w:lang w:eastAsia="en-GB"/>
        </w:rPr>
      </w:pPr>
      <w:r w:rsidRPr="0073109B">
        <w:rPr>
          <w:rFonts w:cstheme="minorHAnsi"/>
        </w:rPr>
        <w:t xml:space="preserve">A peculiar issue was raised by </w:t>
      </w:r>
      <w:r w:rsidRPr="0073109B">
        <w:rPr>
          <w:rFonts w:cstheme="minorHAnsi"/>
          <w:i/>
        </w:rPr>
        <w:t xml:space="preserve">Wilkes v Allington </w:t>
      </w:r>
      <w:r w:rsidRPr="0073109B">
        <w:rPr>
          <w:rFonts w:cstheme="minorHAnsi"/>
        </w:rPr>
        <w:t xml:space="preserve">[1931] 2 Ch 104. In this case, the defendants’ predecessors in title had mortgaged some land to the donor, who was their uncle. He was diagnosed with cancer and regarded himself as doomed. Some years later, he left an envelope at the home of the defendants. This contained the mortgage deed. The envelope was indorsed with ‘"Mortgage relating to </w:t>
      </w:r>
      <w:proofErr w:type="spellStart"/>
      <w:r w:rsidRPr="0073109B">
        <w:rPr>
          <w:rFonts w:cstheme="minorHAnsi"/>
        </w:rPr>
        <w:t>Astwood</w:t>
      </w:r>
      <w:proofErr w:type="spellEnd"/>
      <w:r w:rsidRPr="0073109B">
        <w:rPr>
          <w:rFonts w:cstheme="minorHAnsi"/>
        </w:rPr>
        <w:t xml:space="preserve">,"… </w:t>
      </w:r>
      <w:r w:rsidRPr="0073109B">
        <w:rPr>
          <w:rFonts w:eastAsia="Times New Roman" w:cstheme="minorHAnsi"/>
          <w:lang w:eastAsia="en-GB"/>
        </w:rPr>
        <w:t xml:space="preserve">"Deeds relating to </w:t>
      </w:r>
      <w:proofErr w:type="spellStart"/>
      <w:r w:rsidRPr="0073109B">
        <w:rPr>
          <w:rFonts w:eastAsia="Times New Roman" w:cstheme="minorHAnsi"/>
          <w:lang w:eastAsia="en-GB"/>
        </w:rPr>
        <w:t>Astwood</w:t>
      </w:r>
      <w:proofErr w:type="spellEnd"/>
      <w:r w:rsidRPr="0073109B">
        <w:rPr>
          <w:rFonts w:eastAsia="Times New Roman" w:cstheme="minorHAnsi"/>
          <w:lang w:eastAsia="en-GB"/>
        </w:rPr>
        <w:t xml:space="preserve"> [the mortgaged land]. To be given up at death. W. Allington [the donor]." </w:t>
      </w:r>
      <w:r w:rsidR="000E3A36" w:rsidRPr="0073109B">
        <w:rPr>
          <w:rFonts w:eastAsia="Times New Roman" w:cstheme="minorHAnsi"/>
          <w:lang w:eastAsia="en-GB"/>
        </w:rPr>
        <w:t xml:space="preserve">The donor then died, but not from cancer. </w:t>
      </w:r>
      <w:r w:rsidR="000E3A36" w:rsidRPr="0073109B">
        <w:rPr>
          <w:rFonts w:cstheme="minorHAnsi"/>
        </w:rPr>
        <w:t xml:space="preserve">He died from pneumonia after getting caught in a downpour on his return from a market. After his death, </w:t>
      </w:r>
      <w:r w:rsidR="000E3A36" w:rsidRPr="0073109B">
        <w:rPr>
          <w:rFonts w:eastAsia="Times New Roman" w:cstheme="minorHAnsi"/>
          <w:lang w:eastAsia="en-GB"/>
        </w:rPr>
        <w:t>t</w:t>
      </w:r>
      <w:r w:rsidRPr="0073109B">
        <w:rPr>
          <w:rFonts w:eastAsia="Times New Roman" w:cstheme="minorHAnsi"/>
          <w:lang w:eastAsia="en-GB"/>
        </w:rPr>
        <w:t>he envelope was found to contain the mortgage deeds. The donor had already given the title deeds to the mortgaged property to the defendants. After the death of the donor, the executors sued to enforce the mortgage. The defendants argued that there had the mortgage had been released by DMC. Whether the gift was made in contemplation of death was disputed</w:t>
      </w:r>
      <w:r w:rsidR="000E3A36" w:rsidRPr="0073109B">
        <w:rPr>
          <w:rFonts w:eastAsia="Times New Roman" w:cstheme="minorHAnsi"/>
          <w:lang w:eastAsia="en-GB"/>
        </w:rPr>
        <w:t xml:space="preserve"> because </w:t>
      </w:r>
      <w:r w:rsidR="005D231D" w:rsidRPr="0073109B">
        <w:rPr>
          <w:rFonts w:eastAsia="Times New Roman" w:cstheme="minorHAnsi"/>
          <w:lang w:eastAsia="en-GB"/>
        </w:rPr>
        <w:t xml:space="preserve">the donor had made the gift in contemplation of death from </w:t>
      </w:r>
      <w:proofErr w:type="gramStart"/>
      <w:r w:rsidR="005D231D" w:rsidRPr="0073109B">
        <w:rPr>
          <w:rFonts w:eastAsia="Times New Roman" w:cstheme="minorHAnsi"/>
          <w:lang w:eastAsia="en-GB"/>
        </w:rPr>
        <w:t>cancer, but</w:t>
      </w:r>
      <w:proofErr w:type="gramEnd"/>
      <w:r w:rsidR="005D231D" w:rsidRPr="0073109B">
        <w:rPr>
          <w:rFonts w:eastAsia="Times New Roman" w:cstheme="minorHAnsi"/>
          <w:lang w:eastAsia="en-GB"/>
        </w:rPr>
        <w:t xml:space="preserve"> had actually died from a different cause. It was held that the DMC was good. Although it was necessary to show that the gift was made in contemplation of death, it was not that the donor’s actual cause of death was that which was </w:t>
      </w:r>
      <w:r w:rsidR="00C91DBB" w:rsidRPr="0073109B">
        <w:rPr>
          <w:rFonts w:eastAsia="Times New Roman" w:cstheme="minorHAnsi"/>
          <w:lang w:eastAsia="en-GB"/>
        </w:rPr>
        <w:t xml:space="preserve">contemplated. </w:t>
      </w:r>
    </w:p>
    <w:p w14:paraId="77A7AD11" w14:textId="77777777" w:rsidR="006A6A8A" w:rsidRPr="0073109B" w:rsidRDefault="00C91DBB" w:rsidP="0002008A">
      <w:pPr>
        <w:spacing w:after="100" w:afterAutospacing="1" w:line="240" w:lineRule="auto"/>
        <w:jc w:val="both"/>
        <w:rPr>
          <w:rFonts w:eastAsia="MS Mincho" w:cstheme="minorHAnsi"/>
          <w:lang w:bidi="en-US"/>
        </w:rPr>
      </w:pPr>
      <w:r w:rsidRPr="0073109B">
        <w:rPr>
          <w:rFonts w:eastAsia="Times New Roman" w:cstheme="minorHAnsi"/>
          <w:lang w:eastAsia="en-GB"/>
        </w:rPr>
        <w:t>Note, however, that the DMC will lapse if the donor does not die within reasonable time of the purported creation of the DMC.</w:t>
      </w:r>
      <w:r w:rsidR="006A6A8A" w:rsidRPr="0073109B">
        <w:rPr>
          <w:rFonts w:eastAsia="Times New Roman" w:cstheme="minorHAnsi"/>
          <w:lang w:eastAsia="en-GB"/>
        </w:rPr>
        <w:t xml:space="preserve"> </w:t>
      </w:r>
      <w:r w:rsidR="006A6A8A" w:rsidRPr="0073109B">
        <w:rPr>
          <w:rFonts w:eastAsia="MS Mincho" w:cstheme="minorHAnsi"/>
          <w:lang w:bidi="en-US"/>
        </w:rPr>
        <w:t xml:space="preserve">How much time can pass between the gift and death? In </w:t>
      </w:r>
      <w:r w:rsidR="006A6A8A" w:rsidRPr="0073109B">
        <w:rPr>
          <w:rFonts w:eastAsia="MS Mincho" w:cstheme="minorHAnsi"/>
          <w:i/>
          <w:lang w:bidi="en-US"/>
        </w:rPr>
        <w:t>Re Bogusz (</w:t>
      </w:r>
      <w:proofErr w:type="spellStart"/>
      <w:r w:rsidR="006A6A8A" w:rsidRPr="0073109B">
        <w:rPr>
          <w:rFonts w:eastAsia="MS Mincho" w:cstheme="minorHAnsi"/>
          <w:i/>
          <w:lang w:bidi="en-US"/>
        </w:rPr>
        <w:t>dec’d</w:t>
      </w:r>
      <w:proofErr w:type="spellEnd"/>
      <w:r w:rsidR="006A6A8A" w:rsidRPr="0073109B">
        <w:rPr>
          <w:rFonts w:eastAsia="MS Mincho" w:cstheme="minorHAnsi"/>
          <w:i/>
          <w:lang w:bidi="en-US"/>
        </w:rPr>
        <w:t>)</w:t>
      </w:r>
      <w:r w:rsidR="006A6A8A" w:rsidRPr="0073109B">
        <w:rPr>
          <w:rFonts w:eastAsia="MS Mincho" w:cstheme="minorHAnsi"/>
          <w:lang w:bidi="en-US"/>
        </w:rPr>
        <w:t xml:space="preserve"> [2013] EWHC 1449 (Ch), four months passed before death occurred, but the gift was nevertheless held to be valid. However, in </w:t>
      </w:r>
      <w:r w:rsidR="006A6A8A" w:rsidRPr="0073109B">
        <w:rPr>
          <w:rFonts w:cstheme="minorHAnsi"/>
          <w:i/>
        </w:rPr>
        <w:t xml:space="preserve">King v </w:t>
      </w:r>
      <w:proofErr w:type="spellStart"/>
      <w:r w:rsidR="006A6A8A" w:rsidRPr="0073109B">
        <w:rPr>
          <w:rFonts w:cstheme="minorHAnsi"/>
          <w:i/>
        </w:rPr>
        <w:t>Dubrey</w:t>
      </w:r>
      <w:proofErr w:type="spellEnd"/>
      <w:r w:rsidR="006A6A8A" w:rsidRPr="0073109B">
        <w:rPr>
          <w:rFonts w:cstheme="minorHAnsi"/>
        </w:rPr>
        <w:t xml:space="preserve"> [2015] EWCA </w:t>
      </w:r>
      <w:proofErr w:type="spellStart"/>
      <w:r w:rsidR="006A6A8A" w:rsidRPr="0073109B">
        <w:rPr>
          <w:rFonts w:cstheme="minorHAnsi"/>
        </w:rPr>
        <w:t>Civ</w:t>
      </w:r>
      <w:proofErr w:type="spellEnd"/>
      <w:r w:rsidR="006A6A8A" w:rsidRPr="0073109B">
        <w:rPr>
          <w:rFonts w:cstheme="minorHAnsi"/>
        </w:rPr>
        <w:t xml:space="preserve"> 581, </w:t>
      </w:r>
      <w:r w:rsidR="006A6A8A" w:rsidRPr="0073109B">
        <w:rPr>
          <w:rFonts w:eastAsia="MS Mincho" w:cstheme="minorHAnsi"/>
          <w:lang w:bidi="en-US"/>
        </w:rPr>
        <w:t xml:space="preserve">four months was deemed too long a timeframe, and the deathbed gift failed. The reason given was that it was open to the testatrix to change her will in that time. The same reason also applied in </w:t>
      </w:r>
      <w:r w:rsidR="006A6A8A" w:rsidRPr="0073109B">
        <w:rPr>
          <w:rFonts w:eastAsia="MS Mincho" w:cstheme="minorHAnsi"/>
          <w:i/>
          <w:lang w:bidi="en-US"/>
        </w:rPr>
        <w:t>Keeling v Keeling</w:t>
      </w:r>
      <w:r w:rsidR="006A6A8A" w:rsidRPr="0073109B">
        <w:rPr>
          <w:rFonts w:eastAsia="MS Mincho" w:cstheme="minorHAnsi"/>
          <w:lang w:bidi="en-US"/>
        </w:rPr>
        <w:t xml:space="preserve"> [2017] WTLR 173, where the donor had ignored advice by his solicitor to formalise the gift by way of a will. </w:t>
      </w:r>
    </w:p>
    <w:p w14:paraId="5DA04447" w14:textId="77777777" w:rsidR="0073109B" w:rsidRDefault="0073109B" w:rsidP="0002008A">
      <w:pPr>
        <w:spacing w:after="100" w:afterAutospacing="1" w:line="240" w:lineRule="auto"/>
        <w:jc w:val="both"/>
        <w:rPr>
          <w:rFonts w:cstheme="minorHAnsi"/>
        </w:rPr>
      </w:pPr>
    </w:p>
    <w:p w14:paraId="702C203D" w14:textId="34CE2B91" w:rsidR="0073109B" w:rsidRDefault="006E73F7" w:rsidP="0002008A">
      <w:pPr>
        <w:spacing w:after="100" w:afterAutospacing="1" w:line="240" w:lineRule="auto"/>
        <w:jc w:val="both"/>
        <w:rPr>
          <w:rFonts w:cstheme="minorHAnsi"/>
          <w:b/>
        </w:rPr>
      </w:pPr>
      <w:r w:rsidRPr="0073109B">
        <w:rPr>
          <w:rFonts w:cstheme="minorHAnsi"/>
          <w:b/>
        </w:rPr>
        <w:t xml:space="preserve">The subject matter of the DMC must be delivered to the </w:t>
      </w:r>
      <w:proofErr w:type="spellStart"/>
      <w:r w:rsidR="0073109B">
        <w:rPr>
          <w:rFonts w:cstheme="minorHAnsi"/>
          <w:b/>
        </w:rPr>
        <w:t>donee</w:t>
      </w:r>
      <w:proofErr w:type="spellEnd"/>
    </w:p>
    <w:p w14:paraId="772D1216" w14:textId="7FF18945" w:rsidR="006E73F7" w:rsidRPr="0073109B" w:rsidRDefault="006E73F7" w:rsidP="0002008A">
      <w:pPr>
        <w:spacing w:after="100" w:afterAutospacing="1" w:line="240" w:lineRule="auto"/>
        <w:jc w:val="both"/>
        <w:rPr>
          <w:rFonts w:cstheme="minorHAnsi"/>
          <w:b/>
        </w:rPr>
      </w:pPr>
      <w:r w:rsidRPr="0073109B">
        <w:rPr>
          <w:rFonts w:cstheme="minorHAnsi"/>
        </w:rPr>
        <w:t xml:space="preserve">The subject matter must be delivered by the donor to the </w:t>
      </w:r>
      <w:proofErr w:type="spellStart"/>
      <w:r w:rsidRPr="0073109B">
        <w:rPr>
          <w:rFonts w:cstheme="minorHAnsi"/>
        </w:rPr>
        <w:t>donee</w:t>
      </w:r>
      <w:proofErr w:type="spellEnd"/>
      <w:r w:rsidRPr="0073109B">
        <w:rPr>
          <w:rFonts w:cstheme="minorHAnsi"/>
        </w:rPr>
        <w:t xml:space="preserve"> with the intention of parting with dominion with it upon the donor’s death, rather than just for safekeeping (this explains why, in </w:t>
      </w:r>
      <w:r w:rsidRPr="0073109B">
        <w:rPr>
          <w:rFonts w:cstheme="minorHAnsi"/>
          <w:i/>
        </w:rPr>
        <w:t>Cain v Moon</w:t>
      </w:r>
      <w:r w:rsidRPr="0073109B">
        <w:rPr>
          <w:rFonts w:cstheme="minorHAnsi"/>
        </w:rPr>
        <w:t xml:space="preserve">, the DMC was not created when the donor first handed the deposit note to the </w:t>
      </w:r>
      <w:proofErr w:type="spellStart"/>
      <w:r w:rsidRPr="0073109B">
        <w:rPr>
          <w:rFonts w:cstheme="minorHAnsi"/>
        </w:rPr>
        <w:t>donee</w:t>
      </w:r>
      <w:proofErr w:type="spellEnd"/>
      <w:r w:rsidRPr="0073109B">
        <w:rPr>
          <w:rFonts w:cstheme="minorHAnsi"/>
        </w:rPr>
        <w:t xml:space="preserve">). As explained above, the delivery can be </w:t>
      </w:r>
      <w:proofErr w:type="spellStart"/>
      <w:r w:rsidRPr="0073109B">
        <w:rPr>
          <w:rFonts w:cstheme="minorHAnsi"/>
        </w:rPr>
        <w:t>ancecedent</w:t>
      </w:r>
      <w:proofErr w:type="spellEnd"/>
      <w:r w:rsidRPr="0073109B">
        <w:rPr>
          <w:rFonts w:cstheme="minorHAnsi"/>
        </w:rPr>
        <w:t xml:space="preserve"> to the words creating the DMC (</w:t>
      </w:r>
      <w:r w:rsidRPr="0073109B">
        <w:rPr>
          <w:rFonts w:cstheme="minorHAnsi"/>
          <w:i/>
        </w:rPr>
        <w:t>Cain v Moon</w:t>
      </w:r>
      <w:r w:rsidRPr="0073109B">
        <w:rPr>
          <w:rFonts w:cstheme="minorHAnsi"/>
        </w:rPr>
        <w:t>).</w:t>
      </w:r>
      <w:r w:rsidR="005D231D" w:rsidRPr="0073109B">
        <w:rPr>
          <w:rFonts w:cstheme="minorHAnsi"/>
        </w:rPr>
        <w:t xml:space="preserve"> In </w:t>
      </w:r>
      <w:r w:rsidR="005D231D" w:rsidRPr="0073109B">
        <w:rPr>
          <w:rFonts w:cstheme="minorHAnsi"/>
          <w:i/>
          <w:iCs/>
        </w:rPr>
        <w:t xml:space="preserve">King v </w:t>
      </w:r>
      <w:proofErr w:type="spellStart"/>
      <w:r w:rsidR="005D231D" w:rsidRPr="0073109B">
        <w:rPr>
          <w:rFonts w:cstheme="minorHAnsi"/>
          <w:i/>
          <w:iCs/>
        </w:rPr>
        <w:t>Dubrey</w:t>
      </w:r>
      <w:proofErr w:type="spellEnd"/>
      <w:r w:rsidR="005D231D" w:rsidRPr="0073109B">
        <w:rPr>
          <w:rFonts w:cstheme="minorHAnsi"/>
        </w:rPr>
        <w:t>, Jackson LJ referred to this as delivery of ‘dominion’ over the subject matter.</w:t>
      </w:r>
      <w:r w:rsidRPr="0073109B">
        <w:rPr>
          <w:rFonts w:cstheme="minorHAnsi"/>
        </w:rPr>
        <w:t xml:space="preserve"> The delivery may be actual or symbolic delivery. In the case of most chattels, handing over the subject matter of the DMC is sufficient delivery (</w:t>
      </w:r>
      <w:r w:rsidRPr="0073109B">
        <w:rPr>
          <w:rFonts w:cstheme="minorHAnsi"/>
          <w:i/>
        </w:rPr>
        <w:t>Cain v Moon</w:t>
      </w:r>
      <w:r w:rsidRPr="0073109B">
        <w:rPr>
          <w:rFonts w:cstheme="minorHAnsi"/>
        </w:rPr>
        <w:t>).  It may be, however, that the chattel is locked away, or is too large to be physically delivered. In such instances, symbolic delivery will suffice.</w:t>
      </w:r>
      <w:r w:rsidR="005D231D" w:rsidRPr="0073109B">
        <w:rPr>
          <w:rFonts w:cstheme="minorHAnsi"/>
        </w:rPr>
        <w:t xml:space="preserve"> This seems to involve delivering a means of accessing the subject matter, or documents denoting ownership of it. </w:t>
      </w:r>
      <w:r w:rsidRPr="0073109B">
        <w:rPr>
          <w:rFonts w:cstheme="minorHAnsi"/>
        </w:rPr>
        <w:t xml:space="preserve"> </w:t>
      </w:r>
      <w:r w:rsidRPr="0073109B">
        <w:rPr>
          <w:rFonts w:cstheme="minorHAnsi"/>
        </w:rPr>
        <w:lastRenderedPageBreak/>
        <w:t xml:space="preserve">In </w:t>
      </w:r>
      <w:r w:rsidRPr="0073109B">
        <w:rPr>
          <w:rFonts w:cstheme="minorHAnsi"/>
          <w:i/>
        </w:rPr>
        <w:t xml:space="preserve">Re Mustapha </w:t>
      </w:r>
      <w:r w:rsidRPr="0073109B">
        <w:rPr>
          <w:rFonts w:cstheme="minorHAnsi"/>
        </w:rPr>
        <w:t xml:space="preserve">(1891) 8 TLR 160, the donor, on his deathbed, instructed the </w:t>
      </w:r>
      <w:proofErr w:type="spellStart"/>
      <w:r w:rsidRPr="0073109B">
        <w:rPr>
          <w:rFonts w:cstheme="minorHAnsi"/>
        </w:rPr>
        <w:t>donee</w:t>
      </w:r>
      <w:proofErr w:type="spellEnd"/>
      <w:r w:rsidRPr="0073109B">
        <w:rPr>
          <w:rFonts w:cstheme="minorHAnsi"/>
        </w:rPr>
        <w:t xml:space="preserve"> to take the keys to his wardrobe, which contained the keys to his safe and the safe itself, from his pocket. He informed her that some bonds were in the safe, and that the bonds were to be hers. After his death, this was held to be sufficient delivery for there to have been a valid DMC of the bonds. Alternatively, it may be that the chattel is too large for physical delivery, in which case the means to control the chattel may be given. In </w:t>
      </w:r>
      <w:r w:rsidRPr="0073109B">
        <w:rPr>
          <w:rFonts w:cstheme="minorHAnsi"/>
          <w:i/>
        </w:rPr>
        <w:t xml:space="preserve">Woodward v Woodward </w:t>
      </w:r>
      <w:r w:rsidRPr="0073109B">
        <w:rPr>
          <w:rFonts w:cstheme="minorHAnsi"/>
        </w:rPr>
        <w:t>[1995] 3 All ER 980, the donor, on his deathbed, handed the keys to his car to his son. Even though the donor retained a copy of the keys, this was held to be good delivery for the purposes of a DMC.</w:t>
      </w:r>
    </w:p>
    <w:p w14:paraId="0F9EB599" w14:textId="646A267A" w:rsidR="00C91DBB" w:rsidRPr="0073109B" w:rsidRDefault="00C91DBB" w:rsidP="0002008A">
      <w:pPr>
        <w:widowControl w:val="0"/>
        <w:suppressAutoHyphens/>
        <w:spacing w:after="100" w:afterAutospacing="1" w:line="240" w:lineRule="auto"/>
        <w:jc w:val="both"/>
        <w:textAlignment w:val="baseline"/>
        <w:rPr>
          <w:rFonts w:cstheme="minorHAnsi"/>
        </w:rPr>
      </w:pPr>
      <w:r w:rsidRPr="0073109B">
        <w:rPr>
          <w:rFonts w:cstheme="minorHAnsi"/>
        </w:rPr>
        <w:t xml:space="preserve">For DMCs </w:t>
      </w:r>
      <w:r w:rsidR="006E73F7" w:rsidRPr="0073109B">
        <w:rPr>
          <w:rFonts w:cstheme="minorHAnsi"/>
        </w:rPr>
        <w:t xml:space="preserve">of intangible </w:t>
      </w:r>
      <w:proofErr w:type="spellStart"/>
      <w:r w:rsidR="006E73F7" w:rsidRPr="0073109B">
        <w:rPr>
          <w:rFonts w:cstheme="minorHAnsi"/>
        </w:rPr>
        <w:t>personalty</w:t>
      </w:r>
      <w:proofErr w:type="spellEnd"/>
      <w:r w:rsidR="006E73F7" w:rsidRPr="0073109B">
        <w:rPr>
          <w:rFonts w:cstheme="minorHAnsi"/>
        </w:rPr>
        <w:t xml:space="preserve"> (choses in action), what must be delivered is ‘the essential indicia or evidence of title, possession or production of which entitles the possessor to the money or property purported to be given.’ (</w:t>
      </w:r>
      <w:r w:rsidR="006E73F7" w:rsidRPr="0073109B">
        <w:rPr>
          <w:rFonts w:cstheme="minorHAnsi"/>
          <w:i/>
        </w:rPr>
        <w:t xml:space="preserve">Birch v Treasury Solicitor </w:t>
      </w:r>
      <w:r w:rsidR="006E73F7" w:rsidRPr="0073109B">
        <w:rPr>
          <w:rFonts w:cstheme="minorHAnsi"/>
        </w:rPr>
        <w:t xml:space="preserve">[1951] Ch 298 at 311 </w:t>
      </w:r>
      <w:r w:rsidR="006E73F7" w:rsidRPr="0073109B">
        <w:rPr>
          <w:rFonts w:cstheme="minorHAnsi"/>
          <w:i/>
        </w:rPr>
        <w:t xml:space="preserve">per </w:t>
      </w:r>
      <w:r w:rsidR="006E73F7" w:rsidRPr="0073109B">
        <w:rPr>
          <w:rFonts w:cstheme="minorHAnsi"/>
        </w:rPr>
        <w:t>Evershed MR).</w:t>
      </w:r>
      <w:r w:rsidR="005D231D" w:rsidRPr="0073109B">
        <w:rPr>
          <w:rFonts w:cstheme="minorHAnsi"/>
        </w:rPr>
        <w:t xml:space="preserve"> So, in </w:t>
      </w:r>
      <w:r w:rsidR="005D231D" w:rsidRPr="0073109B">
        <w:rPr>
          <w:rFonts w:cstheme="minorHAnsi"/>
          <w:i/>
          <w:iCs/>
        </w:rPr>
        <w:t xml:space="preserve">Birch v Treasury Solicitor </w:t>
      </w:r>
      <w:r w:rsidR="005D231D" w:rsidRPr="0073109B">
        <w:rPr>
          <w:rFonts w:cstheme="minorHAnsi"/>
        </w:rPr>
        <w:t xml:space="preserve">[1951] Ch 298, handing over of a Post Office Savings Bank book was deemed sufficient. </w:t>
      </w:r>
    </w:p>
    <w:p w14:paraId="633DF5B3" w14:textId="1D044D63" w:rsidR="006E73F7" w:rsidRPr="0073109B" w:rsidRDefault="006E73F7" w:rsidP="0002008A">
      <w:pPr>
        <w:spacing w:after="100" w:afterAutospacing="1" w:line="240" w:lineRule="auto"/>
        <w:jc w:val="both"/>
        <w:rPr>
          <w:rFonts w:cstheme="minorHAnsi"/>
        </w:rPr>
      </w:pPr>
      <w:r w:rsidRPr="0073109B">
        <w:rPr>
          <w:rFonts w:cstheme="minorHAnsi"/>
        </w:rPr>
        <w:t xml:space="preserve">Similar rules apply in when the aim of the DMC is to discharge a debt. </w:t>
      </w:r>
      <w:r w:rsidR="005D231D" w:rsidRPr="0073109B">
        <w:rPr>
          <w:rFonts w:cstheme="minorHAnsi"/>
        </w:rPr>
        <w:t>As we have seen, i</w:t>
      </w:r>
      <w:r w:rsidRPr="0073109B">
        <w:rPr>
          <w:rFonts w:cstheme="minorHAnsi"/>
        </w:rPr>
        <w:t xml:space="preserve">n </w:t>
      </w:r>
      <w:r w:rsidRPr="0073109B">
        <w:rPr>
          <w:rFonts w:cstheme="minorHAnsi"/>
          <w:i/>
        </w:rPr>
        <w:t>Wilkes v Allington</w:t>
      </w:r>
      <w:r w:rsidRPr="0073109B">
        <w:rPr>
          <w:rFonts w:cstheme="minorHAnsi"/>
        </w:rPr>
        <w:t xml:space="preserve">, delivery of a mortgage deed was sufficient to discharge the mortgage. Similarly, in </w:t>
      </w:r>
      <w:r w:rsidRPr="0073109B">
        <w:rPr>
          <w:rFonts w:cstheme="minorHAnsi"/>
          <w:i/>
        </w:rPr>
        <w:t xml:space="preserve">Moore v </w:t>
      </w:r>
      <w:proofErr w:type="spellStart"/>
      <w:r w:rsidRPr="0073109B">
        <w:rPr>
          <w:rFonts w:cstheme="minorHAnsi"/>
          <w:i/>
        </w:rPr>
        <w:t>Darton</w:t>
      </w:r>
      <w:proofErr w:type="spellEnd"/>
      <w:r w:rsidRPr="0073109B">
        <w:rPr>
          <w:rFonts w:cstheme="minorHAnsi"/>
          <w:i/>
        </w:rPr>
        <w:t xml:space="preserve"> </w:t>
      </w:r>
      <w:r w:rsidRPr="0073109B">
        <w:rPr>
          <w:rFonts w:cstheme="minorHAnsi"/>
        </w:rPr>
        <w:t xml:space="preserve">(1851) De G &amp; </w:t>
      </w:r>
      <w:proofErr w:type="spellStart"/>
      <w:r w:rsidRPr="0073109B">
        <w:rPr>
          <w:rFonts w:cstheme="minorHAnsi"/>
        </w:rPr>
        <w:t>Sm</w:t>
      </w:r>
      <w:proofErr w:type="spellEnd"/>
      <w:r w:rsidRPr="0073109B">
        <w:rPr>
          <w:rFonts w:cstheme="minorHAnsi"/>
        </w:rPr>
        <w:t xml:space="preserve"> 517, the donor had lent some money to the </w:t>
      </w:r>
      <w:proofErr w:type="spellStart"/>
      <w:r w:rsidRPr="0073109B">
        <w:rPr>
          <w:rFonts w:cstheme="minorHAnsi"/>
        </w:rPr>
        <w:t>donee</w:t>
      </w:r>
      <w:proofErr w:type="spellEnd"/>
      <w:r w:rsidRPr="0073109B">
        <w:rPr>
          <w:rFonts w:cstheme="minorHAnsi"/>
        </w:rPr>
        <w:t xml:space="preserve"> some time previously. A receipt for the debt which contained the terms of repayment had been produced. The donor, when near to death, delivered the receipt to an agent of the </w:t>
      </w:r>
      <w:proofErr w:type="spellStart"/>
      <w:r w:rsidRPr="0073109B">
        <w:rPr>
          <w:rFonts w:cstheme="minorHAnsi"/>
        </w:rPr>
        <w:t>donee</w:t>
      </w:r>
      <w:proofErr w:type="spellEnd"/>
      <w:r w:rsidRPr="0073109B">
        <w:rPr>
          <w:rFonts w:cstheme="minorHAnsi"/>
        </w:rPr>
        <w:t xml:space="preserve"> with </w:t>
      </w:r>
      <w:r w:rsidR="005D231D" w:rsidRPr="0073109B">
        <w:rPr>
          <w:rFonts w:cstheme="minorHAnsi"/>
        </w:rPr>
        <w:t>instructions</w:t>
      </w:r>
      <w:r w:rsidRPr="0073109B">
        <w:rPr>
          <w:rFonts w:cstheme="minorHAnsi"/>
        </w:rPr>
        <w:t xml:space="preserve"> that the debt was to be discharged upon her death. The DMC was held </w:t>
      </w:r>
      <w:proofErr w:type="gramStart"/>
      <w:r w:rsidRPr="0073109B">
        <w:rPr>
          <w:rFonts w:cstheme="minorHAnsi"/>
        </w:rPr>
        <w:t>valid</w:t>
      </w:r>
      <w:proofErr w:type="gramEnd"/>
      <w:r w:rsidRPr="0073109B">
        <w:rPr>
          <w:rFonts w:cstheme="minorHAnsi"/>
        </w:rPr>
        <w:t xml:space="preserve"> and the debt had been discharged.</w:t>
      </w:r>
    </w:p>
    <w:p w14:paraId="1B190B76" w14:textId="64198E19" w:rsidR="00C91DBB" w:rsidRPr="0073109B" w:rsidRDefault="005D231D" w:rsidP="0002008A">
      <w:pPr>
        <w:widowControl w:val="0"/>
        <w:suppressAutoHyphens/>
        <w:spacing w:after="100" w:afterAutospacing="1" w:line="240" w:lineRule="auto"/>
        <w:jc w:val="both"/>
        <w:textAlignment w:val="baseline"/>
        <w:rPr>
          <w:rFonts w:cstheme="minorHAnsi"/>
        </w:rPr>
      </w:pPr>
      <w:r w:rsidRPr="0073109B">
        <w:rPr>
          <w:rFonts w:cstheme="minorHAnsi"/>
        </w:rPr>
        <w:t xml:space="preserve">There are also authorities that indicate that land can form the subject matter of a DMC. In </w:t>
      </w:r>
      <w:r w:rsidR="006E73F7" w:rsidRPr="0073109B">
        <w:rPr>
          <w:rFonts w:cstheme="minorHAnsi"/>
          <w:i/>
          <w:iCs/>
        </w:rPr>
        <w:t>Sen v Headley</w:t>
      </w:r>
      <w:r w:rsidR="006E73F7" w:rsidRPr="0073109B">
        <w:rPr>
          <w:rFonts w:cstheme="minorHAnsi"/>
        </w:rPr>
        <w:t xml:space="preserve"> [1991] Ch 425</w:t>
      </w:r>
      <w:r w:rsidRPr="0073109B">
        <w:rPr>
          <w:rFonts w:cstheme="minorHAnsi"/>
        </w:rPr>
        <w:t xml:space="preserve">, </w:t>
      </w:r>
      <w:r w:rsidR="006E73F7" w:rsidRPr="0073109B">
        <w:rPr>
          <w:rFonts w:cstheme="minorHAnsi"/>
        </w:rPr>
        <w:t xml:space="preserve">the subject matter of the </w:t>
      </w:r>
      <w:proofErr w:type="gramStart"/>
      <w:r w:rsidR="00C91DBB" w:rsidRPr="0073109B">
        <w:rPr>
          <w:rFonts w:cstheme="minorHAnsi"/>
        </w:rPr>
        <w:t xml:space="preserve">DMC </w:t>
      </w:r>
      <w:r w:rsidRPr="0073109B">
        <w:rPr>
          <w:rFonts w:cstheme="minorHAnsi"/>
        </w:rPr>
        <w:t xml:space="preserve"> was</w:t>
      </w:r>
      <w:proofErr w:type="gramEnd"/>
      <w:r w:rsidRPr="0073109B">
        <w:rPr>
          <w:rFonts w:cstheme="minorHAnsi"/>
        </w:rPr>
        <w:t xml:space="preserve"> unregistered land.</w:t>
      </w:r>
      <w:r w:rsidR="00C91DBB" w:rsidRPr="0073109B">
        <w:rPr>
          <w:rFonts w:cstheme="minorHAnsi"/>
        </w:rPr>
        <w:t xml:space="preserve"> The donor gave the </w:t>
      </w:r>
      <w:proofErr w:type="spellStart"/>
      <w:r w:rsidR="00C91DBB" w:rsidRPr="0073109B">
        <w:rPr>
          <w:rFonts w:cstheme="minorHAnsi"/>
        </w:rPr>
        <w:t>donee</w:t>
      </w:r>
      <w:proofErr w:type="spellEnd"/>
      <w:r w:rsidR="00C91DBB" w:rsidRPr="0073109B">
        <w:rPr>
          <w:rFonts w:cstheme="minorHAnsi"/>
        </w:rPr>
        <w:t xml:space="preserve"> the keys to a box containing the title deeds. This was held to be sufficient delivery for the DMC to be valid. </w:t>
      </w:r>
      <w:r w:rsidR="006E73F7" w:rsidRPr="0073109B">
        <w:rPr>
          <w:rFonts w:cstheme="minorHAnsi"/>
        </w:rPr>
        <w:t xml:space="preserve">The decision in </w:t>
      </w:r>
      <w:r w:rsidR="006E73F7" w:rsidRPr="0073109B">
        <w:rPr>
          <w:rFonts w:cstheme="minorHAnsi"/>
          <w:i/>
        </w:rPr>
        <w:t xml:space="preserve">Sen </w:t>
      </w:r>
      <w:r w:rsidR="006E73F7" w:rsidRPr="0073109B">
        <w:rPr>
          <w:rFonts w:cstheme="minorHAnsi"/>
        </w:rPr>
        <w:t xml:space="preserve">was followed </w:t>
      </w:r>
      <w:r w:rsidR="00C91DBB" w:rsidRPr="0073109B">
        <w:rPr>
          <w:rFonts w:cstheme="minorHAnsi"/>
        </w:rPr>
        <w:t>r</w:t>
      </w:r>
      <w:r w:rsidR="006E73F7" w:rsidRPr="0073109B">
        <w:rPr>
          <w:rFonts w:cstheme="minorHAnsi"/>
        </w:rPr>
        <w:t xml:space="preserve">ecently in </w:t>
      </w:r>
      <w:r w:rsidR="006E73F7" w:rsidRPr="0073109B">
        <w:rPr>
          <w:rFonts w:cstheme="minorHAnsi"/>
          <w:i/>
          <w:iCs/>
        </w:rPr>
        <w:t xml:space="preserve">Vallee v Birchwood </w:t>
      </w:r>
      <w:r w:rsidR="006E73F7" w:rsidRPr="0073109B">
        <w:rPr>
          <w:rFonts w:cstheme="minorHAnsi"/>
        </w:rPr>
        <w:t xml:space="preserve">[2013] EWHC 1449. This case also apparently involved unregistered land. </w:t>
      </w:r>
    </w:p>
    <w:p w14:paraId="7689FF86" w14:textId="0F9FA281" w:rsidR="00C91DBB" w:rsidRPr="0073109B" w:rsidRDefault="00C91DBB" w:rsidP="0002008A">
      <w:pPr>
        <w:widowControl w:val="0"/>
        <w:suppressAutoHyphens/>
        <w:spacing w:after="100" w:afterAutospacing="1" w:line="240" w:lineRule="auto"/>
        <w:jc w:val="both"/>
        <w:textAlignment w:val="baseline"/>
        <w:rPr>
          <w:rFonts w:cstheme="minorHAnsi"/>
        </w:rPr>
      </w:pPr>
      <w:r w:rsidRPr="0073109B">
        <w:rPr>
          <w:rFonts w:cstheme="minorHAnsi"/>
        </w:rPr>
        <w:t xml:space="preserve">It is unclear whether DMCs of </w:t>
      </w:r>
      <w:r w:rsidR="005512FA" w:rsidRPr="0073109B">
        <w:rPr>
          <w:rFonts w:cstheme="minorHAnsi"/>
        </w:rPr>
        <w:t>registered</w:t>
      </w:r>
      <w:r w:rsidRPr="0073109B">
        <w:rPr>
          <w:rFonts w:cstheme="minorHAnsi"/>
        </w:rPr>
        <w:t xml:space="preserve"> land will be upheld. </w:t>
      </w:r>
      <w:r w:rsidR="006E73F7" w:rsidRPr="0073109B">
        <w:rPr>
          <w:rFonts w:cstheme="minorHAnsi"/>
        </w:rPr>
        <w:t xml:space="preserve">Since, in registered land, deeds are no longer used, the transfer of an Official Copy of the Register of Title along with the keys may </w:t>
      </w:r>
      <w:r w:rsidRPr="0073109B">
        <w:rPr>
          <w:rFonts w:cstheme="minorHAnsi"/>
        </w:rPr>
        <w:t>be sufficient deliver</w:t>
      </w:r>
      <w:r w:rsidR="006E73F7" w:rsidRPr="0073109B">
        <w:rPr>
          <w:rFonts w:cstheme="minorHAnsi"/>
        </w:rPr>
        <w:t xml:space="preserve">. </w:t>
      </w:r>
      <w:r w:rsidRPr="0073109B">
        <w:rPr>
          <w:rFonts w:cstheme="minorHAnsi"/>
        </w:rPr>
        <w:t xml:space="preserve">But </w:t>
      </w:r>
      <w:r w:rsidR="006E73F7" w:rsidRPr="0073109B">
        <w:rPr>
          <w:rFonts w:cstheme="minorHAnsi"/>
        </w:rPr>
        <w:t>donor could readily obtain another Official Copy, however, so the question of whether DMCs of registered land are possible remains an open one.</w:t>
      </w:r>
      <w:r w:rsidR="005512FA">
        <w:rPr>
          <w:rFonts w:cstheme="minorHAnsi"/>
        </w:rPr>
        <w:t xml:space="preserve"> Moreover, DMCs are arguably inconsistent with the aims of the Land Registration Act 2002.</w:t>
      </w:r>
    </w:p>
    <w:p w14:paraId="560046DA" w14:textId="129C1E3A" w:rsidR="006E73F7" w:rsidRPr="0073109B" w:rsidRDefault="006E73F7" w:rsidP="0002008A">
      <w:pPr>
        <w:spacing w:after="100" w:afterAutospacing="1" w:line="240" w:lineRule="auto"/>
        <w:jc w:val="both"/>
        <w:rPr>
          <w:rFonts w:cstheme="minorHAnsi"/>
        </w:rPr>
      </w:pPr>
      <w:r w:rsidRPr="0073109B">
        <w:rPr>
          <w:rFonts w:cstheme="minorHAnsi"/>
        </w:rPr>
        <w:t>There are</w:t>
      </w:r>
      <w:r w:rsidR="00C91DBB" w:rsidRPr="0073109B">
        <w:rPr>
          <w:rFonts w:cstheme="minorHAnsi"/>
        </w:rPr>
        <w:t xml:space="preserve"> surprisingly</w:t>
      </w:r>
      <w:r w:rsidRPr="0073109B">
        <w:rPr>
          <w:rFonts w:cstheme="minorHAnsi"/>
        </w:rPr>
        <w:t xml:space="preserve"> few authorities on whether shares may be the subject matter of a DMC. In </w:t>
      </w:r>
      <w:proofErr w:type="spellStart"/>
      <w:r w:rsidRPr="0073109B">
        <w:rPr>
          <w:rFonts w:cstheme="minorHAnsi"/>
          <w:i/>
        </w:rPr>
        <w:t>Stainiland</w:t>
      </w:r>
      <w:proofErr w:type="spellEnd"/>
      <w:r w:rsidRPr="0073109B">
        <w:rPr>
          <w:rFonts w:cstheme="minorHAnsi"/>
          <w:i/>
        </w:rPr>
        <w:t xml:space="preserve"> v </w:t>
      </w:r>
      <w:proofErr w:type="spellStart"/>
      <w:r w:rsidRPr="0073109B">
        <w:rPr>
          <w:rFonts w:cstheme="minorHAnsi"/>
          <w:i/>
        </w:rPr>
        <w:t>Willott</w:t>
      </w:r>
      <w:proofErr w:type="spellEnd"/>
      <w:r w:rsidRPr="0073109B">
        <w:rPr>
          <w:rFonts w:cstheme="minorHAnsi"/>
          <w:i/>
        </w:rPr>
        <w:t xml:space="preserve"> </w:t>
      </w:r>
      <w:r w:rsidRPr="0073109B">
        <w:rPr>
          <w:rFonts w:cstheme="minorHAnsi"/>
        </w:rPr>
        <w:t xml:space="preserve">(1852) 3 Mac &amp; G 664, it was held that shares in a public limited company may be gifted by DMC. </w:t>
      </w:r>
      <w:r w:rsidR="00C91DBB" w:rsidRPr="0073109B">
        <w:rPr>
          <w:rFonts w:cstheme="minorHAnsi"/>
        </w:rPr>
        <w:t>More recently</w:t>
      </w:r>
      <w:r w:rsidRPr="0073109B">
        <w:rPr>
          <w:rFonts w:cstheme="minorHAnsi"/>
        </w:rPr>
        <w:t xml:space="preserve">, in the Hong Kong judgment of </w:t>
      </w:r>
      <w:r w:rsidRPr="0073109B">
        <w:rPr>
          <w:rStyle w:val="Emphasis"/>
          <w:rFonts w:cstheme="minorHAnsi"/>
          <w:lang w:val="en"/>
        </w:rPr>
        <w:t>Estate of Chen Soo King</w:t>
      </w:r>
      <w:r w:rsidRPr="0073109B">
        <w:rPr>
          <w:rFonts w:cstheme="minorHAnsi"/>
          <w:lang w:val="en"/>
        </w:rPr>
        <w:t xml:space="preserve"> ([2013] HKEC 210, it was held that shares may be gifted by DMC and that delivery of the share certificates would be sufficient delivery of indicia of title.</w:t>
      </w:r>
      <w:r w:rsidR="00C91DBB" w:rsidRPr="0073109B">
        <w:rPr>
          <w:rFonts w:cstheme="minorHAnsi"/>
          <w:lang w:val="en"/>
        </w:rPr>
        <w:t xml:space="preserve"> </w:t>
      </w:r>
    </w:p>
    <w:p w14:paraId="3100C905" w14:textId="6EC8C9D9" w:rsidR="006E73F7" w:rsidRPr="0073109B" w:rsidRDefault="006E73F7" w:rsidP="0002008A">
      <w:pPr>
        <w:spacing w:after="100" w:afterAutospacing="1" w:line="240" w:lineRule="auto"/>
        <w:jc w:val="both"/>
        <w:rPr>
          <w:rFonts w:cstheme="minorHAnsi"/>
        </w:rPr>
      </w:pPr>
      <w:r w:rsidRPr="0073109B">
        <w:rPr>
          <w:rFonts w:cstheme="minorHAnsi"/>
        </w:rPr>
        <w:t xml:space="preserve">A good example of the subject matter of the DMC not being satisfactorily delivered is </w:t>
      </w:r>
      <w:r w:rsidRPr="0073109B">
        <w:rPr>
          <w:rFonts w:cstheme="minorHAnsi"/>
          <w:i/>
        </w:rPr>
        <w:t xml:space="preserve">Bunn v Markham </w:t>
      </w:r>
      <w:r w:rsidRPr="0073109B">
        <w:rPr>
          <w:rFonts w:cstheme="minorHAnsi"/>
        </w:rPr>
        <w:t xml:space="preserve">(1816) 7 Taunt. 224, in which the donor retained the gifts, putting them in a box that he kept in his possession. He directed that they were to be given to the </w:t>
      </w:r>
      <w:proofErr w:type="spellStart"/>
      <w:r w:rsidRPr="0073109B">
        <w:rPr>
          <w:rFonts w:cstheme="minorHAnsi"/>
        </w:rPr>
        <w:t>donees</w:t>
      </w:r>
      <w:proofErr w:type="spellEnd"/>
      <w:r w:rsidRPr="0073109B">
        <w:rPr>
          <w:rFonts w:cstheme="minorHAnsi"/>
        </w:rPr>
        <w:t xml:space="preserve"> upon his death. Although he initially surrendered the key to the box in favour of the intended </w:t>
      </w:r>
      <w:proofErr w:type="spellStart"/>
      <w:r w:rsidRPr="0073109B">
        <w:rPr>
          <w:rFonts w:cstheme="minorHAnsi"/>
        </w:rPr>
        <w:t>donees</w:t>
      </w:r>
      <w:proofErr w:type="spellEnd"/>
      <w:r w:rsidRPr="0073109B">
        <w:rPr>
          <w:rFonts w:cstheme="minorHAnsi"/>
        </w:rPr>
        <w:t xml:space="preserve">, he had, by the time of his death, retrieved the key. This was held not to be a valid DMC because neither the subject matter nor the means to control it had been delivered to the </w:t>
      </w:r>
      <w:proofErr w:type="spellStart"/>
      <w:r w:rsidRPr="0073109B">
        <w:rPr>
          <w:rFonts w:cstheme="minorHAnsi"/>
        </w:rPr>
        <w:t>donee</w:t>
      </w:r>
      <w:proofErr w:type="spellEnd"/>
      <w:r w:rsidRPr="0073109B">
        <w:rPr>
          <w:rFonts w:cstheme="minorHAnsi"/>
        </w:rPr>
        <w:t>.</w:t>
      </w:r>
    </w:p>
    <w:p w14:paraId="765FA0C4" w14:textId="56A96AC0" w:rsidR="006E73F7" w:rsidRPr="0073109B" w:rsidRDefault="006E73F7" w:rsidP="0002008A">
      <w:pPr>
        <w:spacing w:after="100" w:afterAutospacing="1" w:line="240" w:lineRule="auto"/>
        <w:jc w:val="both"/>
        <w:rPr>
          <w:rFonts w:cstheme="minorHAnsi"/>
          <w:b/>
        </w:rPr>
      </w:pPr>
      <w:r w:rsidRPr="0073109B">
        <w:rPr>
          <w:rFonts w:cstheme="minorHAnsi"/>
          <w:b/>
        </w:rPr>
        <w:t>The gift must be conditional upon death</w:t>
      </w:r>
    </w:p>
    <w:p w14:paraId="29C798E2" w14:textId="637A8838" w:rsidR="006E73F7" w:rsidRPr="0073109B" w:rsidRDefault="006E73F7" w:rsidP="0002008A">
      <w:pPr>
        <w:spacing w:after="100" w:afterAutospacing="1" w:line="240" w:lineRule="auto"/>
        <w:jc w:val="both"/>
        <w:rPr>
          <w:rFonts w:cstheme="minorHAnsi"/>
        </w:rPr>
      </w:pPr>
      <w:r w:rsidRPr="0073109B">
        <w:rPr>
          <w:rFonts w:cstheme="minorHAnsi"/>
        </w:rPr>
        <w:t>This is important because if a gift is a</w:t>
      </w:r>
      <w:r w:rsidR="00C91DBB" w:rsidRPr="0073109B">
        <w:rPr>
          <w:rFonts w:cstheme="minorHAnsi"/>
        </w:rPr>
        <w:t xml:space="preserve"> failed </w:t>
      </w:r>
      <w:r w:rsidRPr="0073109B">
        <w:rPr>
          <w:rFonts w:cstheme="minorHAnsi"/>
        </w:rPr>
        <w:t xml:space="preserve">attempt at making an </w:t>
      </w:r>
      <w:r w:rsidRPr="0073109B">
        <w:rPr>
          <w:rFonts w:cstheme="minorHAnsi"/>
          <w:i/>
        </w:rPr>
        <w:t xml:space="preserve">inter </w:t>
      </w:r>
      <w:proofErr w:type="spellStart"/>
      <w:r w:rsidRPr="0073109B">
        <w:rPr>
          <w:rFonts w:cstheme="minorHAnsi"/>
          <w:i/>
        </w:rPr>
        <w:t>vivos</w:t>
      </w:r>
      <w:proofErr w:type="spellEnd"/>
      <w:r w:rsidRPr="0073109B">
        <w:rPr>
          <w:rFonts w:cstheme="minorHAnsi"/>
          <w:i/>
        </w:rPr>
        <w:t xml:space="preserve"> </w:t>
      </w:r>
      <w:r w:rsidRPr="0073109B">
        <w:rPr>
          <w:rFonts w:cstheme="minorHAnsi"/>
        </w:rPr>
        <w:t xml:space="preserve">disposition, it is not a DMC. When a valid DMC is made, equitable title to the subject matter of the gift is not vested in the </w:t>
      </w:r>
      <w:proofErr w:type="spellStart"/>
      <w:r w:rsidRPr="0073109B">
        <w:rPr>
          <w:rFonts w:cstheme="minorHAnsi"/>
        </w:rPr>
        <w:lastRenderedPageBreak/>
        <w:t>donee</w:t>
      </w:r>
      <w:proofErr w:type="spellEnd"/>
      <w:r w:rsidRPr="0073109B">
        <w:rPr>
          <w:rFonts w:cstheme="minorHAnsi"/>
        </w:rPr>
        <w:t xml:space="preserve"> until the death of the donor. Sometimes</w:t>
      </w:r>
      <w:r w:rsidR="00C91DBB" w:rsidRPr="0073109B">
        <w:rPr>
          <w:rFonts w:cstheme="minorHAnsi"/>
        </w:rPr>
        <w:t xml:space="preserve"> the conditionality of the DMC </w:t>
      </w:r>
      <w:r w:rsidRPr="0073109B">
        <w:rPr>
          <w:rFonts w:cstheme="minorHAnsi"/>
        </w:rPr>
        <w:t xml:space="preserve">is made explicit by the donor. In </w:t>
      </w:r>
      <w:r w:rsidRPr="0073109B">
        <w:rPr>
          <w:rFonts w:cstheme="minorHAnsi"/>
          <w:i/>
        </w:rPr>
        <w:t xml:space="preserve">Dillon v Duffin </w:t>
      </w:r>
      <w:r w:rsidRPr="0073109B">
        <w:rPr>
          <w:rFonts w:cstheme="minorHAnsi"/>
        </w:rPr>
        <w:t xml:space="preserve">(1890) LR 44 Ch D 76, for example, the donor, who was extremely ill, gave a deposit note to the </w:t>
      </w:r>
      <w:proofErr w:type="spellStart"/>
      <w:r w:rsidRPr="0073109B">
        <w:rPr>
          <w:rFonts w:cstheme="minorHAnsi"/>
        </w:rPr>
        <w:t>donee</w:t>
      </w:r>
      <w:proofErr w:type="spellEnd"/>
      <w:r w:rsidRPr="0073109B">
        <w:rPr>
          <w:rFonts w:cstheme="minorHAnsi"/>
        </w:rPr>
        <w:t xml:space="preserve"> with the instruction that she should give it back to him if he recovered. Similarly, in </w:t>
      </w:r>
      <w:r w:rsidRPr="0073109B">
        <w:rPr>
          <w:rFonts w:cstheme="minorHAnsi"/>
          <w:i/>
        </w:rPr>
        <w:t>Cain v Moon</w:t>
      </w:r>
      <w:r w:rsidRPr="0073109B">
        <w:rPr>
          <w:rFonts w:cstheme="minorHAnsi"/>
        </w:rPr>
        <w:t xml:space="preserve">, it had been made clear that the gift was conditional upon death. Often, however, the courts will infer from the circumstances that this requirement has been satisfied (see </w:t>
      </w:r>
      <w:r w:rsidRPr="0073109B">
        <w:rPr>
          <w:rFonts w:cstheme="minorHAnsi"/>
          <w:i/>
        </w:rPr>
        <w:t xml:space="preserve">Re </w:t>
      </w:r>
      <w:proofErr w:type="spellStart"/>
      <w:r w:rsidRPr="0073109B">
        <w:rPr>
          <w:rFonts w:cstheme="minorHAnsi"/>
          <w:i/>
        </w:rPr>
        <w:t>Lillingston</w:t>
      </w:r>
      <w:proofErr w:type="spellEnd"/>
      <w:r w:rsidRPr="0073109B">
        <w:rPr>
          <w:rFonts w:cstheme="minorHAnsi"/>
        </w:rPr>
        <w:t xml:space="preserve"> [1952] 2 All ER 184).</w:t>
      </w:r>
    </w:p>
    <w:p w14:paraId="1B0AB37B" w14:textId="77777777" w:rsidR="006E73F7" w:rsidRPr="0073109B" w:rsidRDefault="006E73F7" w:rsidP="001B791F">
      <w:pPr>
        <w:spacing w:after="120" w:line="480" w:lineRule="auto"/>
        <w:jc w:val="both"/>
        <w:rPr>
          <w:rFonts w:eastAsia="MS Mincho" w:cstheme="minorHAnsi"/>
          <w:lang w:bidi="en-US"/>
        </w:rPr>
      </w:pPr>
    </w:p>
    <w:sectPr w:rsidR="006E73F7" w:rsidRPr="0073109B" w:rsidSect="00B869B7">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97FD9F" w14:textId="77777777" w:rsidR="00B70E0F" w:rsidRDefault="00B70E0F" w:rsidP="00177ED8">
      <w:pPr>
        <w:spacing w:after="0" w:line="240" w:lineRule="auto"/>
      </w:pPr>
      <w:r>
        <w:separator/>
      </w:r>
    </w:p>
  </w:endnote>
  <w:endnote w:type="continuationSeparator" w:id="0">
    <w:p w14:paraId="770731D7" w14:textId="77777777" w:rsidR="00B70E0F" w:rsidRDefault="00B70E0F"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3C8C0" w14:textId="77777777" w:rsidR="003A5AF0" w:rsidRDefault="003A5A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5F7A13DA" w14:textId="6491581F"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075930">
              <w:rPr>
                <w:rFonts w:ascii="Arial" w:hAnsi="Arial" w:cs="Arial"/>
                <w:bCs/>
                <w:noProof/>
                <w:sz w:val="20"/>
                <w:szCs w:val="20"/>
              </w:rPr>
              <w:t>9</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075930">
              <w:rPr>
                <w:rFonts w:ascii="Arial" w:hAnsi="Arial" w:cs="Arial"/>
                <w:bCs/>
                <w:noProof/>
                <w:sz w:val="20"/>
                <w:szCs w:val="20"/>
              </w:rPr>
              <w:t>9</w:t>
            </w:r>
            <w:r w:rsidRPr="00B869B7">
              <w:rPr>
                <w:rFonts w:ascii="Arial" w:hAnsi="Arial" w:cs="Arial"/>
                <w:bCs/>
                <w:sz w:val="20"/>
                <w:szCs w:val="20"/>
              </w:rPr>
              <w:fldChar w:fldCharType="end"/>
            </w:r>
          </w:p>
        </w:sdtContent>
      </w:sdt>
    </w:sdtContent>
  </w:sdt>
  <w:p w14:paraId="69588BCD" w14:textId="77777777" w:rsidR="00A013BA" w:rsidRDefault="00A013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21170" w14:textId="77777777" w:rsidR="003A5AF0" w:rsidRDefault="003A5A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B72391" w14:textId="77777777" w:rsidR="00B70E0F" w:rsidRDefault="00B70E0F" w:rsidP="00177ED8">
      <w:pPr>
        <w:spacing w:after="0" w:line="240" w:lineRule="auto"/>
      </w:pPr>
      <w:r>
        <w:separator/>
      </w:r>
    </w:p>
  </w:footnote>
  <w:footnote w:type="continuationSeparator" w:id="0">
    <w:p w14:paraId="07363C10" w14:textId="77777777" w:rsidR="00B70E0F" w:rsidRDefault="00B70E0F"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E58FE" w14:textId="77777777" w:rsidR="003A5AF0" w:rsidRDefault="003A5A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C5858A" w14:textId="7A07FF6F" w:rsidR="00F77345" w:rsidRPr="00382673" w:rsidRDefault="00382673" w:rsidP="00382673">
    <w:pPr>
      <w:pStyle w:val="Header"/>
      <w:jc w:val="right"/>
      <w:rPr>
        <w:rFonts w:ascii="Arial" w:hAnsi="Arial" w:cs="Arial"/>
      </w:rPr>
    </w:pPr>
    <w:r w:rsidRPr="00382673">
      <w:rPr>
        <w:rFonts w:ascii="Arial" w:hAnsi="Arial" w:cs="Arial"/>
      </w:rPr>
      <w:t xml:space="preserve">Trusts Law Week </w:t>
    </w:r>
    <w:r w:rsidR="00D03127">
      <w:rPr>
        <w:rFonts w:ascii="Arial" w:hAnsi="Arial" w:cs="Arial"/>
      </w:rPr>
      <w:t>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942B4" w14:textId="77777777" w:rsidR="003A5AF0" w:rsidRDefault="003A5A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01C2D"/>
    <w:multiLevelType w:val="hybridMultilevel"/>
    <w:tmpl w:val="61209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9B31FB"/>
    <w:multiLevelType w:val="hybridMultilevel"/>
    <w:tmpl w:val="7070D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9B7B48"/>
    <w:multiLevelType w:val="hybridMultilevel"/>
    <w:tmpl w:val="AEBAB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927FDB"/>
    <w:multiLevelType w:val="hybridMultilevel"/>
    <w:tmpl w:val="826E30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5A0501"/>
    <w:multiLevelType w:val="hybridMultilevel"/>
    <w:tmpl w:val="35FEAD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141E78"/>
    <w:multiLevelType w:val="hybridMultilevel"/>
    <w:tmpl w:val="EF0403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B183A19"/>
    <w:multiLevelType w:val="hybridMultilevel"/>
    <w:tmpl w:val="DCA2C860"/>
    <w:lvl w:ilvl="0" w:tplc="4BE04322">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BE3623"/>
    <w:multiLevelType w:val="hybridMultilevel"/>
    <w:tmpl w:val="1C6A8D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BE57F9A"/>
    <w:multiLevelType w:val="hybridMultilevel"/>
    <w:tmpl w:val="251038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C681C26"/>
    <w:multiLevelType w:val="hybridMultilevel"/>
    <w:tmpl w:val="F470F0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1C445AD"/>
    <w:multiLevelType w:val="hybridMultilevel"/>
    <w:tmpl w:val="FA729104"/>
    <w:lvl w:ilvl="0" w:tplc="27F2B218">
      <w:start w:val="1"/>
      <w:numFmt w:val="upperLetter"/>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590675C"/>
    <w:multiLevelType w:val="hybridMultilevel"/>
    <w:tmpl w:val="09F663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6B71D32"/>
    <w:multiLevelType w:val="hybridMultilevel"/>
    <w:tmpl w:val="6AE2F9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75308FD"/>
    <w:multiLevelType w:val="hybridMultilevel"/>
    <w:tmpl w:val="DA1E71D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7EF66E7"/>
    <w:multiLevelType w:val="hybridMultilevel"/>
    <w:tmpl w:val="3C60B65A"/>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C0D52DF"/>
    <w:multiLevelType w:val="hybridMultilevel"/>
    <w:tmpl w:val="02BE7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55020F"/>
    <w:multiLevelType w:val="hybridMultilevel"/>
    <w:tmpl w:val="0524B19C"/>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1DA5A61"/>
    <w:multiLevelType w:val="hybridMultilevel"/>
    <w:tmpl w:val="A4C255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1E05828"/>
    <w:multiLevelType w:val="hybridMultilevel"/>
    <w:tmpl w:val="A7866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4E5FE8"/>
    <w:multiLevelType w:val="hybridMultilevel"/>
    <w:tmpl w:val="A3BAA5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A8A1A64"/>
    <w:multiLevelType w:val="hybridMultilevel"/>
    <w:tmpl w:val="E468088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C50294F"/>
    <w:multiLevelType w:val="hybridMultilevel"/>
    <w:tmpl w:val="07D26F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CCA0C74"/>
    <w:multiLevelType w:val="hybridMultilevel"/>
    <w:tmpl w:val="F89631EE"/>
    <w:lvl w:ilvl="0" w:tplc="FFF89610">
      <w:start w:val="1"/>
      <w:numFmt w:val="bullet"/>
      <w:lvlText w:val="·"/>
      <w:lvlJc w:val="left"/>
      <w:pPr>
        <w:ind w:left="720" w:hanging="360"/>
      </w:pPr>
      <w:rPr>
        <w:rFonts w:ascii="Symbol" w:hAnsi="Symbol" w:hint="default"/>
      </w:rPr>
    </w:lvl>
    <w:lvl w:ilvl="1" w:tplc="543E5FE4">
      <w:start w:val="1"/>
      <w:numFmt w:val="bullet"/>
      <w:lvlText w:val="o"/>
      <w:lvlJc w:val="left"/>
      <w:pPr>
        <w:ind w:left="1440" w:hanging="360"/>
      </w:pPr>
      <w:rPr>
        <w:rFonts w:ascii="Courier New" w:hAnsi="Courier New" w:hint="default"/>
      </w:rPr>
    </w:lvl>
    <w:lvl w:ilvl="2" w:tplc="4606D374">
      <w:start w:val="1"/>
      <w:numFmt w:val="bullet"/>
      <w:lvlText w:val=""/>
      <w:lvlJc w:val="left"/>
      <w:pPr>
        <w:ind w:left="2160" w:hanging="360"/>
      </w:pPr>
      <w:rPr>
        <w:rFonts w:ascii="Wingdings" w:hAnsi="Wingdings" w:hint="default"/>
      </w:rPr>
    </w:lvl>
    <w:lvl w:ilvl="3" w:tplc="95208CE0">
      <w:start w:val="1"/>
      <w:numFmt w:val="bullet"/>
      <w:lvlText w:val=""/>
      <w:lvlJc w:val="left"/>
      <w:pPr>
        <w:ind w:left="2880" w:hanging="360"/>
      </w:pPr>
      <w:rPr>
        <w:rFonts w:ascii="Symbol" w:hAnsi="Symbol" w:hint="default"/>
      </w:rPr>
    </w:lvl>
    <w:lvl w:ilvl="4" w:tplc="E5545676">
      <w:start w:val="1"/>
      <w:numFmt w:val="bullet"/>
      <w:lvlText w:val="o"/>
      <w:lvlJc w:val="left"/>
      <w:pPr>
        <w:ind w:left="3600" w:hanging="360"/>
      </w:pPr>
      <w:rPr>
        <w:rFonts w:ascii="Courier New" w:hAnsi="Courier New" w:hint="default"/>
      </w:rPr>
    </w:lvl>
    <w:lvl w:ilvl="5" w:tplc="457877DA">
      <w:start w:val="1"/>
      <w:numFmt w:val="bullet"/>
      <w:lvlText w:val=""/>
      <w:lvlJc w:val="left"/>
      <w:pPr>
        <w:ind w:left="4320" w:hanging="360"/>
      </w:pPr>
      <w:rPr>
        <w:rFonts w:ascii="Wingdings" w:hAnsi="Wingdings" w:hint="default"/>
      </w:rPr>
    </w:lvl>
    <w:lvl w:ilvl="6" w:tplc="895C19DA">
      <w:start w:val="1"/>
      <w:numFmt w:val="bullet"/>
      <w:lvlText w:val=""/>
      <w:lvlJc w:val="left"/>
      <w:pPr>
        <w:ind w:left="5040" w:hanging="360"/>
      </w:pPr>
      <w:rPr>
        <w:rFonts w:ascii="Symbol" w:hAnsi="Symbol" w:hint="default"/>
      </w:rPr>
    </w:lvl>
    <w:lvl w:ilvl="7" w:tplc="206409AC">
      <w:start w:val="1"/>
      <w:numFmt w:val="bullet"/>
      <w:lvlText w:val="o"/>
      <w:lvlJc w:val="left"/>
      <w:pPr>
        <w:ind w:left="5760" w:hanging="360"/>
      </w:pPr>
      <w:rPr>
        <w:rFonts w:ascii="Courier New" w:hAnsi="Courier New" w:hint="default"/>
      </w:rPr>
    </w:lvl>
    <w:lvl w:ilvl="8" w:tplc="517EC764">
      <w:start w:val="1"/>
      <w:numFmt w:val="bullet"/>
      <w:lvlText w:val=""/>
      <w:lvlJc w:val="left"/>
      <w:pPr>
        <w:ind w:left="6480" w:hanging="360"/>
      </w:pPr>
      <w:rPr>
        <w:rFonts w:ascii="Wingdings" w:hAnsi="Wingdings" w:hint="default"/>
      </w:rPr>
    </w:lvl>
  </w:abstractNum>
  <w:abstractNum w:abstractNumId="23" w15:restartNumberingAfterBreak="0">
    <w:nsid w:val="2D136DF1"/>
    <w:multiLevelType w:val="hybridMultilevel"/>
    <w:tmpl w:val="8BE66D4E"/>
    <w:lvl w:ilvl="0" w:tplc="147C42F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DC236DC"/>
    <w:multiLevelType w:val="hybridMultilevel"/>
    <w:tmpl w:val="AF9A2920"/>
    <w:lvl w:ilvl="0" w:tplc="C8C24CE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4008EF"/>
    <w:multiLevelType w:val="hybridMultilevel"/>
    <w:tmpl w:val="12BE7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0027C56"/>
    <w:multiLevelType w:val="hybridMultilevel"/>
    <w:tmpl w:val="29060F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32510518"/>
    <w:multiLevelType w:val="hybridMultilevel"/>
    <w:tmpl w:val="13DC3A82"/>
    <w:lvl w:ilvl="0" w:tplc="0809001B">
      <w:start w:val="1"/>
      <w:numFmt w:val="low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5E67570"/>
    <w:multiLevelType w:val="multilevel"/>
    <w:tmpl w:val="2062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A6419"/>
    <w:multiLevelType w:val="hybridMultilevel"/>
    <w:tmpl w:val="91FCF406"/>
    <w:lvl w:ilvl="0" w:tplc="303E2736">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3A756D18"/>
    <w:multiLevelType w:val="hybridMultilevel"/>
    <w:tmpl w:val="19E004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3CAE2D4F"/>
    <w:multiLevelType w:val="hybridMultilevel"/>
    <w:tmpl w:val="E332AC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2" w15:restartNumberingAfterBreak="0">
    <w:nsid w:val="3F7D60D4"/>
    <w:multiLevelType w:val="hybridMultilevel"/>
    <w:tmpl w:val="F788D6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0FD5E8E"/>
    <w:multiLevelType w:val="hybridMultilevel"/>
    <w:tmpl w:val="80328E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25F6A19"/>
    <w:multiLevelType w:val="hybridMultilevel"/>
    <w:tmpl w:val="245E83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452F6D65"/>
    <w:multiLevelType w:val="hybridMultilevel"/>
    <w:tmpl w:val="15FE34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481C1BF6"/>
    <w:multiLevelType w:val="hybridMultilevel"/>
    <w:tmpl w:val="D974B9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48FC3226"/>
    <w:multiLevelType w:val="hybridMultilevel"/>
    <w:tmpl w:val="2A021B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9395A56"/>
    <w:multiLevelType w:val="multilevel"/>
    <w:tmpl w:val="C45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726CF2"/>
    <w:multiLevelType w:val="multilevel"/>
    <w:tmpl w:val="834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D003B5"/>
    <w:multiLevelType w:val="hybridMultilevel"/>
    <w:tmpl w:val="74069E5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2984D3C"/>
    <w:multiLevelType w:val="multilevel"/>
    <w:tmpl w:val="7606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14398D"/>
    <w:multiLevelType w:val="hybridMultilevel"/>
    <w:tmpl w:val="35C421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58B604E2"/>
    <w:multiLevelType w:val="hybridMultilevel"/>
    <w:tmpl w:val="9CB42B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5C1F4D42"/>
    <w:multiLevelType w:val="hybridMultilevel"/>
    <w:tmpl w:val="998291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5E9D7175"/>
    <w:multiLevelType w:val="hybridMultilevel"/>
    <w:tmpl w:val="03F880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5EAB1A64"/>
    <w:multiLevelType w:val="hybridMultilevel"/>
    <w:tmpl w:val="5F2A5A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0CE168E"/>
    <w:multiLevelType w:val="hybridMultilevel"/>
    <w:tmpl w:val="A620A0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7D06F4E"/>
    <w:multiLevelType w:val="hybridMultilevel"/>
    <w:tmpl w:val="63506EB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67EB01B4"/>
    <w:multiLevelType w:val="hybridMultilevel"/>
    <w:tmpl w:val="11FC7018"/>
    <w:lvl w:ilvl="0" w:tplc="0809000F">
      <w:start w:val="1"/>
      <w:numFmt w:val="decimal"/>
      <w:lvlText w:val="%1."/>
      <w:lvlJc w:val="left"/>
      <w:pPr>
        <w:ind w:left="720" w:hanging="360"/>
      </w:pPr>
      <w:rPr>
        <w:rFonts w:hint="default"/>
      </w:rPr>
    </w:lvl>
    <w:lvl w:ilvl="1" w:tplc="08090017">
      <w:start w:val="1"/>
      <w:numFmt w:val="lowerLetter"/>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698F5198"/>
    <w:multiLevelType w:val="hybridMultilevel"/>
    <w:tmpl w:val="E0EE96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6AE34F09"/>
    <w:multiLevelType w:val="multilevel"/>
    <w:tmpl w:val="C16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AEE03FA"/>
    <w:multiLevelType w:val="hybridMultilevel"/>
    <w:tmpl w:val="89A05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FBE2272"/>
    <w:multiLevelType w:val="hybridMultilevel"/>
    <w:tmpl w:val="F940B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70B40A00"/>
    <w:multiLevelType w:val="hybridMultilevel"/>
    <w:tmpl w:val="B7E2F722"/>
    <w:lvl w:ilvl="0" w:tplc="FBBC1590">
      <w:start w:val="1"/>
      <w:numFmt w:val="upperLetter"/>
      <w:lvlText w:val="%1."/>
      <w:lvlJc w:val="left"/>
      <w:pPr>
        <w:ind w:left="720" w:hanging="360"/>
      </w:pPr>
      <w:rPr>
        <w:rFonts w:hint="default"/>
        <w:b/>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0CB7445"/>
    <w:multiLevelType w:val="hybridMultilevel"/>
    <w:tmpl w:val="EB8E467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73357D13"/>
    <w:multiLevelType w:val="hybridMultilevel"/>
    <w:tmpl w:val="C8B8D1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3985254"/>
    <w:multiLevelType w:val="hybridMultilevel"/>
    <w:tmpl w:val="4AAAE9A0"/>
    <w:lvl w:ilvl="0" w:tplc="08090015">
      <w:start w:val="1"/>
      <w:numFmt w:val="upp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41F0E4D"/>
    <w:multiLevelType w:val="hybridMultilevel"/>
    <w:tmpl w:val="C36CBD94"/>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8DB3556"/>
    <w:multiLevelType w:val="hybridMultilevel"/>
    <w:tmpl w:val="D91E1118"/>
    <w:lvl w:ilvl="0" w:tplc="216C740E">
      <w:start w:val="1"/>
      <w:numFmt w:val="lowerRoman"/>
      <w:lvlText w:val="%1."/>
      <w:lvlJc w:val="right"/>
      <w:pPr>
        <w:tabs>
          <w:tab w:val="num" w:pos="720"/>
        </w:tabs>
        <w:ind w:left="720" w:hanging="360"/>
      </w:pPr>
    </w:lvl>
    <w:lvl w:ilvl="1" w:tplc="997245C4">
      <w:start w:val="1"/>
      <w:numFmt w:val="lowerRoman"/>
      <w:lvlText w:val="%2."/>
      <w:lvlJc w:val="right"/>
      <w:pPr>
        <w:tabs>
          <w:tab w:val="num" w:pos="1440"/>
        </w:tabs>
        <w:ind w:left="1440" w:hanging="360"/>
      </w:pPr>
    </w:lvl>
    <w:lvl w:ilvl="2" w:tplc="C3ECB196" w:tentative="1">
      <w:start w:val="1"/>
      <w:numFmt w:val="lowerRoman"/>
      <w:lvlText w:val="%3."/>
      <w:lvlJc w:val="right"/>
      <w:pPr>
        <w:tabs>
          <w:tab w:val="num" w:pos="2160"/>
        </w:tabs>
        <w:ind w:left="2160" w:hanging="360"/>
      </w:pPr>
    </w:lvl>
    <w:lvl w:ilvl="3" w:tplc="38E61BEA" w:tentative="1">
      <w:start w:val="1"/>
      <w:numFmt w:val="lowerRoman"/>
      <w:lvlText w:val="%4."/>
      <w:lvlJc w:val="right"/>
      <w:pPr>
        <w:tabs>
          <w:tab w:val="num" w:pos="2880"/>
        </w:tabs>
        <w:ind w:left="2880" w:hanging="360"/>
      </w:pPr>
    </w:lvl>
    <w:lvl w:ilvl="4" w:tplc="55E836D4" w:tentative="1">
      <w:start w:val="1"/>
      <w:numFmt w:val="lowerRoman"/>
      <w:lvlText w:val="%5."/>
      <w:lvlJc w:val="right"/>
      <w:pPr>
        <w:tabs>
          <w:tab w:val="num" w:pos="3600"/>
        </w:tabs>
        <w:ind w:left="3600" w:hanging="360"/>
      </w:pPr>
    </w:lvl>
    <w:lvl w:ilvl="5" w:tplc="C574734A" w:tentative="1">
      <w:start w:val="1"/>
      <w:numFmt w:val="lowerRoman"/>
      <w:lvlText w:val="%6."/>
      <w:lvlJc w:val="right"/>
      <w:pPr>
        <w:tabs>
          <w:tab w:val="num" w:pos="4320"/>
        </w:tabs>
        <w:ind w:left="4320" w:hanging="360"/>
      </w:pPr>
    </w:lvl>
    <w:lvl w:ilvl="6" w:tplc="6E063702" w:tentative="1">
      <w:start w:val="1"/>
      <w:numFmt w:val="lowerRoman"/>
      <w:lvlText w:val="%7."/>
      <w:lvlJc w:val="right"/>
      <w:pPr>
        <w:tabs>
          <w:tab w:val="num" w:pos="5040"/>
        </w:tabs>
        <w:ind w:left="5040" w:hanging="360"/>
      </w:pPr>
    </w:lvl>
    <w:lvl w:ilvl="7" w:tplc="B2CE168E" w:tentative="1">
      <w:start w:val="1"/>
      <w:numFmt w:val="lowerRoman"/>
      <w:lvlText w:val="%8."/>
      <w:lvlJc w:val="right"/>
      <w:pPr>
        <w:tabs>
          <w:tab w:val="num" w:pos="5760"/>
        </w:tabs>
        <w:ind w:left="5760" w:hanging="360"/>
      </w:pPr>
    </w:lvl>
    <w:lvl w:ilvl="8" w:tplc="9BB87648" w:tentative="1">
      <w:start w:val="1"/>
      <w:numFmt w:val="lowerRoman"/>
      <w:lvlText w:val="%9."/>
      <w:lvlJc w:val="right"/>
      <w:pPr>
        <w:tabs>
          <w:tab w:val="num" w:pos="6480"/>
        </w:tabs>
        <w:ind w:left="6480" w:hanging="360"/>
      </w:pPr>
    </w:lvl>
  </w:abstractNum>
  <w:abstractNum w:abstractNumId="61" w15:restartNumberingAfterBreak="0">
    <w:nsid w:val="79D82A25"/>
    <w:multiLevelType w:val="hybridMultilevel"/>
    <w:tmpl w:val="5D60AC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79F46691"/>
    <w:multiLevelType w:val="hybridMultilevel"/>
    <w:tmpl w:val="241A3CF4"/>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3" w15:restartNumberingAfterBreak="0">
    <w:nsid w:val="7ACA6AA5"/>
    <w:multiLevelType w:val="hybridMultilevel"/>
    <w:tmpl w:val="5B66AF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7B065E8E"/>
    <w:multiLevelType w:val="hybridMultilevel"/>
    <w:tmpl w:val="6C78A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B09562A"/>
    <w:multiLevelType w:val="hybridMultilevel"/>
    <w:tmpl w:val="83C6C4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7D296CB3"/>
    <w:multiLevelType w:val="hybridMultilevel"/>
    <w:tmpl w:val="E53A68E2"/>
    <w:lvl w:ilvl="0" w:tplc="11E25FBA">
      <w:start w:val="1"/>
      <w:numFmt w:val="decimal"/>
      <w:lvlText w:val="%1)"/>
      <w:lvlJc w:val="left"/>
      <w:pPr>
        <w:ind w:left="360" w:hanging="360"/>
      </w:pPr>
      <w:rPr>
        <w:rFonts w:ascii="Arial" w:eastAsia="MS Mincho" w:hAnsi="Arial" w:cs="Arial"/>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7E432C4B"/>
    <w:multiLevelType w:val="hybridMultilevel"/>
    <w:tmpl w:val="2B1AFF3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FE127A4"/>
    <w:multiLevelType w:val="hybridMultilevel"/>
    <w:tmpl w:val="F796C5A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85122495">
    <w:abstractNumId w:val="22"/>
  </w:num>
  <w:num w:numId="2" w16cid:durableId="105657513">
    <w:abstractNumId w:val="66"/>
  </w:num>
  <w:num w:numId="3" w16cid:durableId="1594632126">
    <w:abstractNumId w:val="16"/>
  </w:num>
  <w:num w:numId="4" w16cid:durableId="62487670">
    <w:abstractNumId w:val="19"/>
  </w:num>
  <w:num w:numId="5" w16cid:durableId="891501823">
    <w:abstractNumId w:val="45"/>
  </w:num>
  <w:num w:numId="6" w16cid:durableId="813060216">
    <w:abstractNumId w:val="44"/>
  </w:num>
  <w:num w:numId="7" w16cid:durableId="1282684057">
    <w:abstractNumId w:val="31"/>
  </w:num>
  <w:num w:numId="8" w16cid:durableId="936251790">
    <w:abstractNumId w:val="51"/>
  </w:num>
  <w:num w:numId="9" w16cid:durableId="1355686674">
    <w:abstractNumId w:val="18"/>
  </w:num>
  <w:num w:numId="10" w16cid:durableId="939532216">
    <w:abstractNumId w:val="62"/>
  </w:num>
  <w:num w:numId="11" w16cid:durableId="1710303256">
    <w:abstractNumId w:val="37"/>
  </w:num>
  <w:num w:numId="12" w16cid:durableId="804389116">
    <w:abstractNumId w:val="61"/>
  </w:num>
  <w:num w:numId="13" w16cid:durableId="1539590266">
    <w:abstractNumId w:val="50"/>
  </w:num>
  <w:num w:numId="14" w16cid:durableId="565411089">
    <w:abstractNumId w:val="17"/>
  </w:num>
  <w:num w:numId="15" w16cid:durableId="953364548">
    <w:abstractNumId w:val="43"/>
  </w:num>
  <w:num w:numId="16" w16cid:durableId="1258440831">
    <w:abstractNumId w:val="68"/>
  </w:num>
  <w:num w:numId="17" w16cid:durableId="64844203">
    <w:abstractNumId w:val="33"/>
  </w:num>
  <w:num w:numId="18" w16cid:durableId="1588539422">
    <w:abstractNumId w:val="26"/>
  </w:num>
  <w:num w:numId="19" w16cid:durableId="455489733">
    <w:abstractNumId w:val="20"/>
  </w:num>
  <w:num w:numId="20" w16cid:durableId="1961186008">
    <w:abstractNumId w:val="34"/>
  </w:num>
  <w:num w:numId="21" w16cid:durableId="840387028">
    <w:abstractNumId w:val="8"/>
  </w:num>
  <w:num w:numId="22" w16cid:durableId="1633751135">
    <w:abstractNumId w:val="49"/>
  </w:num>
  <w:num w:numId="23" w16cid:durableId="198592629">
    <w:abstractNumId w:val="30"/>
  </w:num>
  <w:num w:numId="24" w16cid:durableId="1689480758">
    <w:abstractNumId w:val="25"/>
  </w:num>
  <w:num w:numId="25" w16cid:durableId="1215509328">
    <w:abstractNumId w:val="48"/>
  </w:num>
  <w:num w:numId="26" w16cid:durableId="1330013194">
    <w:abstractNumId w:val="35"/>
  </w:num>
  <w:num w:numId="27" w16cid:durableId="1924602215">
    <w:abstractNumId w:val="36"/>
  </w:num>
  <w:num w:numId="28" w16cid:durableId="646973934">
    <w:abstractNumId w:val="52"/>
  </w:num>
  <w:num w:numId="29" w16cid:durableId="500464114">
    <w:abstractNumId w:val="1"/>
  </w:num>
  <w:num w:numId="30" w16cid:durableId="2028557261">
    <w:abstractNumId w:val="13"/>
  </w:num>
  <w:num w:numId="31" w16cid:durableId="2111730505">
    <w:abstractNumId w:val="12"/>
  </w:num>
  <w:num w:numId="32" w16cid:durableId="2088921036">
    <w:abstractNumId w:val="56"/>
  </w:num>
  <w:num w:numId="33" w16cid:durableId="369065119">
    <w:abstractNumId w:val="32"/>
  </w:num>
  <w:num w:numId="34" w16cid:durableId="39549679">
    <w:abstractNumId w:val="5"/>
  </w:num>
  <w:num w:numId="35" w16cid:durableId="2135058801">
    <w:abstractNumId w:val="21"/>
  </w:num>
  <w:num w:numId="36" w16cid:durableId="1767193912">
    <w:abstractNumId w:val="2"/>
  </w:num>
  <w:num w:numId="37" w16cid:durableId="1622104084">
    <w:abstractNumId w:val="42"/>
  </w:num>
  <w:num w:numId="38" w16cid:durableId="1629509380">
    <w:abstractNumId w:val="64"/>
  </w:num>
  <w:num w:numId="39" w16cid:durableId="870462821">
    <w:abstractNumId w:val="63"/>
  </w:num>
  <w:num w:numId="40" w16cid:durableId="575214637">
    <w:abstractNumId w:val="9"/>
  </w:num>
  <w:num w:numId="41" w16cid:durableId="835531280">
    <w:abstractNumId w:val="54"/>
  </w:num>
  <w:num w:numId="42" w16cid:durableId="328948671">
    <w:abstractNumId w:val="29"/>
  </w:num>
  <w:num w:numId="43" w16cid:durableId="752288497">
    <w:abstractNumId w:val="67"/>
  </w:num>
  <w:num w:numId="44" w16cid:durableId="591745584">
    <w:abstractNumId w:val="27"/>
  </w:num>
  <w:num w:numId="45" w16cid:durableId="393818974">
    <w:abstractNumId w:val="53"/>
  </w:num>
  <w:num w:numId="46" w16cid:durableId="1218055460">
    <w:abstractNumId w:val="0"/>
  </w:num>
  <w:num w:numId="47" w16cid:durableId="1642730801">
    <w:abstractNumId w:val="40"/>
  </w:num>
  <w:num w:numId="48" w16cid:durableId="1489324874">
    <w:abstractNumId w:val="58"/>
  </w:num>
  <w:num w:numId="49" w16cid:durableId="731999939">
    <w:abstractNumId w:val="60"/>
  </w:num>
  <w:num w:numId="50" w16cid:durableId="1967226741">
    <w:abstractNumId w:val="59"/>
  </w:num>
  <w:num w:numId="51" w16cid:durableId="1389911505">
    <w:abstractNumId w:val="14"/>
  </w:num>
  <w:num w:numId="52" w16cid:durableId="949779529">
    <w:abstractNumId w:val="47"/>
  </w:num>
  <w:num w:numId="53" w16cid:durableId="1212226188">
    <w:abstractNumId w:val="7"/>
  </w:num>
  <w:num w:numId="54" w16cid:durableId="1004671213">
    <w:abstractNumId w:val="65"/>
  </w:num>
  <w:num w:numId="55" w16cid:durableId="433208824">
    <w:abstractNumId w:val="3"/>
  </w:num>
  <w:num w:numId="56" w16cid:durableId="890074892">
    <w:abstractNumId w:val="11"/>
  </w:num>
  <w:num w:numId="57" w16cid:durableId="2113502668">
    <w:abstractNumId w:val="4"/>
  </w:num>
  <w:num w:numId="58" w16cid:durableId="628240227">
    <w:abstractNumId w:val="57"/>
  </w:num>
  <w:num w:numId="59" w16cid:durableId="1845629017">
    <w:abstractNumId w:val="46"/>
  </w:num>
  <w:num w:numId="60" w16cid:durableId="118038026">
    <w:abstractNumId w:val="15"/>
  </w:num>
  <w:num w:numId="61" w16cid:durableId="101193789">
    <w:abstractNumId w:val="23"/>
  </w:num>
  <w:num w:numId="62" w16cid:durableId="1882476572">
    <w:abstractNumId w:val="55"/>
  </w:num>
  <w:num w:numId="63" w16cid:durableId="1797143916">
    <w:abstractNumId w:val="10"/>
  </w:num>
  <w:num w:numId="64" w16cid:durableId="1039166058">
    <w:abstractNumId w:val="6"/>
  </w:num>
  <w:num w:numId="65" w16cid:durableId="822426623">
    <w:abstractNumId w:val="24"/>
  </w:num>
  <w:num w:numId="66" w16cid:durableId="1854689797">
    <w:abstractNumId w:val="39"/>
  </w:num>
  <w:num w:numId="67" w16cid:durableId="2062708455">
    <w:abstractNumId w:val="28"/>
  </w:num>
  <w:num w:numId="68" w16cid:durableId="1864173147">
    <w:abstractNumId w:val="38"/>
  </w:num>
  <w:num w:numId="69" w16cid:durableId="78820186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074BD"/>
    <w:rsid w:val="00010D99"/>
    <w:rsid w:val="0002008A"/>
    <w:rsid w:val="00024CE4"/>
    <w:rsid w:val="0004604C"/>
    <w:rsid w:val="00075930"/>
    <w:rsid w:val="000847DC"/>
    <w:rsid w:val="0009000A"/>
    <w:rsid w:val="00094462"/>
    <w:rsid w:val="00096C36"/>
    <w:rsid w:val="000A467B"/>
    <w:rsid w:val="000B0EB6"/>
    <w:rsid w:val="000B5A12"/>
    <w:rsid w:val="000B5F20"/>
    <w:rsid w:val="000B787A"/>
    <w:rsid w:val="000D0FA1"/>
    <w:rsid w:val="000D21D2"/>
    <w:rsid w:val="000D2494"/>
    <w:rsid w:val="000E1F12"/>
    <w:rsid w:val="000E366B"/>
    <w:rsid w:val="000E3A36"/>
    <w:rsid w:val="000E51DA"/>
    <w:rsid w:val="001001D8"/>
    <w:rsid w:val="001067E9"/>
    <w:rsid w:val="00124CCB"/>
    <w:rsid w:val="0013208A"/>
    <w:rsid w:val="00132AC4"/>
    <w:rsid w:val="00136955"/>
    <w:rsid w:val="00137089"/>
    <w:rsid w:val="00146F8D"/>
    <w:rsid w:val="00150BC1"/>
    <w:rsid w:val="0015167A"/>
    <w:rsid w:val="00156AC9"/>
    <w:rsid w:val="00163655"/>
    <w:rsid w:val="00164BD7"/>
    <w:rsid w:val="00167D14"/>
    <w:rsid w:val="00170269"/>
    <w:rsid w:val="001772B1"/>
    <w:rsid w:val="00177ED8"/>
    <w:rsid w:val="0018683A"/>
    <w:rsid w:val="001A698C"/>
    <w:rsid w:val="001B2FBC"/>
    <w:rsid w:val="001B5B88"/>
    <w:rsid w:val="001B791F"/>
    <w:rsid w:val="001D239F"/>
    <w:rsid w:val="002034A0"/>
    <w:rsid w:val="00207DC5"/>
    <w:rsid w:val="00220CB2"/>
    <w:rsid w:val="002251D3"/>
    <w:rsid w:val="00225CB1"/>
    <w:rsid w:val="00244323"/>
    <w:rsid w:val="002469EC"/>
    <w:rsid w:val="00247BCC"/>
    <w:rsid w:val="002513AE"/>
    <w:rsid w:val="00256D94"/>
    <w:rsid w:val="0027290A"/>
    <w:rsid w:val="002A2739"/>
    <w:rsid w:val="002B22F9"/>
    <w:rsid w:val="002D3B53"/>
    <w:rsid w:val="002E738B"/>
    <w:rsid w:val="002F5035"/>
    <w:rsid w:val="003020D4"/>
    <w:rsid w:val="00304F02"/>
    <w:rsid w:val="00306ECD"/>
    <w:rsid w:val="00317E77"/>
    <w:rsid w:val="003265E5"/>
    <w:rsid w:val="00332E80"/>
    <w:rsid w:val="00350BF2"/>
    <w:rsid w:val="00372282"/>
    <w:rsid w:val="003757E9"/>
    <w:rsid w:val="00382673"/>
    <w:rsid w:val="00384371"/>
    <w:rsid w:val="00387A29"/>
    <w:rsid w:val="00391399"/>
    <w:rsid w:val="003A29BD"/>
    <w:rsid w:val="003A5768"/>
    <w:rsid w:val="003A5AF0"/>
    <w:rsid w:val="003B2EA8"/>
    <w:rsid w:val="003C1EAF"/>
    <w:rsid w:val="00443533"/>
    <w:rsid w:val="00450CA3"/>
    <w:rsid w:val="00451DAA"/>
    <w:rsid w:val="00472839"/>
    <w:rsid w:val="004832AA"/>
    <w:rsid w:val="004A6598"/>
    <w:rsid w:val="004B2E01"/>
    <w:rsid w:val="004C769F"/>
    <w:rsid w:val="004C7BA9"/>
    <w:rsid w:val="004D5554"/>
    <w:rsid w:val="004F034A"/>
    <w:rsid w:val="00524CC3"/>
    <w:rsid w:val="00533545"/>
    <w:rsid w:val="00544EA6"/>
    <w:rsid w:val="00545B5E"/>
    <w:rsid w:val="005501DE"/>
    <w:rsid w:val="005512FA"/>
    <w:rsid w:val="00560129"/>
    <w:rsid w:val="00566221"/>
    <w:rsid w:val="00575FFF"/>
    <w:rsid w:val="005817EB"/>
    <w:rsid w:val="00582160"/>
    <w:rsid w:val="005866A9"/>
    <w:rsid w:val="005C18FD"/>
    <w:rsid w:val="005C72A5"/>
    <w:rsid w:val="005D231D"/>
    <w:rsid w:val="005D34E5"/>
    <w:rsid w:val="005D4D36"/>
    <w:rsid w:val="005D6410"/>
    <w:rsid w:val="005E5AEF"/>
    <w:rsid w:val="005F7DBE"/>
    <w:rsid w:val="00605147"/>
    <w:rsid w:val="0061100D"/>
    <w:rsid w:val="00620BB0"/>
    <w:rsid w:val="006224EC"/>
    <w:rsid w:val="00625ED1"/>
    <w:rsid w:val="00630854"/>
    <w:rsid w:val="006353B2"/>
    <w:rsid w:val="00641DAE"/>
    <w:rsid w:val="00653CE5"/>
    <w:rsid w:val="00695FF9"/>
    <w:rsid w:val="006A18F9"/>
    <w:rsid w:val="006A6A8A"/>
    <w:rsid w:val="006B0A31"/>
    <w:rsid w:val="006B1AF7"/>
    <w:rsid w:val="006B2727"/>
    <w:rsid w:val="006B2E78"/>
    <w:rsid w:val="006B6F26"/>
    <w:rsid w:val="006B715F"/>
    <w:rsid w:val="006C48D2"/>
    <w:rsid w:val="006C7DB4"/>
    <w:rsid w:val="006E0B58"/>
    <w:rsid w:val="006E64A9"/>
    <w:rsid w:val="006E73F7"/>
    <w:rsid w:val="006F45A7"/>
    <w:rsid w:val="00725D61"/>
    <w:rsid w:val="0073109B"/>
    <w:rsid w:val="007544F0"/>
    <w:rsid w:val="007636C8"/>
    <w:rsid w:val="00766CC2"/>
    <w:rsid w:val="00777289"/>
    <w:rsid w:val="00777A69"/>
    <w:rsid w:val="007A1453"/>
    <w:rsid w:val="007A7136"/>
    <w:rsid w:val="007B3480"/>
    <w:rsid w:val="007C05F8"/>
    <w:rsid w:val="007C40A5"/>
    <w:rsid w:val="007D07AB"/>
    <w:rsid w:val="007D5F06"/>
    <w:rsid w:val="00800A74"/>
    <w:rsid w:val="008048D9"/>
    <w:rsid w:val="0081142C"/>
    <w:rsid w:val="00816ADE"/>
    <w:rsid w:val="00841D14"/>
    <w:rsid w:val="00842ED4"/>
    <w:rsid w:val="008532F1"/>
    <w:rsid w:val="00862CCB"/>
    <w:rsid w:val="008773FA"/>
    <w:rsid w:val="0088171A"/>
    <w:rsid w:val="00883999"/>
    <w:rsid w:val="00893DBD"/>
    <w:rsid w:val="008A4E69"/>
    <w:rsid w:val="008D6303"/>
    <w:rsid w:val="008D6D47"/>
    <w:rsid w:val="008E0D88"/>
    <w:rsid w:val="008F1BA0"/>
    <w:rsid w:val="009005A6"/>
    <w:rsid w:val="009037BD"/>
    <w:rsid w:val="0091764E"/>
    <w:rsid w:val="0095680A"/>
    <w:rsid w:val="009569FF"/>
    <w:rsid w:val="00962489"/>
    <w:rsid w:val="00966353"/>
    <w:rsid w:val="0098443F"/>
    <w:rsid w:val="00984CB8"/>
    <w:rsid w:val="00992FCE"/>
    <w:rsid w:val="009B0C34"/>
    <w:rsid w:val="009C4282"/>
    <w:rsid w:val="009E0C97"/>
    <w:rsid w:val="00A013BA"/>
    <w:rsid w:val="00A314AA"/>
    <w:rsid w:val="00A32B1C"/>
    <w:rsid w:val="00A47758"/>
    <w:rsid w:val="00A536EC"/>
    <w:rsid w:val="00A7692A"/>
    <w:rsid w:val="00A76F47"/>
    <w:rsid w:val="00A77013"/>
    <w:rsid w:val="00A863B6"/>
    <w:rsid w:val="00AA1B8B"/>
    <w:rsid w:val="00AA5252"/>
    <w:rsid w:val="00AE2B44"/>
    <w:rsid w:val="00AF4D69"/>
    <w:rsid w:val="00B056EE"/>
    <w:rsid w:val="00B1649A"/>
    <w:rsid w:val="00B21883"/>
    <w:rsid w:val="00B325F4"/>
    <w:rsid w:val="00B44AE2"/>
    <w:rsid w:val="00B635E2"/>
    <w:rsid w:val="00B70E0F"/>
    <w:rsid w:val="00B842D5"/>
    <w:rsid w:val="00B869B7"/>
    <w:rsid w:val="00BA507E"/>
    <w:rsid w:val="00BA6447"/>
    <w:rsid w:val="00BA7796"/>
    <w:rsid w:val="00BB64DB"/>
    <w:rsid w:val="00BC4E0F"/>
    <w:rsid w:val="00BD3E57"/>
    <w:rsid w:val="00BF59B8"/>
    <w:rsid w:val="00C02453"/>
    <w:rsid w:val="00C15B63"/>
    <w:rsid w:val="00C3154F"/>
    <w:rsid w:val="00C33A04"/>
    <w:rsid w:val="00C40819"/>
    <w:rsid w:val="00C54BB1"/>
    <w:rsid w:val="00C558CC"/>
    <w:rsid w:val="00C5661E"/>
    <w:rsid w:val="00C7447F"/>
    <w:rsid w:val="00C91DBB"/>
    <w:rsid w:val="00C93EA1"/>
    <w:rsid w:val="00C973DA"/>
    <w:rsid w:val="00CB6080"/>
    <w:rsid w:val="00CB7712"/>
    <w:rsid w:val="00CC3D7B"/>
    <w:rsid w:val="00CD04E4"/>
    <w:rsid w:val="00CD2DAA"/>
    <w:rsid w:val="00CD7E72"/>
    <w:rsid w:val="00CE410A"/>
    <w:rsid w:val="00CE5ADF"/>
    <w:rsid w:val="00CE6067"/>
    <w:rsid w:val="00CF552E"/>
    <w:rsid w:val="00D03127"/>
    <w:rsid w:val="00D13AFF"/>
    <w:rsid w:val="00D15CC6"/>
    <w:rsid w:val="00D17A04"/>
    <w:rsid w:val="00D455B0"/>
    <w:rsid w:val="00D56668"/>
    <w:rsid w:val="00D630CC"/>
    <w:rsid w:val="00D63C77"/>
    <w:rsid w:val="00D70BEB"/>
    <w:rsid w:val="00D75B37"/>
    <w:rsid w:val="00D84B69"/>
    <w:rsid w:val="00DA55A2"/>
    <w:rsid w:val="00DF259A"/>
    <w:rsid w:val="00E04EA1"/>
    <w:rsid w:val="00E05F29"/>
    <w:rsid w:val="00E27C9E"/>
    <w:rsid w:val="00E27E74"/>
    <w:rsid w:val="00E40AF7"/>
    <w:rsid w:val="00E4659D"/>
    <w:rsid w:val="00E523F1"/>
    <w:rsid w:val="00EC1011"/>
    <w:rsid w:val="00EC1F1E"/>
    <w:rsid w:val="00EC488A"/>
    <w:rsid w:val="00ED2BB0"/>
    <w:rsid w:val="00EE2D31"/>
    <w:rsid w:val="00EE766C"/>
    <w:rsid w:val="00EF3C83"/>
    <w:rsid w:val="00F409EB"/>
    <w:rsid w:val="00F51714"/>
    <w:rsid w:val="00F51A5A"/>
    <w:rsid w:val="00F5524E"/>
    <w:rsid w:val="00F70E24"/>
    <w:rsid w:val="00F76033"/>
    <w:rsid w:val="00F77345"/>
    <w:rsid w:val="00F94ECD"/>
    <w:rsid w:val="00F97CBE"/>
    <w:rsid w:val="00FA26DA"/>
    <w:rsid w:val="00FB4D5A"/>
    <w:rsid w:val="00FC014E"/>
    <w:rsid w:val="00FE0705"/>
    <w:rsid w:val="00FE14D5"/>
    <w:rsid w:val="00FF2DBF"/>
    <w:rsid w:val="161A126F"/>
    <w:rsid w:val="23A0E319"/>
    <w:rsid w:val="341FF68D"/>
    <w:rsid w:val="41DF4F80"/>
    <w:rsid w:val="5D2C18BA"/>
    <w:rsid w:val="7D00F66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EC8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1764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paragraph" w:customStyle="1" w:styleId="Default">
    <w:name w:val="Default"/>
    <w:rsid w:val="002B22F9"/>
    <w:pPr>
      <w:autoSpaceDE w:val="0"/>
      <w:autoSpaceDN w:val="0"/>
      <w:adjustRightInd w:val="0"/>
      <w:spacing w:after="0" w:line="240" w:lineRule="auto"/>
    </w:pPr>
    <w:rPr>
      <w:rFonts w:ascii="Times New Roman" w:hAnsi="Times New Roman" w:cs="Times New Roman"/>
      <w:color w:val="000000"/>
      <w:sz w:val="24"/>
      <w:szCs w:val="24"/>
      <w:lang w:eastAsia="en-GB"/>
    </w:rPr>
  </w:style>
  <w:style w:type="character" w:customStyle="1" w:styleId="Heading3Char">
    <w:name w:val="Heading 3 Char"/>
    <w:basedOn w:val="DefaultParagraphFont"/>
    <w:link w:val="Heading3"/>
    <w:uiPriority w:val="9"/>
    <w:rsid w:val="0091764E"/>
    <w:rPr>
      <w:rFonts w:ascii="Times New Roman" w:eastAsia="Times New Roman" w:hAnsi="Times New Roman" w:cs="Times New Roman"/>
      <w:b/>
      <w:bCs/>
      <w:sz w:val="27"/>
      <w:szCs w:val="27"/>
      <w:lang w:eastAsia="en-GB"/>
    </w:rPr>
  </w:style>
  <w:style w:type="character" w:customStyle="1" w:styleId="cosearchdetaillevel1">
    <w:name w:val="co_search_detaillevel_1"/>
    <w:basedOn w:val="DefaultParagraphFont"/>
    <w:rsid w:val="0091764E"/>
  </w:style>
  <w:style w:type="character" w:customStyle="1" w:styleId="apple-converted-space">
    <w:name w:val="apple-converted-space"/>
    <w:basedOn w:val="DefaultParagraphFont"/>
    <w:rsid w:val="0091764E"/>
  </w:style>
  <w:style w:type="character" w:styleId="Emphasis">
    <w:name w:val="Emphasis"/>
    <w:basedOn w:val="DefaultParagraphFont"/>
    <w:uiPriority w:val="20"/>
    <w:qFormat/>
    <w:rsid w:val="006E73F7"/>
    <w:rPr>
      <w:i/>
      <w:iCs/>
    </w:rPr>
  </w:style>
  <w:style w:type="character" w:styleId="HTMLCite">
    <w:name w:val="HTML Cite"/>
    <w:basedOn w:val="DefaultParagraphFont"/>
    <w:uiPriority w:val="99"/>
    <w:semiHidden/>
    <w:unhideWhenUsed/>
    <w:rsid w:val="003757E9"/>
    <w:rPr>
      <w:i/>
      <w:iCs/>
    </w:rPr>
  </w:style>
  <w:style w:type="paragraph" w:customStyle="1" w:styleId="c-resourcefield">
    <w:name w:val="c-resource__field"/>
    <w:basedOn w:val="Normal"/>
    <w:rsid w:val="003757E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qa-bibliographic-resource-type">
    <w:name w:val="qa-bibliographic-resource-type"/>
    <w:basedOn w:val="DefaultParagraphFont"/>
    <w:rsid w:val="003757E9"/>
  </w:style>
  <w:style w:type="character" w:customStyle="1" w:styleId="sr-only">
    <w:name w:val="sr-only"/>
    <w:basedOn w:val="DefaultParagraphFont"/>
    <w:rsid w:val="003757E9"/>
  </w:style>
  <w:style w:type="character" w:customStyle="1" w:styleId="qa-content">
    <w:name w:val="qa-content"/>
    <w:basedOn w:val="DefaultParagraphFont"/>
    <w:rsid w:val="003757E9"/>
  </w:style>
  <w:style w:type="character" w:customStyle="1" w:styleId="c-resourcefield1">
    <w:name w:val="c-resource__field1"/>
    <w:basedOn w:val="DefaultParagraphFont"/>
    <w:rsid w:val="00375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30779785">
      <w:bodyDiv w:val="1"/>
      <w:marLeft w:val="0"/>
      <w:marRight w:val="0"/>
      <w:marTop w:val="0"/>
      <w:marBottom w:val="0"/>
      <w:divBdr>
        <w:top w:val="none" w:sz="0" w:space="0" w:color="auto"/>
        <w:left w:val="none" w:sz="0" w:space="0" w:color="auto"/>
        <w:bottom w:val="none" w:sz="0" w:space="0" w:color="auto"/>
        <w:right w:val="none" w:sz="0" w:space="0" w:color="auto"/>
      </w:divBdr>
      <w:divsChild>
        <w:div w:id="1336148681">
          <w:marLeft w:val="0"/>
          <w:marRight w:val="0"/>
          <w:marTop w:val="0"/>
          <w:marBottom w:val="0"/>
          <w:divBdr>
            <w:top w:val="none" w:sz="0" w:space="0" w:color="auto"/>
            <w:left w:val="none" w:sz="0" w:space="0" w:color="auto"/>
            <w:bottom w:val="none" w:sz="0" w:space="0" w:color="auto"/>
            <w:right w:val="none" w:sz="0" w:space="0" w:color="auto"/>
          </w:divBdr>
          <w:divsChild>
            <w:div w:id="815148531">
              <w:marLeft w:val="0"/>
              <w:marRight w:val="0"/>
              <w:marTop w:val="0"/>
              <w:marBottom w:val="0"/>
              <w:divBdr>
                <w:top w:val="none" w:sz="0" w:space="0" w:color="auto"/>
                <w:left w:val="none" w:sz="0" w:space="0" w:color="auto"/>
                <w:bottom w:val="none" w:sz="0" w:space="0" w:color="auto"/>
                <w:right w:val="none" w:sz="0" w:space="0" w:color="auto"/>
              </w:divBdr>
            </w:div>
          </w:divsChild>
        </w:div>
        <w:div w:id="1205558048">
          <w:marLeft w:val="0"/>
          <w:marRight w:val="0"/>
          <w:marTop w:val="0"/>
          <w:marBottom w:val="0"/>
          <w:divBdr>
            <w:top w:val="none" w:sz="0" w:space="0" w:color="auto"/>
            <w:left w:val="none" w:sz="0" w:space="0" w:color="auto"/>
            <w:bottom w:val="none" w:sz="0" w:space="0" w:color="auto"/>
            <w:right w:val="none" w:sz="0" w:space="0" w:color="auto"/>
          </w:divBdr>
          <w:divsChild>
            <w:div w:id="201599561">
              <w:marLeft w:val="0"/>
              <w:marRight w:val="0"/>
              <w:marTop w:val="0"/>
              <w:marBottom w:val="0"/>
              <w:divBdr>
                <w:top w:val="none" w:sz="0" w:space="0" w:color="auto"/>
                <w:left w:val="none" w:sz="0" w:space="0" w:color="auto"/>
                <w:bottom w:val="none" w:sz="0" w:space="0" w:color="auto"/>
                <w:right w:val="none" w:sz="0" w:space="0" w:color="auto"/>
              </w:divBdr>
              <w:divsChild>
                <w:div w:id="754280699">
                  <w:marLeft w:val="0"/>
                  <w:marRight w:val="0"/>
                  <w:marTop w:val="0"/>
                  <w:marBottom w:val="0"/>
                  <w:divBdr>
                    <w:top w:val="none" w:sz="0" w:space="0" w:color="auto"/>
                    <w:left w:val="none" w:sz="0" w:space="0" w:color="auto"/>
                    <w:bottom w:val="none" w:sz="0" w:space="0" w:color="auto"/>
                    <w:right w:val="none" w:sz="0" w:space="0" w:color="auto"/>
                  </w:divBdr>
                  <w:divsChild>
                    <w:div w:id="1137335500">
                      <w:marLeft w:val="0"/>
                      <w:marRight w:val="0"/>
                      <w:marTop w:val="0"/>
                      <w:marBottom w:val="0"/>
                      <w:divBdr>
                        <w:top w:val="none" w:sz="0" w:space="0" w:color="auto"/>
                        <w:left w:val="none" w:sz="0" w:space="0" w:color="auto"/>
                        <w:bottom w:val="none" w:sz="0" w:space="0" w:color="auto"/>
                        <w:right w:val="none" w:sz="0" w:space="0" w:color="auto"/>
                      </w:divBdr>
                      <w:divsChild>
                        <w:div w:id="2039045125">
                          <w:marLeft w:val="0"/>
                          <w:marRight w:val="0"/>
                          <w:marTop w:val="0"/>
                          <w:marBottom w:val="0"/>
                          <w:divBdr>
                            <w:top w:val="none" w:sz="0" w:space="0" w:color="auto"/>
                            <w:left w:val="none" w:sz="0" w:space="0" w:color="auto"/>
                            <w:bottom w:val="none" w:sz="0" w:space="0" w:color="auto"/>
                            <w:right w:val="none" w:sz="0" w:space="0" w:color="auto"/>
                          </w:divBdr>
                          <w:divsChild>
                            <w:div w:id="192953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455814">
          <w:marLeft w:val="0"/>
          <w:marRight w:val="0"/>
          <w:marTop w:val="0"/>
          <w:marBottom w:val="0"/>
          <w:divBdr>
            <w:top w:val="none" w:sz="0" w:space="0" w:color="auto"/>
            <w:left w:val="none" w:sz="0" w:space="0" w:color="auto"/>
            <w:bottom w:val="none" w:sz="0" w:space="0" w:color="auto"/>
            <w:right w:val="none" w:sz="0" w:space="0" w:color="auto"/>
          </w:divBdr>
          <w:divsChild>
            <w:div w:id="2035616341">
              <w:marLeft w:val="0"/>
              <w:marRight w:val="0"/>
              <w:marTop w:val="0"/>
              <w:marBottom w:val="0"/>
              <w:divBdr>
                <w:top w:val="none" w:sz="0" w:space="0" w:color="auto"/>
                <w:left w:val="none" w:sz="0" w:space="0" w:color="auto"/>
                <w:bottom w:val="none" w:sz="0" w:space="0" w:color="auto"/>
                <w:right w:val="none" w:sz="0" w:space="0" w:color="auto"/>
              </w:divBdr>
              <w:divsChild>
                <w:div w:id="1220484068">
                  <w:marLeft w:val="0"/>
                  <w:marRight w:val="0"/>
                  <w:marTop w:val="0"/>
                  <w:marBottom w:val="0"/>
                  <w:divBdr>
                    <w:top w:val="none" w:sz="0" w:space="0" w:color="auto"/>
                    <w:left w:val="none" w:sz="0" w:space="0" w:color="auto"/>
                    <w:bottom w:val="none" w:sz="0" w:space="0" w:color="auto"/>
                    <w:right w:val="none" w:sz="0" w:space="0" w:color="auto"/>
                  </w:divBdr>
                  <w:divsChild>
                    <w:div w:id="1907375712">
                      <w:marLeft w:val="0"/>
                      <w:marRight w:val="0"/>
                      <w:marTop w:val="0"/>
                      <w:marBottom w:val="0"/>
                      <w:divBdr>
                        <w:top w:val="none" w:sz="0" w:space="0" w:color="auto"/>
                        <w:left w:val="none" w:sz="0" w:space="0" w:color="auto"/>
                        <w:bottom w:val="none" w:sz="0" w:space="0" w:color="auto"/>
                        <w:right w:val="none" w:sz="0" w:space="0" w:color="auto"/>
                      </w:divBdr>
                    </w:div>
                    <w:div w:id="113910845">
                      <w:marLeft w:val="0"/>
                      <w:marRight w:val="0"/>
                      <w:marTop w:val="0"/>
                      <w:marBottom w:val="0"/>
                      <w:divBdr>
                        <w:top w:val="none" w:sz="0" w:space="0" w:color="auto"/>
                        <w:left w:val="none" w:sz="0" w:space="0" w:color="auto"/>
                        <w:bottom w:val="none" w:sz="0" w:space="0" w:color="auto"/>
                        <w:right w:val="none" w:sz="0" w:space="0" w:color="auto"/>
                      </w:divBdr>
                      <w:divsChild>
                        <w:div w:id="1045954857">
                          <w:marLeft w:val="0"/>
                          <w:marRight w:val="0"/>
                          <w:marTop w:val="0"/>
                          <w:marBottom w:val="0"/>
                          <w:divBdr>
                            <w:top w:val="none" w:sz="0" w:space="0" w:color="auto"/>
                            <w:left w:val="none" w:sz="0" w:space="0" w:color="auto"/>
                            <w:bottom w:val="none" w:sz="0" w:space="0" w:color="auto"/>
                            <w:right w:val="none" w:sz="0" w:space="0" w:color="auto"/>
                          </w:divBdr>
                          <w:divsChild>
                            <w:div w:id="1870679934">
                              <w:marLeft w:val="0"/>
                              <w:marRight w:val="0"/>
                              <w:marTop w:val="0"/>
                              <w:marBottom w:val="0"/>
                              <w:divBdr>
                                <w:top w:val="none" w:sz="0" w:space="0" w:color="auto"/>
                                <w:left w:val="none" w:sz="0" w:space="0" w:color="auto"/>
                                <w:bottom w:val="none" w:sz="0" w:space="0" w:color="auto"/>
                                <w:right w:val="none" w:sz="0" w:space="0" w:color="auto"/>
                              </w:divBdr>
                              <w:divsChild>
                                <w:div w:id="610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346379">
          <w:marLeft w:val="0"/>
          <w:marRight w:val="0"/>
          <w:marTop w:val="0"/>
          <w:marBottom w:val="0"/>
          <w:divBdr>
            <w:top w:val="none" w:sz="0" w:space="0" w:color="auto"/>
            <w:left w:val="none" w:sz="0" w:space="0" w:color="auto"/>
            <w:bottom w:val="none" w:sz="0" w:space="0" w:color="auto"/>
            <w:right w:val="none" w:sz="0" w:space="0" w:color="auto"/>
          </w:divBdr>
          <w:divsChild>
            <w:div w:id="1052466133">
              <w:marLeft w:val="0"/>
              <w:marRight w:val="0"/>
              <w:marTop w:val="0"/>
              <w:marBottom w:val="0"/>
              <w:divBdr>
                <w:top w:val="none" w:sz="0" w:space="0" w:color="auto"/>
                <w:left w:val="none" w:sz="0" w:space="0" w:color="auto"/>
                <w:bottom w:val="none" w:sz="0" w:space="0" w:color="auto"/>
                <w:right w:val="none" w:sz="0" w:space="0" w:color="auto"/>
              </w:divBdr>
              <w:divsChild>
                <w:div w:id="190800227">
                  <w:marLeft w:val="0"/>
                  <w:marRight w:val="0"/>
                  <w:marTop w:val="0"/>
                  <w:marBottom w:val="0"/>
                  <w:divBdr>
                    <w:top w:val="none" w:sz="0" w:space="0" w:color="auto"/>
                    <w:left w:val="none" w:sz="0" w:space="0" w:color="auto"/>
                    <w:bottom w:val="none" w:sz="0" w:space="0" w:color="auto"/>
                    <w:right w:val="none" w:sz="0" w:space="0" w:color="auto"/>
                  </w:divBdr>
                  <w:divsChild>
                    <w:div w:id="1474567574">
                      <w:marLeft w:val="0"/>
                      <w:marRight w:val="0"/>
                      <w:marTop w:val="0"/>
                      <w:marBottom w:val="0"/>
                      <w:divBdr>
                        <w:top w:val="none" w:sz="0" w:space="0" w:color="auto"/>
                        <w:left w:val="none" w:sz="0" w:space="0" w:color="auto"/>
                        <w:bottom w:val="none" w:sz="0" w:space="0" w:color="auto"/>
                        <w:right w:val="none" w:sz="0" w:space="0" w:color="auto"/>
                      </w:divBdr>
                      <w:divsChild>
                        <w:div w:id="175849078">
                          <w:marLeft w:val="0"/>
                          <w:marRight w:val="0"/>
                          <w:marTop w:val="0"/>
                          <w:marBottom w:val="0"/>
                          <w:divBdr>
                            <w:top w:val="none" w:sz="0" w:space="0" w:color="auto"/>
                            <w:left w:val="none" w:sz="0" w:space="0" w:color="auto"/>
                            <w:bottom w:val="none" w:sz="0" w:space="0" w:color="auto"/>
                            <w:right w:val="none" w:sz="0" w:space="0" w:color="auto"/>
                          </w:divBdr>
                          <w:divsChild>
                            <w:div w:id="1445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51835">
          <w:marLeft w:val="0"/>
          <w:marRight w:val="0"/>
          <w:marTop w:val="0"/>
          <w:marBottom w:val="0"/>
          <w:divBdr>
            <w:top w:val="none" w:sz="0" w:space="0" w:color="auto"/>
            <w:left w:val="none" w:sz="0" w:space="0" w:color="auto"/>
            <w:bottom w:val="none" w:sz="0" w:space="0" w:color="auto"/>
            <w:right w:val="none" w:sz="0" w:space="0" w:color="auto"/>
          </w:divBdr>
          <w:divsChild>
            <w:div w:id="1500269260">
              <w:marLeft w:val="0"/>
              <w:marRight w:val="0"/>
              <w:marTop w:val="0"/>
              <w:marBottom w:val="0"/>
              <w:divBdr>
                <w:top w:val="none" w:sz="0" w:space="0" w:color="auto"/>
                <w:left w:val="none" w:sz="0" w:space="0" w:color="auto"/>
                <w:bottom w:val="none" w:sz="0" w:space="0" w:color="auto"/>
                <w:right w:val="none" w:sz="0" w:space="0" w:color="auto"/>
              </w:divBdr>
              <w:divsChild>
                <w:div w:id="790782251">
                  <w:marLeft w:val="0"/>
                  <w:marRight w:val="0"/>
                  <w:marTop w:val="0"/>
                  <w:marBottom w:val="0"/>
                  <w:divBdr>
                    <w:top w:val="none" w:sz="0" w:space="0" w:color="auto"/>
                    <w:left w:val="none" w:sz="0" w:space="0" w:color="auto"/>
                    <w:bottom w:val="none" w:sz="0" w:space="0" w:color="auto"/>
                    <w:right w:val="none" w:sz="0" w:space="0" w:color="auto"/>
                  </w:divBdr>
                  <w:divsChild>
                    <w:div w:id="1649548539">
                      <w:marLeft w:val="0"/>
                      <w:marRight w:val="0"/>
                      <w:marTop w:val="0"/>
                      <w:marBottom w:val="0"/>
                      <w:divBdr>
                        <w:top w:val="none" w:sz="0" w:space="0" w:color="auto"/>
                        <w:left w:val="none" w:sz="0" w:space="0" w:color="auto"/>
                        <w:bottom w:val="none" w:sz="0" w:space="0" w:color="auto"/>
                        <w:right w:val="none" w:sz="0" w:space="0" w:color="auto"/>
                      </w:divBdr>
                    </w:div>
                    <w:div w:id="100953821">
                      <w:marLeft w:val="0"/>
                      <w:marRight w:val="0"/>
                      <w:marTop w:val="0"/>
                      <w:marBottom w:val="0"/>
                      <w:divBdr>
                        <w:top w:val="none" w:sz="0" w:space="0" w:color="auto"/>
                        <w:left w:val="none" w:sz="0" w:space="0" w:color="auto"/>
                        <w:bottom w:val="none" w:sz="0" w:space="0" w:color="auto"/>
                        <w:right w:val="none" w:sz="0" w:space="0" w:color="auto"/>
                      </w:divBdr>
                      <w:divsChild>
                        <w:div w:id="1689602193">
                          <w:marLeft w:val="0"/>
                          <w:marRight w:val="0"/>
                          <w:marTop w:val="0"/>
                          <w:marBottom w:val="0"/>
                          <w:divBdr>
                            <w:top w:val="none" w:sz="0" w:space="0" w:color="auto"/>
                            <w:left w:val="none" w:sz="0" w:space="0" w:color="auto"/>
                            <w:bottom w:val="none" w:sz="0" w:space="0" w:color="auto"/>
                            <w:right w:val="none" w:sz="0" w:space="0" w:color="auto"/>
                          </w:divBdr>
                          <w:divsChild>
                            <w:div w:id="319964995">
                              <w:marLeft w:val="0"/>
                              <w:marRight w:val="0"/>
                              <w:marTop w:val="0"/>
                              <w:marBottom w:val="0"/>
                              <w:divBdr>
                                <w:top w:val="none" w:sz="0" w:space="0" w:color="auto"/>
                                <w:left w:val="none" w:sz="0" w:space="0" w:color="auto"/>
                                <w:bottom w:val="none" w:sz="0" w:space="0" w:color="auto"/>
                                <w:right w:val="none" w:sz="0" w:space="0" w:color="auto"/>
                              </w:divBdr>
                              <w:divsChild>
                                <w:div w:id="157578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739641">
          <w:marLeft w:val="0"/>
          <w:marRight w:val="0"/>
          <w:marTop w:val="0"/>
          <w:marBottom w:val="0"/>
          <w:divBdr>
            <w:top w:val="none" w:sz="0" w:space="0" w:color="auto"/>
            <w:left w:val="none" w:sz="0" w:space="0" w:color="auto"/>
            <w:bottom w:val="none" w:sz="0" w:space="0" w:color="auto"/>
            <w:right w:val="none" w:sz="0" w:space="0" w:color="auto"/>
          </w:divBdr>
          <w:divsChild>
            <w:div w:id="704796053">
              <w:marLeft w:val="0"/>
              <w:marRight w:val="0"/>
              <w:marTop w:val="0"/>
              <w:marBottom w:val="0"/>
              <w:divBdr>
                <w:top w:val="none" w:sz="0" w:space="0" w:color="auto"/>
                <w:left w:val="none" w:sz="0" w:space="0" w:color="auto"/>
                <w:bottom w:val="none" w:sz="0" w:space="0" w:color="auto"/>
                <w:right w:val="none" w:sz="0" w:space="0" w:color="auto"/>
              </w:divBdr>
              <w:divsChild>
                <w:div w:id="1115640288">
                  <w:marLeft w:val="0"/>
                  <w:marRight w:val="0"/>
                  <w:marTop w:val="0"/>
                  <w:marBottom w:val="0"/>
                  <w:divBdr>
                    <w:top w:val="none" w:sz="0" w:space="0" w:color="auto"/>
                    <w:left w:val="none" w:sz="0" w:space="0" w:color="auto"/>
                    <w:bottom w:val="none" w:sz="0" w:space="0" w:color="auto"/>
                    <w:right w:val="none" w:sz="0" w:space="0" w:color="auto"/>
                  </w:divBdr>
                  <w:divsChild>
                    <w:div w:id="2029329462">
                      <w:marLeft w:val="0"/>
                      <w:marRight w:val="0"/>
                      <w:marTop w:val="0"/>
                      <w:marBottom w:val="0"/>
                      <w:divBdr>
                        <w:top w:val="none" w:sz="0" w:space="0" w:color="auto"/>
                        <w:left w:val="none" w:sz="0" w:space="0" w:color="auto"/>
                        <w:bottom w:val="none" w:sz="0" w:space="0" w:color="auto"/>
                        <w:right w:val="none" w:sz="0" w:space="0" w:color="auto"/>
                      </w:divBdr>
                    </w:div>
                    <w:div w:id="1505781168">
                      <w:marLeft w:val="0"/>
                      <w:marRight w:val="0"/>
                      <w:marTop w:val="0"/>
                      <w:marBottom w:val="0"/>
                      <w:divBdr>
                        <w:top w:val="none" w:sz="0" w:space="0" w:color="auto"/>
                        <w:left w:val="none" w:sz="0" w:space="0" w:color="auto"/>
                        <w:bottom w:val="none" w:sz="0" w:space="0" w:color="auto"/>
                        <w:right w:val="none" w:sz="0" w:space="0" w:color="auto"/>
                      </w:divBdr>
                      <w:divsChild>
                        <w:div w:id="541867768">
                          <w:marLeft w:val="0"/>
                          <w:marRight w:val="0"/>
                          <w:marTop w:val="0"/>
                          <w:marBottom w:val="0"/>
                          <w:divBdr>
                            <w:top w:val="none" w:sz="0" w:space="0" w:color="auto"/>
                            <w:left w:val="none" w:sz="0" w:space="0" w:color="auto"/>
                            <w:bottom w:val="none" w:sz="0" w:space="0" w:color="auto"/>
                            <w:right w:val="none" w:sz="0" w:space="0" w:color="auto"/>
                          </w:divBdr>
                          <w:divsChild>
                            <w:div w:id="954367326">
                              <w:marLeft w:val="0"/>
                              <w:marRight w:val="0"/>
                              <w:marTop w:val="0"/>
                              <w:marBottom w:val="0"/>
                              <w:divBdr>
                                <w:top w:val="none" w:sz="0" w:space="0" w:color="auto"/>
                                <w:left w:val="none" w:sz="0" w:space="0" w:color="auto"/>
                                <w:bottom w:val="none" w:sz="0" w:space="0" w:color="auto"/>
                                <w:right w:val="none" w:sz="0" w:space="0" w:color="auto"/>
                              </w:divBdr>
                              <w:divsChild>
                                <w:div w:id="11719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1575159212">
      <w:bodyDiv w:val="1"/>
      <w:marLeft w:val="0"/>
      <w:marRight w:val="0"/>
      <w:marTop w:val="0"/>
      <w:marBottom w:val="0"/>
      <w:divBdr>
        <w:top w:val="none" w:sz="0" w:space="0" w:color="auto"/>
        <w:left w:val="none" w:sz="0" w:space="0" w:color="auto"/>
        <w:bottom w:val="none" w:sz="0" w:space="0" w:color="auto"/>
        <w:right w:val="none" w:sz="0" w:space="0" w:color="auto"/>
      </w:divBdr>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E6C52-FAAF-445F-AFFB-032E4A4E8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5058</Words>
  <Characters>28834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2023-11-03T17:16:00Z</dcterms:created>
  <dcterms:modified xsi:type="dcterms:W3CDTF">2025-03-09T19:25:00Z</dcterms:modified>
</cp:coreProperties>
</file>