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B01F" w14:textId="23867516" w:rsidR="00D56668" w:rsidRDefault="006A4A7F" w:rsidP="00177ED8">
      <w:pPr>
        <w:spacing w:line="480" w:lineRule="auto"/>
        <w:rPr>
          <w:sz w:val="48"/>
          <w:szCs w:val="48"/>
        </w:rPr>
      </w:pPr>
      <w:r>
        <w:rPr>
          <w:noProof/>
        </w:rPr>
        <w:drawing>
          <wp:inline distT="0" distB="0" distL="0" distR="0" wp14:anchorId="2198A599" wp14:editId="7815ADB4">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Default="00D56668" w:rsidP="00177ED8">
      <w:pPr>
        <w:spacing w:line="480" w:lineRule="auto"/>
        <w:jc w:val="center"/>
        <w:rPr>
          <w:sz w:val="48"/>
          <w:szCs w:val="48"/>
        </w:rPr>
      </w:pPr>
    </w:p>
    <w:p w14:paraId="74766339" w14:textId="77777777" w:rsidR="00521D1C" w:rsidRPr="00524CC3" w:rsidRDefault="00521D1C" w:rsidP="00521D1C">
      <w:pPr>
        <w:spacing w:line="480" w:lineRule="auto"/>
        <w:jc w:val="center"/>
        <w:rPr>
          <w:rFonts w:ascii="Arial" w:hAnsi="Arial" w:cs="Arial"/>
          <w:sz w:val="52"/>
          <w:szCs w:val="52"/>
        </w:rPr>
      </w:pPr>
      <w:r w:rsidRPr="00524CC3">
        <w:rPr>
          <w:rFonts w:ascii="Arial" w:hAnsi="Arial" w:cs="Arial"/>
          <w:sz w:val="52"/>
          <w:szCs w:val="52"/>
        </w:rPr>
        <w:t>Trusts Law</w:t>
      </w:r>
    </w:p>
    <w:p w14:paraId="7CC98401" w14:textId="77777777" w:rsidR="00521D1C" w:rsidRPr="00382673" w:rsidRDefault="00521D1C" w:rsidP="00521D1C">
      <w:pPr>
        <w:spacing w:line="480" w:lineRule="auto"/>
        <w:jc w:val="center"/>
        <w:rPr>
          <w:rFonts w:ascii="Arial" w:hAnsi="Arial" w:cs="Arial"/>
          <w:sz w:val="52"/>
          <w:szCs w:val="52"/>
        </w:rPr>
      </w:pPr>
      <w:r w:rsidRPr="00382673">
        <w:rPr>
          <w:rFonts w:ascii="Arial" w:hAnsi="Arial" w:cs="Arial"/>
          <w:sz w:val="52"/>
          <w:szCs w:val="52"/>
        </w:rPr>
        <w:t xml:space="preserve">Lecture Handout </w:t>
      </w:r>
    </w:p>
    <w:p w14:paraId="59DA15C5" w14:textId="16E1E5F3" w:rsidR="00521D1C" w:rsidRPr="00382673" w:rsidRDefault="00AE4D94" w:rsidP="55909003">
      <w:pPr>
        <w:spacing w:line="480" w:lineRule="auto"/>
        <w:jc w:val="center"/>
        <w:rPr>
          <w:rFonts w:ascii="Arial" w:hAnsi="Arial" w:cs="Arial"/>
          <w:sz w:val="52"/>
          <w:szCs w:val="52"/>
        </w:rPr>
      </w:pPr>
      <w:r>
        <w:rPr>
          <w:rFonts w:ascii="Arial" w:hAnsi="Arial" w:cs="Arial"/>
          <w:sz w:val="52"/>
          <w:szCs w:val="52"/>
        </w:rPr>
        <w:t>Michaelmas</w:t>
      </w:r>
      <w:r w:rsidR="55909003" w:rsidRPr="55909003">
        <w:rPr>
          <w:rFonts w:ascii="Arial" w:hAnsi="Arial" w:cs="Arial"/>
          <w:sz w:val="52"/>
          <w:szCs w:val="52"/>
        </w:rPr>
        <w:t xml:space="preserve"> Term Week </w:t>
      </w:r>
      <w:r>
        <w:rPr>
          <w:rFonts w:ascii="Arial" w:hAnsi="Arial" w:cs="Arial"/>
          <w:sz w:val="52"/>
          <w:szCs w:val="52"/>
        </w:rPr>
        <w:t>8</w:t>
      </w:r>
    </w:p>
    <w:p w14:paraId="1E8206B4" w14:textId="4135CD69" w:rsidR="00521D1C" w:rsidRPr="00382673" w:rsidRDefault="00CE63AD" w:rsidP="00521D1C">
      <w:pPr>
        <w:spacing w:line="480" w:lineRule="auto"/>
        <w:jc w:val="center"/>
        <w:rPr>
          <w:rFonts w:ascii="Arial" w:hAnsi="Arial" w:cs="Arial"/>
          <w:b/>
          <w:sz w:val="52"/>
          <w:szCs w:val="52"/>
          <w:u w:val="single"/>
        </w:rPr>
      </w:pPr>
      <w:r>
        <w:rPr>
          <w:rFonts w:ascii="Arial" w:hAnsi="Arial" w:cs="Arial"/>
          <w:b/>
          <w:sz w:val="52"/>
          <w:szCs w:val="52"/>
          <w:u w:val="single"/>
        </w:rPr>
        <w:t>R</w:t>
      </w:r>
      <w:r w:rsidR="00521D1C">
        <w:rPr>
          <w:rFonts w:ascii="Arial" w:hAnsi="Arial" w:cs="Arial"/>
          <w:b/>
          <w:sz w:val="52"/>
          <w:szCs w:val="52"/>
          <w:u w:val="single"/>
        </w:rPr>
        <w:t>esulting trust</w:t>
      </w:r>
      <w:r>
        <w:rPr>
          <w:rFonts w:ascii="Arial" w:hAnsi="Arial" w:cs="Arial"/>
          <w:b/>
          <w:sz w:val="52"/>
          <w:szCs w:val="52"/>
          <w:u w:val="single"/>
        </w:rPr>
        <w:t>s</w:t>
      </w:r>
    </w:p>
    <w:p w14:paraId="7D47DC96" w14:textId="2985E550" w:rsidR="00521D1C" w:rsidRDefault="00521D1C" w:rsidP="00521D1C">
      <w:pPr>
        <w:spacing w:line="480" w:lineRule="auto"/>
        <w:jc w:val="center"/>
        <w:rPr>
          <w:rFonts w:ascii="Arial" w:hAnsi="Arial" w:cs="Arial"/>
          <w:sz w:val="52"/>
          <w:szCs w:val="52"/>
        </w:rPr>
      </w:pPr>
      <w:r>
        <w:rPr>
          <w:rFonts w:ascii="Arial" w:hAnsi="Arial" w:cs="Arial"/>
          <w:sz w:val="52"/>
          <w:szCs w:val="52"/>
        </w:rPr>
        <w:t>202</w:t>
      </w:r>
      <w:r w:rsidR="00AE4D94">
        <w:rPr>
          <w:rFonts w:ascii="Arial" w:hAnsi="Arial" w:cs="Arial"/>
          <w:sz w:val="52"/>
          <w:szCs w:val="52"/>
        </w:rPr>
        <w:t>4</w:t>
      </w:r>
      <w:r>
        <w:rPr>
          <w:rFonts w:ascii="Arial" w:hAnsi="Arial" w:cs="Arial"/>
          <w:sz w:val="52"/>
          <w:szCs w:val="52"/>
        </w:rPr>
        <w:t>/2</w:t>
      </w:r>
      <w:r w:rsidR="00AE4D94">
        <w:rPr>
          <w:rFonts w:ascii="Arial" w:hAnsi="Arial" w:cs="Arial"/>
          <w:sz w:val="52"/>
          <w:szCs w:val="52"/>
        </w:rPr>
        <w:t>5</w:t>
      </w:r>
      <w:r w:rsidRPr="7D00F666">
        <w:rPr>
          <w:rFonts w:ascii="Arial" w:hAnsi="Arial" w:cs="Arial"/>
          <w:sz w:val="52"/>
          <w:szCs w:val="52"/>
        </w:rPr>
        <w:t xml:space="preserve"> </w:t>
      </w:r>
    </w:p>
    <w:p w14:paraId="48E66558" w14:textId="77777777" w:rsidR="00521D1C" w:rsidRDefault="00521D1C" w:rsidP="00521D1C">
      <w:pPr>
        <w:spacing w:line="480" w:lineRule="auto"/>
        <w:jc w:val="center"/>
        <w:rPr>
          <w:rFonts w:ascii="Arial" w:hAnsi="Arial" w:cs="Arial"/>
          <w:sz w:val="52"/>
          <w:szCs w:val="52"/>
        </w:rPr>
      </w:pPr>
      <w:r w:rsidRPr="595BC49B">
        <w:rPr>
          <w:rFonts w:ascii="Arial" w:hAnsi="Arial" w:cs="Arial"/>
          <w:sz w:val="52"/>
          <w:szCs w:val="52"/>
        </w:rPr>
        <w:t>Dr Johanna Jacques</w:t>
      </w:r>
    </w:p>
    <w:p w14:paraId="410D5806" w14:textId="77777777" w:rsidR="0086229C" w:rsidRDefault="0086229C">
      <w:pPr>
        <w:rPr>
          <w:rFonts w:ascii="Arial" w:hAnsi="Arial" w:cs="Arial"/>
          <w:b/>
          <w:sz w:val="24"/>
          <w:szCs w:val="24"/>
        </w:rPr>
      </w:pPr>
      <w:r>
        <w:rPr>
          <w:rFonts w:ascii="Arial" w:hAnsi="Arial" w:cs="Arial"/>
          <w:b/>
          <w:sz w:val="24"/>
          <w:szCs w:val="24"/>
        </w:rPr>
        <w:br w:type="page"/>
      </w:r>
    </w:p>
    <w:p w14:paraId="41469B6B" w14:textId="590572AE" w:rsidR="00177ED8" w:rsidRPr="00630854" w:rsidRDefault="00B056EE" w:rsidP="004F034A">
      <w:pPr>
        <w:pStyle w:val="ListParagraph"/>
        <w:numPr>
          <w:ilvl w:val="0"/>
          <w:numId w:val="2"/>
        </w:numPr>
        <w:spacing w:line="480" w:lineRule="auto"/>
        <w:jc w:val="both"/>
        <w:rPr>
          <w:rFonts w:ascii="Arial" w:hAnsi="Arial" w:cs="Arial"/>
          <w:b/>
          <w:sz w:val="24"/>
          <w:szCs w:val="24"/>
        </w:rPr>
      </w:pPr>
      <w:r>
        <w:rPr>
          <w:rFonts w:ascii="Arial" w:hAnsi="Arial" w:cs="Arial"/>
          <w:b/>
          <w:sz w:val="24"/>
          <w:szCs w:val="24"/>
        </w:rPr>
        <w:lastRenderedPageBreak/>
        <w:t>Reading</w:t>
      </w:r>
    </w:p>
    <w:p w14:paraId="2A5E3E9C" w14:textId="5386A4BA" w:rsidR="00521D1C" w:rsidRPr="00D715DA" w:rsidRDefault="00C7137B" w:rsidP="00C7137B">
      <w:pPr>
        <w:spacing w:line="480" w:lineRule="auto"/>
        <w:jc w:val="both"/>
        <w:rPr>
          <w:rFonts w:ascii="Arial" w:hAnsi="Arial" w:cs="Arial"/>
        </w:rPr>
      </w:pPr>
      <w:r w:rsidRPr="00C7137B">
        <w:rPr>
          <w:rFonts w:ascii="Arial" w:hAnsi="Arial" w:cs="Arial"/>
        </w:rPr>
        <w:t xml:space="preserve">For </w:t>
      </w:r>
      <w:r>
        <w:rPr>
          <w:rFonts w:ascii="Arial" w:hAnsi="Arial" w:cs="Arial"/>
          <w:u w:val="single"/>
        </w:rPr>
        <w:t>e</w:t>
      </w:r>
      <w:r w:rsidR="00521D1C" w:rsidRPr="000A467B">
        <w:rPr>
          <w:rFonts w:ascii="Arial" w:hAnsi="Arial" w:cs="Arial"/>
          <w:u w:val="single"/>
        </w:rPr>
        <w:t>ssential</w:t>
      </w:r>
      <w:r w:rsidR="00521D1C" w:rsidRPr="00D715DA">
        <w:rPr>
          <w:rFonts w:ascii="Arial" w:hAnsi="Arial" w:cs="Arial"/>
        </w:rPr>
        <w:t xml:space="preserve"> </w:t>
      </w:r>
      <w:r>
        <w:rPr>
          <w:rFonts w:ascii="Arial" w:hAnsi="Arial" w:cs="Arial"/>
        </w:rPr>
        <w:t xml:space="preserve">and </w:t>
      </w:r>
      <w:r w:rsidRPr="00C7137B">
        <w:rPr>
          <w:rFonts w:ascii="Arial" w:hAnsi="Arial" w:cs="Arial"/>
          <w:u w:val="single"/>
        </w:rPr>
        <w:t>further</w:t>
      </w:r>
      <w:r>
        <w:rPr>
          <w:rFonts w:ascii="Arial" w:hAnsi="Arial" w:cs="Arial"/>
        </w:rPr>
        <w:t xml:space="preserve"> reading, please see the Reading List feature on Learn Ultra.</w:t>
      </w:r>
    </w:p>
    <w:p w14:paraId="16C3BCE5" w14:textId="77777777" w:rsidR="0086229C" w:rsidRDefault="0086229C" w:rsidP="0086229C">
      <w:pPr>
        <w:spacing w:line="480" w:lineRule="auto"/>
        <w:jc w:val="both"/>
        <w:rPr>
          <w:rFonts w:ascii="Arial" w:hAnsi="Arial" w:cs="Arial"/>
        </w:rPr>
      </w:pPr>
    </w:p>
    <w:p w14:paraId="6E32698A" w14:textId="77777777" w:rsidR="0086229C" w:rsidRDefault="0086229C" w:rsidP="0086229C">
      <w:pPr>
        <w:spacing w:line="480" w:lineRule="auto"/>
        <w:jc w:val="both"/>
        <w:rPr>
          <w:rFonts w:ascii="Arial" w:hAnsi="Arial" w:cs="Arial"/>
          <w:u w:val="single"/>
        </w:rPr>
      </w:pPr>
      <w:r w:rsidRPr="00545B5E">
        <w:rPr>
          <w:rFonts w:ascii="Arial" w:hAnsi="Arial" w:cs="Arial"/>
          <w:u w:val="single"/>
        </w:rPr>
        <w:t>Cases</w:t>
      </w:r>
    </w:p>
    <w:p w14:paraId="3094AE67" w14:textId="09B34145" w:rsidR="005A0778" w:rsidRPr="0087069E" w:rsidRDefault="005A0778" w:rsidP="005A0778">
      <w:pPr>
        <w:pStyle w:val="ListParagraph"/>
        <w:numPr>
          <w:ilvl w:val="0"/>
          <w:numId w:val="7"/>
        </w:numPr>
        <w:spacing w:line="480" w:lineRule="auto"/>
        <w:jc w:val="both"/>
        <w:rPr>
          <w:rFonts w:ascii="Arial" w:eastAsia="MS Mincho" w:hAnsi="Arial" w:cs="Arial"/>
          <w:i/>
          <w:lang w:bidi="en-US"/>
        </w:rPr>
      </w:pPr>
      <w:r w:rsidRPr="0087069E">
        <w:rPr>
          <w:rFonts w:ascii="Arial" w:eastAsia="Times New Roman" w:hAnsi="Arial" w:cs="Arial"/>
          <w:bCs/>
          <w:i/>
          <w:iCs/>
          <w:lang w:bidi="en-US"/>
        </w:rPr>
        <w:t>Re Gillingham Bus Disaster Fund</w:t>
      </w:r>
      <w:r w:rsidRPr="0087069E">
        <w:rPr>
          <w:rFonts w:ascii="Arial" w:eastAsia="Times New Roman" w:hAnsi="Arial" w:cs="Arial"/>
          <w:bCs/>
          <w:iCs/>
          <w:lang w:bidi="en-US"/>
        </w:rPr>
        <w:t xml:space="preserve"> [1958] Ch 300</w:t>
      </w:r>
    </w:p>
    <w:p w14:paraId="3CDBBD0C" w14:textId="16D290CD" w:rsidR="00982F37" w:rsidRPr="0087069E" w:rsidRDefault="00982F37" w:rsidP="00982F37">
      <w:pPr>
        <w:pStyle w:val="ListParagraph"/>
        <w:numPr>
          <w:ilvl w:val="0"/>
          <w:numId w:val="7"/>
        </w:numPr>
        <w:spacing w:line="480" w:lineRule="auto"/>
        <w:jc w:val="both"/>
        <w:rPr>
          <w:rFonts w:ascii="Arial" w:eastAsia="Times New Roman" w:hAnsi="Arial" w:cs="Arial"/>
          <w:bCs/>
          <w:i/>
          <w:iCs/>
          <w:lang w:bidi="en-US"/>
        </w:rPr>
      </w:pPr>
      <w:r w:rsidRPr="0087069E">
        <w:rPr>
          <w:rFonts w:ascii="Arial" w:eastAsia="Times New Roman" w:hAnsi="Arial" w:cs="Arial"/>
          <w:bCs/>
          <w:i/>
          <w:iCs/>
          <w:lang w:bidi="en-US"/>
        </w:rPr>
        <w:t xml:space="preserve">Re West Sussex Constabulary’s Widow, Children and Benevolent (1930) Fund Trusts </w:t>
      </w:r>
      <w:r w:rsidRPr="0087069E">
        <w:rPr>
          <w:rFonts w:ascii="Arial" w:eastAsia="Times New Roman" w:hAnsi="Arial" w:cs="Arial"/>
          <w:bCs/>
          <w:lang w:bidi="en-US"/>
        </w:rPr>
        <w:t>[1971] Ch 1</w:t>
      </w:r>
    </w:p>
    <w:p w14:paraId="2709B5CE" w14:textId="4526EE42" w:rsidR="00FD5FC2" w:rsidRPr="0087069E" w:rsidRDefault="00FD5FC2" w:rsidP="00982F37">
      <w:pPr>
        <w:pStyle w:val="ListParagraph"/>
        <w:numPr>
          <w:ilvl w:val="0"/>
          <w:numId w:val="7"/>
        </w:numPr>
        <w:spacing w:line="480" w:lineRule="auto"/>
        <w:jc w:val="both"/>
        <w:rPr>
          <w:rFonts w:ascii="Arial" w:eastAsia="Times New Roman" w:hAnsi="Arial" w:cs="Arial"/>
          <w:bCs/>
          <w:i/>
          <w:iCs/>
          <w:lang w:bidi="en-US"/>
        </w:rPr>
      </w:pPr>
      <w:r w:rsidRPr="0087069E">
        <w:rPr>
          <w:rFonts w:ascii="Arial" w:eastAsia="Times New Roman" w:hAnsi="Arial" w:cs="Arial"/>
          <w:i/>
          <w:iCs/>
          <w:lang w:bidi="en-US"/>
        </w:rPr>
        <w:t>McGrath v Wallis</w:t>
      </w:r>
      <w:r w:rsidRPr="0087069E">
        <w:rPr>
          <w:rFonts w:ascii="Arial" w:eastAsia="Times New Roman" w:hAnsi="Arial" w:cs="Arial"/>
          <w:lang w:bidi="en-US"/>
        </w:rPr>
        <w:t xml:space="preserve"> [1995] 2 FLR 114</w:t>
      </w:r>
    </w:p>
    <w:p w14:paraId="018F34CB" w14:textId="6DE908EA" w:rsidR="00EF0EF8" w:rsidRPr="0087069E" w:rsidRDefault="00EF0EF8" w:rsidP="00982F37">
      <w:pPr>
        <w:pStyle w:val="ListParagraph"/>
        <w:numPr>
          <w:ilvl w:val="0"/>
          <w:numId w:val="7"/>
        </w:numPr>
        <w:spacing w:line="480" w:lineRule="auto"/>
        <w:jc w:val="both"/>
        <w:rPr>
          <w:rFonts w:ascii="Arial" w:eastAsia="Times New Roman" w:hAnsi="Arial" w:cs="Arial"/>
          <w:bCs/>
          <w:i/>
          <w:iCs/>
          <w:lang w:bidi="en-US"/>
        </w:rPr>
      </w:pPr>
      <w:r w:rsidRPr="0087069E">
        <w:rPr>
          <w:rFonts w:ascii="Arial" w:eastAsia="Times New Roman" w:hAnsi="Arial" w:cs="Arial"/>
          <w:i/>
          <w:iCs/>
          <w:lang w:bidi="en-US"/>
        </w:rPr>
        <w:t>Lavelle v Lavelle</w:t>
      </w:r>
      <w:r w:rsidRPr="0087069E">
        <w:rPr>
          <w:rFonts w:ascii="Arial" w:eastAsia="Times New Roman" w:hAnsi="Arial" w:cs="Arial"/>
          <w:lang w:bidi="en-US"/>
        </w:rPr>
        <w:t xml:space="preserve"> [2004] EWCA </w:t>
      </w:r>
      <w:proofErr w:type="spellStart"/>
      <w:r w:rsidRPr="0087069E">
        <w:rPr>
          <w:rFonts w:ascii="Arial" w:eastAsia="Times New Roman" w:hAnsi="Arial" w:cs="Arial"/>
          <w:lang w:bidi="en-US"/>
        </w:rPr>
        <w:t>Civ</w:t>
      </w:r>
      <w:proofErr w:type="spellEnd"/>
      <w:r w:rsidRPr="0087069E">
        <w:rPr>
          <w:rFonts w:ascii="Arial" w:eastAsia="Times New Roman" w:hAnsi="Arial" w:cs="Arial"/>
          <w:lang w:bidi="en-US"/>
        </w:rPr>
        <w:t xml:space="preserve"> 223</w:t>
      </w:r>
    </w:p>
    <w:p w14:paraId="594B110C" w14:textId="71AE9CB0" w:rsidR="000A467B" w:rsidRPr="0087069E" w:rsidRDefault="005A0778" w:rsidP="005A0778">
      <w:pPr>
        <w:pStyle w:val="ListParagraph"/>
        <w:numPr>
          <w:ilvl w:val="0"/>
          <w:numId w:val="7"/>
        </w:numPr>
        <w:spacing w:line="480" w:lineRule="auto"/>
        <w:jc w:val="both"/>
        <w:rPr>
          <w:rFonts w:ascii="Arial" w:eastAsia="MS Mincho" w:hAnsi="Arial" w:cs="Arial"/>
          <w:i/>
          <w:lang w:bidi="en-US"/>
        </w:rPr>
      </w:pPr>
      <w:proofErr w:type="spellStart"/>
      <w:r w:rsidRPr="0087069E">
        <w:rPr>
          <w:rFonts w:ascii="Arial" w:eastAsia="MS Mincho" w:hAnsi="Arial" w:cs="Arial"/>
          <w:i/>
          <w:lang w:bidi="en-US"/>
        </w:rPr>
        <w:t>Vandervell</w:t>
      </w:r>
      <w:proofErr w:type="spellEnd"/>
      <w:r w:rsidRPr="0087069E">
        <w:rPr>
          <w:rFonts w:ascii="Arial" w:eastAsia="MS Mincho" w:hAnsi="Arial" w:cs="Arial"/>
          <w:i/>
          <w:lang w:bidi="en-US"/>
        </w:rPr>
        <w:t xml:space="preserve"> v IRC </w:t>
      </w:r>
      <w:r w:rsidRPr="0087069E">
        <w:rPr>
          <w:rFonts w:ascii="Arial" w:eastAsia="MS Mincho" w:hAnsi="Arial" w:cs="Arial"/>
          <w:iCs/>
          <w:lang w:bidi="en-US"/>
        </w:rPr>
        <w:t>[1967] 2 AC 291</w:t>
      </w:r>
    </w:p>
    <w:p w14:paraId="52BE11AF" w14:textId="60DFD0C7" w:rsidR="005A0778" w:rsidRPr="0087069E" w:rsidRDefault="005A0778" w:rsidP="005A0778">
      <w:pPr>
        <w:pStyle w:val="ListParagraph"/>
        <w:numPr>
          <w:ilvl w:val="0"/>
          <w:numId w:val="7"/>
        </w:numPr>
        <w:spacing w:line="480" w:lineRule="auto"/>
        <w:jc w:val="both"/>
        <w:rPr>
          <w:rFonts w:ascii="Arial" w:eastAsia="MS Mincho" w:hAnsi="Arial" w:cs="Arial"/>
          <w:i/>
          <w:lang w:bidi="en-US"/>
        </w:rPr>
      </w:pPr>
      <w:r w:rsidRPr="0087069E">
        <w:rPr>
          <w:rFonts w:ascii="Arial" w:eastAsia="Times New Roman" w:hAnsi="Arial" w:cs="Arial"/>
          <w:bCs/>
          <w:i/>
          <w:iCs/>
          <w:lang w:bidi="en-US"/>
        </w:rPr>
        <w:t xml:space="preserve">Re </w:t>
      </w:r>
      <w:proofErr w:type="spellStart"/>
      <w:r w:rsidRPr="0087069E">
        <w:rPr>
          <w:rFonts w:ascii="Arial" w:eastAsia="Times New Roman" w:hAnsi="Arial" w:cs="Arial"/>
          <w:bCs/>
          <w:i/>
          <w:iCs/>
          <w:lang w:bidi="en-US"/>
        </w:rPr>
        <w:t>Vandervell’s</w:t>
      </w:r>
      <w:proofErr w:type="spellEnd"/>
      <w:r w:rsidRPr="0087069E">
        <w:rPr>
          <w:rFonts w:ascii="Arial" w:eastAsia="Times New Roman" w:hAnsi="Arial" w:cs="Arial"/>
          <w:bCs/>
          <w:i/>
          <w:iCs/>
          <w:lang w:bidi="en-US"/>
        </w:rPr>
        <w:t xml:space="preserve"> Trusts (No 2)</w:t>
      </w:r>
      <w:r w:rsidRPr="0087069E">
        <w:rPr>
          <w:rFonts w:ascii="Arial" w:eastAsia="Times New Roman" w:hAnsi="Arial" w:cs="Arial"/>
          <w:bCs/>
          <w:iCs/>
          <w:lang w:bidi="en-US"/>
        </w:rPr>
        <w:t xml:space="preserve"> [1974] Ch 269</w:t>
      </w:r>
    </w:p>
    <w:p w14:paraId="0559519A" w14:textId="53FAF392" w:rsidR="005A0778" w:rsidRPr="0087069E" w:rsidRDefault="005A0778" w:rsidP="005A0778">
      <w:pPr>
        <w:pStyle w:val="ListParagraph"/>
        <w:numPr>
          <w:ilvl w:val="0"/>
          <w:numId w:val="7"/>
        </w:numPr>
        <w:spacing w:line="480" w:lineRule="auto"/>
        <w:jc w:val="both"/>
        <w:rPr>
          <w:rFonts w:ascii="Arial" w:eastAsia="MS Mincho" w:hAnsi="Arial" w:cs="Arial"/>
          <w:i/>
          <w:lang w:bidi="en-US"/>
        </w:rPr>
      </w:pPr>
      <w:r w:rsidRPr="0087069E">
        <w:rPr>
          <w:rFonts w:ascii="Arial" w:eastAsia="Times New Roman" w:hAnsi="Arial" w:cs="Arial"/>
          <w:bCs/>
          <w:i/>
          <w:iCs/>
          <w:lang w:bidi="en-US"/>
        </w:rPr>
        <w:t>Barclays Bank Ltd v Quistclose Investments Ltd</w:t>
      </w:r>
      <w:r w:rsidRPr="0087069E">
        <w:rPr>
          <w:rFonts w:ascii="Arial" w:eastAsia="Times New Roman" w:hAnsi="Arial" w:cs="Arial"/>
          <w:bCs/>
          <w:iCs/>
          <w:lang w:bidi="en-US"/>
        </w:rPr>
        <w:t xml:space="preserve"> [1970] AC 567</w:t>
      </w:r>
    </w:p>
    <w:p w14:paraId="5D5F0D7E" w14:textId="6F6A6682" w:rsidR="005A0778" w:rsidRPr="0087069E" w:rsidRDefault="005A0778" w:rsidP="005A0778">
      <w:pPr>
        <w:pStyle w:val="ListParagraph"/>
        <w:numPr>
          <w:ilvl w:val="0"/>
          <w:numId w:val="7"/>
        </w:numPr>
        <w:spacing w:line="480" w:lineRule="auto"/>
        <w:jc w:val="both"/>
        <w:rPr>
          <w:rFonts w:ascii="Arial" w:eastAsia="MS Mincho" w:hAnsi="Arial" w:cs="Arial"/>
          <w:i/>
          <w:lang w:bidi="en-US"/>
        </w:rPr>
      </w:pPr>
      <w:proofErr w:type="spellStart"/>
      <w:r w:rsidRPr="0087069E">
        <w:rPr>
          <w:rFonts w:ascii="Arial" w:eastAsia="Times New Roman" w:hAnsi="Arial" w:cs="Arial"/>
          <w:bCs/>
          <w:i/>
          <w:iCs/>
          <w:lang w:bidi="en-US"/>
        </w:rPr>
        <w:t>Twinsectra</w:t>
      </w:r>
      <w:proofErr w:type="spellEnd"/>
      <w:r w:rsidRPr="0087069E">
        <w:rPr>
          <w:rFonts w:ascii="Arial" w:eastAsia="Times New Roman" w:hAnsi="Arial" w:cs="Arial"/>
          <w:bCs/>
          <w:i/>
          <w:iCs/>
          <w:lang w:bidi="en-US"/>
        </w:rPr>
        <w:t xml:space="preserve"> Ltd v Yardley</w:t>
      </w:r>
      <w:r w:rsidRPr="0087069E">
        <w:rPr>
          <w:rFonts w:ascii="Arial" w:eastAsia="Times New Roman" w:hAnsi="Arial" w:cs="Arial"/>
          <w:bCs/>
          <w:iCs/>
          <w:lang w:bidi="en-US"/>
        </w:rPr>
        <w:t xml:space="preserve"> [2002] 2 AC 164</w:t>
      </w:r>
    </w:p>
    <w:p w14:paraId="5FEB7B7E" w14:textId="77777777" w:rsidR="00C7137B" w:rsidRPr="00521D1C" w:rsidRDefault="00C7137B" w:rsidP="00C7137B">
      <w:pPr>
        <w:pStyle w:val="ListParagraph"/>
        <w:spacing w:line="480" w:lineRule="auto"/>
        <w:ind w:left="360"/>
        <w:jc w:val="both"/>
        <w:rPr>
          <w:rFonts w:ascii="Arial" w:eastAsia="MS Mincho" w:hAnsi="Arial" w:cs="Arial"/>
          <w:i/>
          <w:u w:val="single"/>
          <w:lang w:bidi="en-US"/>
        </w:rPr>
      </w:pPr>
    </w:p>
    <w:p w14:paraId="1A259A73" w14:textId="77777777" w:rsidR="00C7137B" w:rsidRDefault="00C7137B">
      <w:pPr>
        <w:rPr>
          <w:rFonts w:ascii="Arial" w:hAnsi="Arial" w:cs="Arial"/>
          <w:b/>
        </w:rPr>
      </w:pPr>
      <w:r>
        <w:rPr>
          <w:rFonts w:ascii="Arial" w:hAnsi="Arial" w:cs="Arial"/>
          <w:b/>
        </w:rPr>
        <w:br w:type="page"/>
      </w:r>
    </w:p>
    <w:p w14:paraId="2F7224AF" w14:textId="712EFD27" w:rsidR="00CB2A32" w:rsidRPr="00CB2A32" w:rsidRDefault="00CE63AD" w:rsidP="00CB2A32">
      <w:pPr>
        <w:pStyle w:val="ListParagraph"/>
        <w:numPr>
          <w:ilvl w:val="0"/>
          <w:numId w:val="2"/>
        </w:numPr>
        <w:spacing w:line="480" w:lineRule="auto"/>
        <w:jc w:val="both"/>
        <w:rPr>
          <w:rFonts w:ascii="Arial" w:hAnsi="Arial" w:cs="Arial"/>
          <w:b/>
        </w:rPr>
      </w:pPr>
      <w:r>
        <w:rPr>
          <w:rFonts w:ascii="Arial" w:hAnsi="Arial" w:cs="Arial"/>
          <w:b/>
        </w:rPr>
        <w:lastRenderedPageBreak/>
        <w:t>R</w:t>
      </w:r>
      <w:r w:rsidR="00CB2A32" w:rsidRPr="00CB2A32">
        <w:rPr>
          <w:rFonts w:ascii="Arial" w:hAnsi="Arial" w:cs="Arial"/>
          <w:b/>
        </w:rPr>
        <w:t>esulting trust</w:t>
      </w:r>
      <w:r>
        <w:rPr>
          <w:rFonts w:ascii="Arial" w:hAnsi="Arial" w:cs="Arial"/>
          <w:b/>
        </w:rPr>
        <w:t>s</w:t>
      </w:r>
    </w:p>
    <w:p w14:paraId="48F60DB6" w14:textId="3467ED59" w:rsidR="00CB2A32" w:rsidRPr="00CB2A32" w:rsidRDefault="417D94B4" w:rsidP="417D94B4">
      <w:pPr>
        <w:spacing w:after="120" w:line="480" w:lineRule="auto"/>
        <w:jc w:val="both"/>
        <w:rPr>
          <w:rFonts w:ascii="Arial" w:eastAsia="Times New Roman" w:hAnsi="Arial" w:cs="Arial"/>
          <w:lang w:bidi="en-US"/>
        </w:rPr>
      </w:pPr>
      <w:r w:rsidRPr="417D94B4">
        <w:rPr>
          <w:rFonts w:ascii="Arial" w:eastAsia="Times New Roman" w:hAnsi="Arial" w:cs="Arial"/>
          <w:lang w:bidi="en-US"/>
        </w:rPr>
        <w:t xml:space="preserve">A beneficial interest is said to ‘jump back’ (from Latin </w:t>
      </w:r>
      <w:proofErr w:type="spellStart"/>
      <w:r w:rsidRPr="417D94B4">
        <w:rPr>
          <w:rFonts w:ascii="Arial" w:eastAsia="Times New Roman" w:hAnsi="Arial" w:cs="Arial"/>
          <w:i/>
          <w:iCs/>
          <w:lang w:bidi="en-US"/>
        </w:rPr>
        <w:t>saltare</w:t>
      </w:r>
      <w:proofErr w:type="spellEnd"/>
      <w:r w:rsidRPr="417D94B4">
        <w:rPr>
          <w:rFonts w:ascii="Arial" w:eastAsia="Times New Roman" w:hAnsi="Arial" w:cs="Arial"/>
          <w:i/>
          <w:iCs/>
          <w:lang w:bidi="en-US"/>
        </w:rPr>
        <w:t xml:space="preserve"> </w:t>
      </w:r>
      <w:r w:rsidRPr="417D94B4">
        <w:rPr>
          <w:rFonts w:ascii="Arial" w:eastAsia="Times New Roman" w:hAnsi="Arial" w:cs="Arial"/>
          <w:lang w:bidi="en-US"/>
        </w:rPr>
        <w:t xml:space="preserve">or </w:t>
      </w:r>
      <w:proofErr w:type="spellStart"/>
      <w:r w:rsidRPr="417D94B4">
        <w:rPr>
          <w:rFonts w:ascii="Arial" w:eastAsia="Times New Roman" w:hAnsi="Arial" w:cs="Arial"/>
          <w:i/>
          <w:iCs/>
          <w:lang w:bidi="en-US"/>
        </w:rPr>
        <w:t>resalire</w:t>
      </w:r>
      <w:proofErr w:type="spellEnd"/>
      <w:r w:rsidRPr="417D94B4">
        <w:rPr>
          <w:rFonts w:ascii="Arial" w:eastAsia="Times New Roman" w:hAnsi="Arial" w:cs="Arial"/>
          <w:lang w:bidi="en-US"/>
        </w:rPr>
        <w:t xml:space="preserve">) to the settlor when for one reason or another it cannot attach to another beneficiary. This is a convenient way to describe the effect of a resulting trust rather than a reflection of the theory underlying the resulting trust. This theory is by no means straightforward and has attracted much academic debate. For example, some scholars view resulting trusts as achieving restitution in a situation of unjust enrichment, while others regard the beneficial interest as never having left the settlor in the first place, with the resulting trust being a mere reflection of this fact. In this course, we will not be concerned in detail with these different views. </w:t>
      </w:r>
    </w:p>
    <w:p w14:paraId="2278EB8A" w14:textId="77777777" w:rsidR="00CB2A32" w:rsidRPr="00CB2A32" w:rsidRDefault="00CB2A32" w:rsidP="00CB2A32">
      <w:pPr>
        <w:spacing w:after="120" w:line="480" w:lineRule="auto"/>
        <w:jc w:val="both"/>
        <w:rPr>
          <w:rFonts w:ascii="Arial" w:eastAsia="Times New Roman" w:hAnsi="Arial" w:cs="Arial"/>
          <w:bCs/>
          <w:iCs/>
          <w:lang w:bidi="en-US"/>
        </w:rPr>
      </w:pPr>
    </w:p>
    <w:p w14:paraId="13F0E09B" w14:textId="77777777" w:rsidR="00CB2A32" w:rsidRPr="00CB2A32" w:rsidRDefault="00CB2A32" w:rsidP="00CB2A32">
      <w:pPr>
        <w:spacing w:after="120" w:line="480" w:lineRule="auto"/>
        <w:jc w:val="both"/>
        <w:rPr>
          <w:rFonts w:ascii="Arial" w:eastAsia="Times New Roman" w:hAnsi="Arial" w:cs="Arial"/>
          <w:bCs/>
          <w:iCs/>
          <w:u w:val="single"/>
          <w:lang w:bidi="en-US"/>
        </w:rPr>
      </w:pPr>
      <w:r w:rsidRPr="00CB2A32">
        <w:rPr>
          <w:rFonts w:ascii="Arial" w:eastAsia="Times New Roman" w:hAnsi="Arial" w:cs="Arial"/>
          <w:bCs/>
          <w:iCs/>
          <w:u w:val="single"/>
          <w:lang w:bidi="en-US"/>
        </w:rPr>
        <w:t>The automatic resulting trust</w:t>
      </w:r>
    </w:p>
    <w:p w14:paraId="1AE55B20" w14:textId="0497B3CA" w:rsidR="00CB2A32" w:rsidRPr="002A7146" w:rsidRDefault="00CB2A32" w:rsidP="002A7146">
      <w:pPr>
        <w:spacing w:after="120" w:line="480" w:lineRule="auto"/>
        <w:jc w:val="both"/>
        <w:rPr>
          <w:rFonts w:ascii="Arial" w:eastAsia="Times New Roman" w:hAnsi="Arial" w:cs="Arial"/>
          <w:bCs/>
          <w:iCs/>
          <w:lang w:bidi="en-US"/>
        </w:rPr>
      </w:pPr>
      <w:r w:rsidRPr="002A7146">
        <w:rPr>
          <w:rFonts w:ascii="Arial" w:eastAsia="Times New Roman" w:hAnsi="Arial" w:cs="Arial"/>
          <w:bCs/>
          <w:iCs/>
          <w:lang w:bidi="en-US"/>
        </w:rPr>
        <w:t>We have already encountered resulting trusts where a half-secret trust fails and where trusts fail for lack</w:t>
      </w:r>
      <w:r w:rsidR="007E2515" w:rsidRPr="002A7146">
        <w:rPr>
          <w:rFonts w:ascii="Arial" w:eastAsia="Times New Roman" w:hAnsi="Arial" w:cs="Arial"/>
          <w:bCs/>
          <w:iCs/>
          <w:lang w:bidi="en-US"/>
        </w:rPr>
        <w:t xml:space="preserve"> of certainty of subject matter or</w:t>
      </w:r>
      <w:r w:rsidRPr="002A7146">
        <w:rPr>
          <w:rFonts w:ascii="Arial" w:eastAsia="Times New Roman" w:hAnsi="Arial" w:cs="Arial"/>
          <w:bCs/>
          <w:iCs/>
          <w:lang w:bidi="en-US"/>
        </w:rPr>
        <w:t xml:space="preserve"> certainty of objects.</w:t>
      </w:r>
    </w:p>
    <w:p w14:paraId="6BE592AB" w14:textId="5D4EAD4E" w:rsidR="00CB2A32" w:rsidRDefault="00CB2A32" w:rsidP="002A7146">
      <w:pPr>
        <w:spacing w:after="120" w:line="480" w:lineRule="auto"/>
        <w:jc w:val="both"/>
        <w:rPr>
          <w:rFonts w:ascii="Arial" w:eastAsia="Times New Roman" w:hAnsi="Arial" w:cs="Arial"/>
          <w:bCs/>
          <w:iCs/>
          <w:lang w:bidi="en-US"/>
        </w:rPr>
      </w:pPr>
      <w:r w:rsidRPr="002A7146">
        <w:rPr>
          <w:rFonts w:ascii="Arial" w:eastAsia="Times New Roman" w:hAnsi="Arial" w:cs="Arial"/>
          <w:bCs/>
          <w:iCs/>
          <w:lang w:bidi="en-US"/>
        </w:rPr>
        <w:t xml:space="preserve">When A creates an express trust but the beneficial interest under this trust is not exhausted, the surplus beneficial interest results to A as the settlor. This is because it is already clear that the legal owner of the property is not the intended </w:t>
      </w:r>
      <w:r w:rsidR="001F0136" w:rsidRPr="002A7146">
        <w:rPr>
          <w:rFonts w:ascii="Arial" w:eastAsia="Times New Roman" w:hAnsi="Arial" w:cs="Arial"/>
          <w:bCs/>
          <w:iCs/>
          <w:lang w:bidi="en-US"/>
        </w:rPr>
        <w:t>beneficiary,</w:t>
      </w:r>
      <w:r w:rsidRPr="002A7146">
        <w:rPr>
          <w:rFonts w:ascii="Arial" w:eastAsia="Times New Roman" w:hAnsi="Arial" w:cs="Arial"/>
          <w:bCs/>
          <w:iCs/>
          <w:lang w:bidi="en-US"/>
        </w:rPr>
        <w:t xml:space="preserve"> and the law must fill the ownership gap. It is also said that the settlor is presumed not to have intended to dispose of the beneficial interest in that surplus (</w:t>
      </w:r>
      <w:r w:rsidRPr="002A7146">
        <w:rPr>
          <w:rFonts w:ascii="Arial" w:eastAsia="Times New Roman" w:hAnsi="Arial" w:cs="Arial"/>
          <w:bCs/>
          <w:i/>
          <w:iCs/>
          <w:u w:val="single"/>
          <w:lang w:bidi="en-US"/>
        </w:rPr>
        <w:t>Re Gillingham Bus Disaster Fund</w:t>
      </w:r>
      <w:r w:rsidRPr="002A7146">
        <w:rPr>
          <w:rFonts w:ascii="Arial" w:eastAsia="Times New Roman" w:hAnsi="Arial" w:cs="Arial"/>
          <w:bCs/>
          <w:iCs/>
          <w:u w:val="single"/>
          <w:lang w:bidi="en-US"/>
        </w:rPr>
        <w:t xml:space="preserve"> [1958] Ch 300</w:t>
      </w:r>
      <w:r w:rsidRPr="002A7146">
        <w:rPr>
          <w:rFonts w:ascii="Arial" w:eastAsia="Times New Roman" w:hAnsi="Arial" w:cs="Arial"/>
          <w:bCs/>
          <w:iCs/>
          <w:lang w:bidi="en-US"/>
        </w:rPr>
        <w:t xml:space="preserve">). This presumption can in turn be rebutted by reference to the actual intention of the settlor, in which case the property goes to the Crown as </w:t>
      </w:r>
      <w:r w:rsidRPr="002A7146">
        <w:rPr>
          <w:rFonts w:ascii="Arial" w:eastAsia="Times New Roman" w:hAnsi="Arial" w:cs="Arial"/>
          <w:bCs/>
          <w:i/>
          <w:iCs/>
          <w:lang w:bidi="en-US"/>
        </w:rPr>
        <w:t xml:space="preserve">bona vacantia </w:t>
      </w:r>
      <w:r w:rsidRPr="002A7146">
        <w:rPr>
          <w:rFonts w:ascii="Arial" w:eastAsia="Times New Roman" w:hAnsi="Arial" w:cs="Arial"/>
          <w:bCs/>
          <w:iCs/>
          <w:lang w:bidi="en-US"/>
        </w:rPr>
        <w:t>(</w:t>
      </w:r>
      <w:r w:rsidRPr="002A7146">
        <w:rPr>
          <w:rFonts w:ascii="Arial" w:eastAsia="Times New Roman" w:hAnsi="Arial" w:cs="Arial"/>
          <w:bCs/>
          <w:i/>
          <w:iCs/>
          <w:u w:val="single"/>
          <w:lang w:bidi="en-US"/>
        </w:rPr>
        <w:t xml:space="preserve">Re West Sussex Constabulary’s Widow, Children and Benevolent (1930) Fund Trusts </w:t>
      </w:r>
      <w:r w:rsidRPr="002A7146">
        <w:rPr>
          <w:rFonts w:ascii="Arial" w:eastAsia="Times New Roman" w:hAnsi="Arial" w:cs="Arial"/>
          <w:bCs/>
          <w:iCs/>
          <w:u w:val="single"/>
          <w:lang w:bidi="en-US"/>
        </w:rPr>
        <w:t>[1971] Ch 1</w:t>
      </w:r>
      <w:r w:rsidRPr="002A7146">
        <w:rPr>
          <w:rFonts w:ascii="Arial" w:eastAsia="Times New Roman" w:hAnsi="Arial" w:cs="Arial"/>
          <w:bCs/>
          <w:iCs/>
          <w:lang w:bidi="en-US"/>
        </w:rPr>
        <w:t>). A</w:t>
      </w:r>
      <w:r w:rsidR="001E1C7A" w:rsidRPr="002A7146">
        <w:rPr>
          <w:rFonts w:ascii="Arial" w:eastAsia="Times New Roman" w:hAnsi="Arial" w:cs="Arial"/>
          <w:bCs/>
          <w:iCs/>
          <w:lang w:bidi="en-US"/>
        </w:rPr>
        <w:t>s</w:t>
      </w:r>
      <w:r w:rsidRPr="002A7146">
        <w:rPr>
          <w:rFonts w:ascii="Arial" w:eastAsia="Times New Roman" w:hAnsi="Arial" w:cs="Arial"/>
          <w:bCs/>
          <w:iCs/>
          <w:lang w:bidi="en-US"/>
        </w:rPr>
        <w:t xml:space="preserve"> per Lord Browne-Wilkinson in </w:t>
      </w:r>
      <w:r w:rsidRPr="002A7146">
        <w:rPr>
          <w:rFonts w:ascii="Arial" w:eastAsia="Times New Roman" w:hAnsi="Arial" w:cs="Arial"/>
          <w:bCs/>
          <w:i/>
          <w:iCs/>
          <w:u w:val="single"/>
          <w:lang w:bidi="en-US"/>
        </w:rPr>
        <w:t>Westdeutsche Landesbank Girozentrale v Islington London Borough Council</w:t>
      </w:r>
      <w:r w:rsidRPr="002A7146">
        <w:rPr>
          <w:rFonts w:ascii="Arial" w:eastAsia="Times New Roman" w:hAnsi="Arial" w:cs="Arial"/>
          <w:bCs/>
          <w:iCs/>
          <w:u w:val="single"/>
          <w:lang w:bidi="en-US"/>
        </w:rPr>
        <w:t xml:space="preserve"> [1966] 2 All ER 961</w:t>
      </w:r>
      <w:r w:rsidRPr="002A7146">
        <w:rPr>
          <w:rFonts w:ascii="Arial" w:eastAsia="Times New Roman" w:hAnsi="Arial" w:cs="Arial"/>
          <w:bCs/>
          <w:iCs/>
          <w:lang w:bidi="en-US"/>
        </w:rPr>
        <w:t xml:space="preserve">, at 991: “If the settlor has expressly, or by necessary implication, abandoned any beneficial interest in the trust property, there is in my view no resulting trust: the undisposed-of equitable interest vests in the Crown as </w:t>
      </w:r>
      <w:r w:rsidRPr="002A7146">
        <w:rPr>
          <w:rFonts w:ascii="Arial" w:eastAsia="Times New Roman" w:hAnsi="Arial" w:cs="Arial"/>
          <w:bCs/>
          <w:i/>
          <w:iCs/>
          <w:lang w:bidi="en-US"/>
        </w:rPr>
        <w:t>bona vacantia</w:t>
      </w:r>
      <w:r w:rsidRPr="002A7146">
        <w:rPr>
          <w:rFonts w:ascii="Arial" w:eastAsia="Times New Roman" w:hAnsi="Arial" w:cs="Arial"/>
          <w:bCs/>
          <w:iCs/>
          <w:lang w:bidi="en-US"/>
        </w:rPr>
        <w:t>.”</w:t>
      </w:r>
    </w:p>
    <w:p w14:paraId="3C3DB291" w14:textId="0A99B1B1" w:rsidR="00BF7E3F" w:rsidRPr="002A7146" w:rsidRDefault="00BF7E3F" w:rsidP="002A7146">
      <w:pPr>
        <w:spacing w:after="120" w:line="480" w:lineRule="auto"/>
        <w:jc w:val="both"/>
        <w:rPr>
          <w:rFonts w:ascii="Arial" w:eastAsia="Times New Roman" w:hAnsi="Arial" w:cs="Arial"/>
          <w:bCs/>
          <w:iCs/>
          <w:lang w:bidi="en-US"/>
        </w:rPr>
      </w:pPr>
      <w:r>
        <w:rPr>
          <w:rFonts w:ascii="Arial" w:eastAsia="Times New Roman" w:hAnsi="Arial" w:cs="Arial"/>
          <w:bCs/>
          <w:iCs/>
          <w:lang w:bidi="en-US"/>
        </w:rPr>
        <w:lastRenderedPageBreak/>
        <w:t>Where (i) the trust involves successive</w:t>
      </w:r>
      <w:r w:rsidR="005274AA">
        <w:rPr>
          <w:rFonts w:ascii="Arial" w:eastAsia="Times New Roman" w:hAnsi="Arial" w:cs="Arial"/>
          <w:bCs/>
          <w:iCs/>
          <w:lang w:bidi="en-US"/>
        </w:rPr>
        <w:t xml:space="preserve"> interests, </w:t>
      </w:r>
      <w:r>
        <w:rPr>
          <w:rFonts w:ascii="Arial" w:eastAsia="Times New Roman" w:hAnsi="Arial" w:cs="Arial"/>
          <w:bCs/>
          <w:iCs/>
          <w:lang w:bidi="en-US"/>
        </w:rPr>
        <w:t xml:space="preserve">i.e., for A for life, then for B in remainder, (ii) </w:t>
      </w:r>
      <w:r w:rsidR="005274AA">
        <w:rPr>
          <w:rFonts w:ascii="Arial" w:eastAsia="Times New Roman" w:hAnsi="Arial" w:cs="Arial"/>
          <w:bCs/>
          <w:iCs/>
          <w:lang w:bidi="en-US"/>
        </w:rPr>
        <w:t>B</w:t>
      </w:r>
      <w:r>
        <w:rPr>
          <w:rFonts w:ascii="Arial" w:eastAsia="Times New Roman" w:hAnsi="Arial" w:cs="Arial"/>
          <w:bCs/>
          <w:iCs/>
          <w:lang w:bidi="en-US"/>
        </w:rPr>
        <w:t xml:space="preserve">’s interest is not tied to a condition but merely postponed and (iii) the settlor can be presumed to have intended for A’s interest to pass to B in the case that the trust for A fails, then such a failure brings about the ‘acceleration’ of A’s interest to B rather than a resulting trust in favour of the settlor. However, this intention is more difficult to </w:t>
      </w:r>
      <w:r w:rsidR="005274AA">
        <w:rPr>
          <w:rFonts w:ascii="Arial" w:eastAsia="Times New Roman" w:hAnsi="Arial" w:cs="Arial"/>
          <w:bCs/>
          <w:iCs/>
          <w:lang w:bidi="en-US"/>
        </w:rPr>
        <w:t>presume</w:t>
      </w:r>
      <w:r>
        <w:rPr>
          <w:rFonts w:ascii="Arial" w:eastAsia="Times New Roman" w:hAnsi="Arial" w:cs="Arial"/>
          <w:bCs/>
          <w:iCs/>
          <w:lang w:bidi="en-US"/>
        </w:rPr>
        <w:t xml:space="preserve"> if the trust is a lifetime trust (</w:t>
      </w:r>
      <w:r w:rsidRPr="00BF7E3F">
        <w:rPr>
          <w:rFonts w:ascii="Arial" w:eastAsia="Times New Roman" w:hAnsi="Arial" w:cs="Arial"/>
          <w:bCs/>
          <w:i/>
          <w:iCs/>
          <w:u w:val="single"/>
          <w:lang w:bidi="en-US"/>
        </w:rPr>
        <w:t>Re Flower’s Settlement Trusts</w:t>
      </w:r>
      <w:r w:rsidRPr="00BF7E3F">
        <w:rPr>
          <w:rFonts w:ascii="Arial" w:eastAsia="Times New Roman" w:hAnsi="Arial" w:cs="Arial"/>
          <w:bCs/>
          <w:iCs/>
          <w:u w:val="single"/>
          <w:lang w:bidi="en-US"/>
        </w:rPr>
        <w:t xml:space="preserve"> [1957] 1 All ER 462</w:t>
      </w:r>
      <w:r>
        <w:rPr>
          <w:rFonts w:ascii="Arial" w:eastAsia="Times New Roman" w:hAnsi="Arial" w:cs="Arial"/>
          <w:bCs/>
          <w:iCs/>
          <w:lang w:bidi="en-US"/>
        </w:rPr>
        <w:t xml:space="preserve">).   </w:t>
      </w:r>
    </w:p>
    <w:p w14:paraId="0F7901FD" w14:textId="0CAF3FCA" w:rsidR="00B8471A" w:rsidRPr="00CB2A32" w:rsidRDefault="00B8471A" w:rsidP="00CB2A32">
      <w:pPr>
        <w:spacing w:after="120" w:line="480" w:lineRule="auto"/>
        <w:jc w:val="both"/>
        <w:rPr>
          <w:rFonts w:ascii="Arial" w:eastAsia="Times New Roman" w:hAnsi="Arial" w:cs="Arial"/>
          <w:bCs/>
          <w:iCs/>
          <w:u w:val="single"/>
          <w:lang w:bidi="en-US"/>
        </w:rPr>
      </w:pPr>
    </w:p>
    <w:p w14:paraId="55278CB1" w14:textId="77777777" w:rsidR="00CB2A32" w:rsidRPr="00CB2A32" w:rsidRDefault="00CB2A32" w:rsidP="00CB2A32">
      <w:pPr>
        <w:spacing w:after="120" w:line="480" w:lineRule="auto"/>
        <w:jc w:val="both"/>
        <w:rPr>
          <w:rFonts w:ascii="Arial" w:eastAsia="Times New Roman" w:hAnsi="Arial" w:cs="Arial"/>
          <w:bCs/>
          <w:iCs/>
          <w:u w:val="single"/>
          <w:lang w:bidi="en-US"/>
        </w:rPr>
      </w:pPr>
      <w:r w:rsidRPr="00CB2A32">
        <w:rPr>
          <w:rFonts w:ascii="Arial" w:eastAsia="Times New Roman" w:hAnsi="Arial" w:cs="Arial"/>
          <w:bCs/>
          <w:iCs/>
          <w:u w:val="single"/>
          <w:lang w:bidi="en-US"/>
        </w:rPr>
        <w:t>The presumed resulting trust</w:t>
      </w:r>
    </w:p>
    <w:p w14:paraId="694D4E58" w14:textId="2E5B68B9" w:rsidR="00CB2A32" w:rsidRPr="002A7146" w:rsidRDefault="6F0A1265" w:rsidP="6F0A1265">
      <w:pPr>
        <w:spacing w:after="120" w:line="480" w:lineRule="auto"/>
        <w:jc w:val="both"/>
        <w:rPr>
          <w:rFonts w:ascii="Arial" w:eastAsia="Times New Roman" w:hAnsi="Arial" w:cs="Arial"/>
          <w:lang w:bidi="en-US"/>
        </w:rPr>
      </w:pPr>
      <w:r w:rsidRPr="6F0A1265">
        <w:rPr>
          <w:rFonts w:ascii="Arial" w:eastAsia="Times New Roman" w:hAnsi="Arial" w:cs="Arial"/>
          <w:lang w:bidi="en-US"/>
        </w:rPr>
        <w:t xml:space="preserve">Where A </w:t>
      </w:r>
      <w:proofErr w:type="gramStart"/>
      <w:r w:rsidRPr="6F0A1265">
        <w:rPr>
          <w:rFonts w:ascii="Arial" w:eastAsia="Times New Roman" w:hAnsi="Arial" w:cs="Arial"/>
          <w:lang w:bidi="en-US"/>
        </w:rPr>
        <w:t>transfers</w:t>
      </w:r>
      <w:proofErr w:type="gramEnd"/>
      <w:r w:rsidRPr="6F0A1265">
        <w:rPr>
          <w:rFonts w:ascii="Arial" w:eastAsia="Times New Roman" w:hAnsi="Arial" w:cs="Arial"/>
          <w:lang w:bidi="en-US"/>
        </w:rPr>
        <w:t xml:space="preserve"> property to B without consideration or the expressed intention to make a gift or establish a trust, the beneficial interest to the property results to A on the presumption that A did not intend to dispose of it (please note that the law does not normally presume that a gift has been intended in this situation). A thus retains the beneficial interest in the property, which is now held on trust for A by B.</w:t>
      </w:r>
    </w:p>
    <w:p w14:paraId="55C38353" w14:textId="61DDA78F" w:rsidR="00CB2A32" w:rsidRPr="002A7146" w:rsidRDefault="00CB2A32" w:rsidP="002A7146">
      <w:pPr>
        <w:spacing w:after="120" w:line="480" w:lineRule="auto"/>
        <w:jc w:val="both"/>
        <w:rPr>
          <w:rFonts w:ascii="Arial" w:eastAsia="Times New Roman" w:hAnsi="Arial" w:cs="Arial"/>
          <w:bCs/>
          <w:iCs/>
          <w:lang w:bidi="en-US"/>
        </w:rPr>
      </w:pPr>
      <w:r w:rsidRPr="002A7146">
        <w:rPr>
          <w:rFonts w:ascii="Arial" w:eastAsia="Times New Roman" w:hAnsi="Arial" w:cs="Arial"/>
          <w:bCs/>
          <w:iCs/>
          <w:lang w:bidi="en-US"/>
        </w:rPr>
        <w:t xml:space="preserve">Examples include transfers made without explanation and may also include payments made by mistake. However, the latter are problematic, as the mistaken belief that </w:t>
      </w:r>
      <w:proofErr w:type="gramStart"/>
      <w:r w:rsidRPr="002A7146">
        <w:rPr>
          <w:rFonts w:ascii="Arial" w:eastAsia="Times New Roman" w:hAnsi="Arial" w:cs="Arial"/>
          <w:bCs/>
          <w:iCs/>
          <w:lang w:bidi="en-US"/>
        </w:rPr>
        <w:t>lead</w:t>
      </w:r>
      <w:proofErr w:type="gramEnd"/>
      <w:r w:rsidRPr="002A7146">
        <w:rPr>
          <w:rFonts w:ascii="Arial" w:eastAsia="Times New Roman" w:hAnsi="Arial" w:cs="Arial"/>
          <w:bCs/>
          <w:iCs/>
          <w:lang w:bidi="en-US"/>
        </w:rPr>
        <w:t xml:space="preserve"> to the payment in the first place means an intention to retain beneficial interest cannot easily be presumed. </w:t>
      </w:r>
      <w:r w:rsidR="0031387E" w:rsidRPr="002A7146">
        <w:rPr>
          <w:rFonts w:ascii="Arial" w:eastAsia="Times New Roman" w:hAnsi="Arial" w:cs="Arial"/>
          <w:bCs/>
          <w:iCs/>
          <w:lang w:bidi="en-US"/>
        </w:rPr>
        <w:t xml:space="preserve">In </w:t>
      </w:r>
      <w:r w:rsidR="0031387E" w:rsidRPr="002A7146">
        <w:rPr>
          <w:rFonts w:ascii="Arial" w:eastAsia="Times New Roman" w:hAnsi="Arial" w:cs="Arial"/>
          <w:bCs/>
          <w:i/>
          <w:iCs/>
          <w:lang w:bidi="en-US"/>
        </w:rPr>
        <w:t>Trusts &amp; Equity</w:t>
      </w:r>
      <w:r w:rsidR="0031387E" w:rsidRPr="002A7146">
        <w:rPr>
          <w:rFonts w:ascii="Arial" w:eastAsia="Times New Roman" w:hAnsi="Arial" w:cs="Arial"/>
          <w:bCs/>
          <w:iCs/>
          <w:lang w:bidi="en-US"/>
        </w:rPr>
        <w:t xml:space="preserve"> (p. 1</w:t>
      </w:r>
      <w:r w:rsidR="003B5726">
        <w:rPr>
          <w:rFonts w:ascii="Arial" w:eastAsia="Times New Roman" w:hAnsi="Arial" w:cs="Arial"/>
          <w:bCs/>
          <w:iCs/>
          <w:lang w:bidi="en-US"/>
        </w:rPr>
        <w:t>59</w:t>
      </w:r>
      <w:r w:rsidR="0031387E" w:rsidRPr="002A7146">
        <w:rPr>
          <w:rFonts w:ascii="Arial" w:eastAsia="Times New Roman" w:hAnsi="Arial" w:cs="Arial"/>
          <w:bCs/>
          <w:iCs/>
          <w:lang w:bidi="en-US"/>
        </w:rPr>
        <w:t xml:space="preserve">), </w:t>
      </w:r>
      <w:r w:rsidR="00087D51" w:rsidRPr="002A7146">
        <w:rPr>
          <w:rFonts w:ascii="Arial" w:eastAsia="Times New Roman" w:hAnsi="Arial" w:cs="Arial"/>
          <w:bCs/>
          <w:iCs/>
          <w:lang w:bidi="en-US"/>
        </w:rPr>
        <w:t xml:space="preserve">Watt </w:t>
      </w:r>
      <w:r w:rsidRPr="002A7146">
        <w:rPr>
          <w:rFonts w:ascii="Arial" w:eastAsia="Times New Roman" w:hAnsi="Arial" w:cs="Arial"/>
          <w:bCs/>
          <w:iCs/>
          <w:lang w:bidi="en-US"/>
        </w:rPr>
        <w:t xml:space="preserve">resolves this problem by arguing that </w:t>
      </w:r>
      <w:r w:rsidR="00D715DA" w:rsidRPr="002A7146">
        <w:rPr>
          <w:rFonts w:ascii="Arial" w:eastAsia="Times New Roman" w:hAnsi="Arial" w:cs="Arial"/>
          <w:bCs/>
          <w:iCs/>
          <w:lang w:bidi="en-US"/>
        </w:rPr>
        <w:t>“</w:t>
      </w:r>
      <w:r w:rsidRPr="002A7146">
        <w:rPr>
          <w:rFonts w:ascii="Arial" w:eastAsia="Times New Roman" w:hAnsi="Arial" w:cs="Arial"/>
          <w:bCs/>
          <w:iCs/>
          <w:lang w:bidi="en-US"/>
        </w:rPr>
        <w:t>a resulting trust should arise not only in the absence of the transferor’s contrary intention, but also in the absence of the transferee’s contrary entitlement.”</w:t>
      </w:r>
    </w:p>
    <w:p w14:paraId="2050CD13" w14:textId="334060B7" w:rsidR="0031387E" w:rsidRPr="002A7146" w:rsidRDefault="0031387E" w:rsidP="002A7146">
      <w:pPr>
        <w:spacing w:after="120" w:line="480" w:lineRule="auto"/>
        <w:jc w:val="both"/>
        <w:rPr>
          <w:rFonts w:ascii="Arial" w:eastAsia="Times New Roman" w:hAnsi="Arial" w:cs="Arial"/>
          <w:bCs/>
          <w:iCs/>
          <w:lang w:bidi="en-US"/>
        </w:rPr>
      </w:pPr>
      <w:r w:rsidRPr="002A7146">
        <w:rPr>
          <w:rFonts w:ascii="Arial" w:eastAsia="Times New Roman" w:hAnsi="Arial" w:cs="Arial"/>
          <w:bCs/>
          <w:iCs/>
          <w:lang w:bidi="en-US"/>
        </w:rPr>
        <w:t>Transfers made by way of will carry a presumption that they are intended as gifts unless otherwise stated (e.g., where the intention to create a trust has been expressed). This means that when a testamentary trust fails for lack of intention, the original presumption of the testator having wished to make a gift to the recipient prevails and there is no resulting trust for the estate.</w:t>
      </w:r>
    </w:p>
    <w:p w14:paraId="4891DC92" w14:textId="72AC2EBD" w:rsidR="00CB2A32" w:rsidRPr="002A7146" w:rsidRDefault="00CB2A32" w:rsidP="002A7146">
      <w:pPr>
        <w:spacing w:after="120" w:line="480" w:lineRule="auto"/>
        <w:jc w:val="both"/>
        <w:rPr>
          <w:rFonts w:ascii="Arial" w:eastAsia="Times New Roman" w:hAnsi="Arial" w:cs="Arial"/>
          <w:bCs/>
          <w:iCs/>
          <w:lang w:bidi="en-US"/>
        </w:rPr>
      </w:pPr>
      <w:r w:rsidRPr="002A7146">
        <w:rPr>
          <w:rFonts w:ascii="Arial" w:eastAsia="Times New Roman" w:hAnsi="Arial" w:cs="Arial"/>
          <w:bCs/>
          <w:iCs/>
          <w:lang w:bidi="en-US"/>
        </w:rPr>
        <w:t xml:space="preserve">Where A contributes to the purchase price of property which is held in B’s sole name or by A and B jointly, a beneficial interest </w:t>
      </w:r>
      <w:proofErr w:type="gramStart"/>
      <w:r w:rsidRPr="002A7146">
        <w:rPr>
          <w:rFonts w:ascii="Arial" w:eastAsia="Times New Roman" w:hAnsi="Arial" w:cs="Arial"/>
          <w:bCs/>
          <w:iCs/>
          <w:lang w:bidi="en-US"/>
        </w:rPr>
        <w:t>proportionate</w:t>
      </w:r>
      <w:proofErr w:type="gramEnd"/>
      <w:r w:rsidRPr="002A7146">
        <w:rPr>
          <w:rFonts w:ascii="Arial" w:eastAsia="Times New Roman" w:hAnsi="Arial" w:cs="Arial"/>
          <w:bCs/>
          <w:iCs/>
          <w:lang w:bidi="en-US"/>
        </w:rPr>
        <w:t xml:space="preserve"> to A’s contribution resul</w:t>
      </w:r>
      <w:r w:rsidR="0031387E" w:rsidRPr="002A7146">
        <w:rPr>
          <w:rFonts w:ascii="Arial" w:eastAsia="Times New Roman" w:hAnsi="Arial" w:cs="Arial"/>
          <w:bCs/>
          <w:iCs/>
          <w:lang w:bidi="en-US"/>
        </w:rPr>
        <w:t xml:space="preserve">ts to A (but </w:t>
      </w:r>
      <w:r w:rsidR="007E2515" w:rsidRPr="002A7146">
        <w:rPr>
          <w:rFonts w:ascii="Arial" w:eastAsia="Times New Roman" w:hAnsi="Arial" w:cs="Arial"/>
          <w:bCs/>
          <w:iCs/>
          <w:lang w:bidi="en-US"/>
        </w:rPr>
        <w:t xml:space="preserve">note there </w:t>
      </w:r>
      <w:r w:rsidR="007E2515" w:rsidRPr="002A7146">
        <w:rPr>
          <w:rFonts w:ascii="Arial" w:eastAsia="Times New Roman" w:hAnsi="Arial" w:cs="Arial"/>
          <w:bCs/>
          <w:iCs/>
          <w:lang w:bidi="en-US"/>
        </w:rPr>
        <w:lastRenderedPageBreak/>
        <w:t>is</w:t>
      </w:r>
      <w:r w:rsidRPr="002A7146">
        <w:rPr>
          <w:rFonts w:ascii="Arial" w:eastAsia="Times New Roman" w:hAnsi="Arial" w:cs="Arial"/>
          <w:bCs/>
          <w:iCs/>
          <w:lang w:bidi="en-US"/>
        </w:rPr>
        <w:t xml:space="preserve"> an exception to the operation of this rule in the context of the family home). This is also called the ‘purchase money resulting trust.’</w:t>
      </w:r>
    </w:p>
    <w:p w14:paraId="1EC7A994" w14:textId="77777777" w:rsidR="00CB2A32" w:rsidRPr="00CB2A32" w:rsidRDefault="00CB2A32" w:rsidP="00CB2A32">
      <w:pPr>
        <w:pStyle w:val="ListParagraph"/>
        <w:spacing w:after="120" w:line="480" w:lineRule="auto"/>
        <w:ind w:left="284"/>
        <w:jc w:val="both"/>
        <w:rPr>
          <w:rFonts w:ascii="Arial" w:eastAsia="Times New Roman" w:hAnsi="Arial" w:cs="Arial"/>
          <w:bCs/>
          <w:iCs/>
          <w:lang w:bidi="en-US"/>
        </w:rPr>
      </w:pPr>
    </w:p>
    <w:p w14:paraId="6CC152C1" w14:textId="77777777" w:rsidR="00CB2A32" w:rsidRPr="001E1C7A" w:rsidRDefault="00CB2A32" w:rsidP="00CB2A32">
      <w:pPr>
        <w:spacing w:after="120" w:line="480" w:lineRule="auto"/>
        <w:jc w:val="both"/>
        <w:rPr>
          <w:rFonts w:ascii="Arial" w:eastAsia="Times New Roman" w:hAnsi="Arial" w:cs="Arial"/>
          <w:iCs/>
          <w:lang w:bidi="en-US"/>
        </w:rPr>
      </w:pPr>
      <w:r w:rsidRPr="001E1C7A">
        <w:rPr>
          <w:rFonts w:ascii="Arial" w:eastAsia="Times New Roman" w:hAnsi="Arial" w:cs="Arial"/>
          <w:iCs/>
          <w:lang w:bidi="en-US"/>
        </w:rPr>
        <w:t>Rebutting the presumption</w:t>
      </w:r>
    </w:p>
    <w:p w14:paraId="4F909499" w14:textId="6F11612D" w:rsidR="00CB2A32" w:rsidRPr="00CB2A32" w:rsidRDefault="00CB2A32" w:rsidP="00CB2A32">
      <w:p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 xml:space="preserve">The presumption that A did not intend to dispose of the beneficial interest to property </w:t>
      </w:r>
      <w:r w:rsidR="006930F9">
        <w:rPr>
          <w:rFonts w:ascii="Arial" w:eastAsia="Times New Roman" w:hAnsi="Arial" w:cs="Arial"/>
          <w:bCs/>
          <w:iCs/>
          <w:lang w:bidi="en-US"/>
        </w:rPr>
        <w:t>s/</w:t>
      </w:r>
      <w:r w:rsidRPr="00CB2A32">
        <w:rPr>
          <w:rFonts w:ascii="Arial" w:eastAsia="Times New Roman" w:hAnsi="Arial" w:cs="Arial"/>
          <w:bCs/>
          <w:iCs/>
          <w:lang w:bidi="en-US"/>
        </w:rPr>
        <w:t>he transferred to B can be rebutted in a number of ways:</w:t>
      </w:r>
    </w:p>
    <w:p w14:paraId="78A18D5E" w14:textId="77777777" w:rsidR="00CB2A32" w:rsidRPr="00CB2A32" w:rsidRDefault="00CB2A32" w:rsidP="00CB2A32">
      <w:pPr>
        <w:pStyle w:val="ListParagraph"/>
        <w:numPr>
          <w:ilvl w:val="0"/>
          <w:numId w:val="12"/>
        </w:num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The intention to make a gift; this may be expressed or inferred from conduct (</w:t>
      </w:r>
      <w:proofErr w:type="spellStart"/>
      <w:r w:rsidRPr="00CB2A32">
        <w:rPr>
          <w:rFonts w:ascii="Arial" w:eastAsia="Times New Roman" w:hAnsi="Arial" w:cs="Arial"/>
          <w:bCs/>
          <w:i/>
          <w:iCs/>
          <w:u w:val="single"/>
          <w:lang w:bidi="en-US"/>
        </w:rPr>
        <w:t>Fowkes</w:t>
      </w:r>
      <w:proofErr w:type="spellEnd"/>
      <w:r w:rsidRPr="00CB2A32">
        <w:rPr>
          <w:rFonts w:ascii="Arial" w:eastAsia="Times New Roman" w:hAnsi="Arial" w:cs="Arial"/>
          <w:bCs/>
          <w:i/>
          <w:iCs/>
          <w:u w:val="single"/>
          <w:lang w:bidi="en-US"/>
        </w:rPr>
        <w:t xml:space="preserve"> v Pascoe</w:t>
      </w:r>
      <w:r w:rsidRPr="00CB2A32">
        <w:rPr>
          <w:rFonts w:ascii="Arial" w:eastAsia="Times New Roman" w:hAnsi="Arial" w:cs="Arial"/>
          <w:bCs/>
          <w:iCs/>
          <w:u w:val="single"/>
          <w:lang w:bidi="en-US"/>
        </w:rPr>
        <w:t xml:space="preserve"> [1935] WN 68</w:t>
      </w:r>
      <w:r w:rsidRPr="00CB2A32">
        <w:rPr>
          <w:rFonts w:ascii="Arial" w:eastAsia="Times New Roman" w:hAnsi="Arial" w:cs="Arial"/>
          <w:bCs/>
          <w:iCs/>
          <w:lang w:bidi="en-US"/>
        </w:rPr>
        <w:t>).</w:t>
      </w:r>
    </w:p>
    <w:p w14:paraId="68B93C8B" w14:textId="77777777" w:rsidR="00CB2A32" w:rsidRPr="00CB2A32" w:rsidRDefault="00CB2A32" w:rsidP="00CB2A32">
      <w:pPr>
        <w:pStyle w:val="ListParagraph"/>
        <w:numPr>
          <w:ilvl w:val="0"/>
          <w:numId w:val="12"/>
        </w:num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The intention to transfer full ownership under contract.</w:t>
      </w:r>
    </w:p>
    <w:p w14:paraId="255481D4" w14:textId="2B94CD7D" w:rsidR="00CB2A32" w:rsidRDefault="53EFC2FE" w:rsidP="6F0A1265">
      <w:pPr>
        <w:pStyle w:val="ListParagraph"/>
        <w:numPr>
          <w:ilvl w:val="0"/>
          <w:numId w:val="12"/>
        </w:numPr>
        <w:spacing w:after="120" w:line="480" w:lineRule="auto"/>
        <w:jc w:val="both"/>
        <w:rPr>
          <w:rFonts w:ascii="Arial" w:eastAsia="Times New Roman" w:hAnsi="Arial" w:cs="Arial"/>
          <w:lang w:bidi="en-US"/>
        </w:rPr>
      </w:pPr>
      <w:r w:rsidRPr="53EFC2FE">
        <w:rPr>
          <w:rFonts w:ascii="Arial" w:eastAsia="Times New Roman" w:hAnsi="Arial" w:cs="Arial"/>
          <w:lang w:bidi="en-US"/>
        </w:rPr>
        <w:t>The presumption of advancement; this applies to transfers from men to their wives, fiancées or children and from women to their children</w:t>
      </w:r>
      <w:r w:rsidR="00272338">
        <w:rPr>
          <w:rFonts w:ascii="Arial" w:eastAsia="Times New Roman" w:hAnsi="Arial" w:cs="Arial"/>
          <w:lang w:bidi="en-US"/>
        </w:rPr>
        <w:t xml:space="preserve"> (</w:t>
      </w:r>
      <w:r w:rsidR="00272338" w:rsidRPr="00272338">
        <w:rPr>
          <w:rFonts w:ascii="Arial" w:eastAsia="Times New Roman" w:hAnsi="Arial" w:cs="Arial"/>
          <w:i/>
          <w:iCs/>
          <w:u w:val="single"/>
          <w:lang w:bidi="en-US"/>
        </w:rPr>
        <w:t>Musson v Bonner</w:t>
      </w:r>
      <w:r w:rsidR="00272338" w:rsidRPr="00272338">
        <w:rPr>
          <w:rFonts w:ascii="Arial" w:eastAsia="Times New Roman" w:hAnsi="Arial" w:cs="Arial"/>
          <w:u w:val="single"/>
          <w:lang w:bidi="en-US"/>
        </w:rPr>
        <w:t xml:space="preserve"> [2010] WTLR 1369, Ch D</w:t>
      </w:r>
      <w:r w:rsidR="00272338">
        <w:rPr>
          <w:rFonts w:ascii="Arial" w:eastAsia="Times New Roman" w:hAnsi="Arial" w:cs="Arial"/>
          <w:lang w:bidi="en-US"/>
        </w:rPr>
        <w:t>)</w:t>
      </w:r>
      <w:r w:rsidRPr="53EFC2FE">
        <w:rPr>
          <w:rFonts w:ascii="Arial" w:eastAsia="Times New Roman" w:hAnsi="Arial" w:cs="Arial"/>
          <w:lang w:bidi="en-US"/>
        </w:rPr>
        <w:t>, and can in turn be rebutted by evidence of intention to the contrary (</w:t>
      </w:r>
      <w:r w:rsidRPr="53EFC2FE">
        <w:rPr>
          <w:rFonts w:ascii="Arial" w:eastAsia="Times New Roman" w:hAnsi="Arial" w:cs="Arial"/>
          <w:i/>
          <w:iCs/>
          <w:u w:val="single"/>
          <w:lang w:bidi="en-US"/>
        </w:rPr>
        <w:t>McGrath v Wallis</w:t>
      </w:r>
      <w:r w:rsidRPr="53EFC2FE">
        <w:rPr>
          <w:rFonts w:ascii="Arial" w:eastAsia="Times New Roman" w:hAnsi="Arial" w:cs="Arial"/>
          <w:u w:val="single"/>
          <w:lang w:bidi="en-US"/>
        </w:rPr>
        <w:t xml:space="preserve"> [1995] 2 FLR 114</w:t>
      </w:r>
      <w:r w:rsidR="009629D8" w:rsidRPr="009629D8">
        <w:rPr>
          <w:rFonts w:ascii="Arial" w:eastAsia="Times New Roman" w:hAnsi="Arial" w:cs="Arial"/>
          <w:lang w:bidi="en-US"/>
        </w:rPr>
        <w:t>;</w:t>
      </w:r>
      <w:r w:rsidR="009629D8" w:rsidRPr="009629D8">
        <w:rPr>
          <w:rFonts w:ascii="Arial" w:eastAsia="Times New Roman" w:hAnsi="Arial" w:cs="Arial"/>
          <w:i/>
          <w:iCs/>
          <w:lang w:bidi="en-US"/>
        </w:rPr>
        <w:t xml:space="preserve"> </w:t>
      </w:r>
      <w:r w:rsidR="009629D8" w:rsidRPr="53EFC2FE">
        <w:rPr>
          <w:rFonts w:ascii="Arial" w:eastAsia="Times New Roman" w:hAnsi="Arial" w:cs="Arial"/>
          <w:i/>
          <w:iCs/>
          <w:u w:val="single"/>
          <w:lang w:bidi="en-US"/>
        </w:rPr>
        <w:t>Lavelle v Lavelle</w:t>
      </w:r>
      <w:r w:rsidR="009629D8" w:rsidRPr="53EFC2FE">
        <w:rPr>
          <w:rFonts w:ascii="Arial" w:eastAsia="Times New Roman" w:hAnsi="Arial" w:cs="Arial"/>
          <w:u w:val="single"/>
          <w:lang w:bidi="en-US"/>
        </w:rPr>
        <w:t xml:space="preserve"> [2004] EWCA </w:t>
      </w:r>
      <w:proofErr w:type="spellStart"/>
      <w:r w:rsidR="009629D8" w:rsidRPr="53EFC2FE">
        <w:rPr>
          <w:rFonts w:ascii="Arial" w:eastAsia="Times New Roman" w:hAnsi="Arial" w:cs="Arial"/>
          <w:u w:val="single"/>
          <w:lang w:bidi="en-US"/>
        </w:rPr>
        <w:t>Civ</w:t>
      </w:r>
      <w:proofErr w:type="spellEnd"/>
      <w:r w:rsidR="009629D8" w:rsidRPr="53EFC2FE">
        <w:rPr>
          <w:rFonts w:ascii="Arial" w:eastAsia="Times New Roman" w:hAnsi="Arial" w:cs="Arial"/>
          <w:u w:val="single"/>
          <w:lang w:bidi="en-US"/>
        </w:rPr>
        <w:t xml:space="preserve"> 223</w:t>
      </w:r>
      <w:r w:rsidRPr="53EFC2FE">
        <w:rPr>
          <w:rFonts w:ascii="Arial" w:eastAsia="Times New Roman" w:hAnsi="Arial" w:cs="Arial"/>
          <w:lang w:bidi="en-US"/>
        </w:rPr>
        <w:t xml:space="preserve">). The presumption is due to be abolished when s. 199 of the Equality Act 2010 comes into force. </w:t>
      </w:r>
      <w:r w:rsidR="00272338">
        <w:rPr>
          <w:rFonts w:ascii="Arial" w:eastAsia="Times New Roman" w:hAnsi="Arial" w:cs="Arial"/>
          <w:lang w:bidi="en-US"/>
        </w:rPr>
        <w:t xml:space="preserve">Until then, it continues to operate </w:t>
      </w:r>
      <w:r w:rsidR="009629D8">
        <w:rPr>
          <w:rFonts w:ascii="Arial" w:eastAsia="Times New Roman" w:hAnsi="Arial" w:cs="Arial"/>
          <w:lang w:bidi="en-US"/>
        </w:rPr>
        <w:t>even in relation to adult and financially-independent children (</w:t>
      </w:r>
      <w:r w:rsidR="009629D8" w:rsidRPr="009629D8">
        <w:rPr>
          <w:rFonts w:ascii="Arial" w:eastAsia="Times New Roman" w:hAnsi="Arial" w:cs="Arial"/>
          <w:i/>
          <w:iCs/>
          <w:u w:val="single"/>
          <w:lang w:bidi="en-US"/>
        </w:rPr>
        <w:t>Wood v Watkin</w:t>
      </w:r>
      <w:r w:rsidR="009629D8" w:rsidRPr="009629D8">
        <w:rPr>
          <w:rFonts w:ascii="Arial" w:eastAsia="Times New Roman" w:hAnsi="Arial" w:cs="Arial"/>
          <w:u w:val="single"/>
          <w:lang w:bidi="en-US"/>
        </w:rPr>
        <w:t xml:space="preserve"> [2019] EWHC 1311 (Ch)</w:t>
      </w:r>
      <w:r w:rsidR="009629D8">
        <w:rPr>
          <w:rFonts w:ascii="Arial" w:eastAsia="Times New Roman" w:hAnsi="Arial" w:cs="Arial"/>
          <w:lang w:bidi="en-US"/>
        </w:rPr>
        <w:t>)</w:t>
      </w:r>
      <w:r w:rsidR="003B5726">
        <w:rPr>
          <w:rFonts w:ascii="Arial" w:eastAsia="Times New Roman" w:hAnsi="Arial" w:cs="Arial"/>
          <w:lang w:bidi="en-US"/>
        </w:rPr>
        <w:t xml:space="preserve">. However, </w:t>
      </w:r>
      <w:r w:rsidR="00272338">
        <w:rPr>
          <w:rFonts w:ascii="Arial" w:eastAsia="Times New Roman" w:hAnsi="Arial" w:cs="Arial"/>
          <w:lang w:bidi="en-US"/>
        </w:rPr>
        <w:t>it</w:t>
      </w:r>
      <w:r w:rsidRPr="53EFC2FE">
        <w:rPr>
          <w:rFonts w:ascii="Arial" w:eastAsia="Times New Roman" w:hAnsi="Arial" w:cs="Arial"/>
          <w:lang w:bidi="en-US"/>
        </w:rPr>
        <w:t xml:space="preserve"> is doubtful from the perspective of principle</w:t>
      </w:r>
      <w:r w:rsidR="009629D8">
        <w:rPr>
          <w:rFonts w:ascii="Arial" w:eastAsia="Times New Roman" w:hAnsi="Arial" w:cs="Arial"/>
          <w:lang w:bidi="en-US"/>
        </w:rPr>
        <w:t>.</w:t>
      </w:r>
    </w:p>
    <w:p w14:paraId="0C08F5C6" w14:textId="6025F2B8" w:rsidR="00FD5FC2" w:rsidRPr="00FD5FC2" w:rsidRDefault="00FD5FC2" w:rsidP="00FD5FC2">
      <w:pPr>
        <w:spacing w:after="120" w:line="480" w:lineRule="auto"/>
        <w:jc w:val="both"/>
        <w:rPr>
          <w:rFonts w:ascii="Arial" w:eastAsia="Times New Roman" w:hAnsi="Arial" w:cs="Arial"/>
          <w:lang w:bidi="en-US"/>
        </w:rPr>
      </w:pPr>
    </w:p>
    <w:p w14:paraId="0B257578" w14:textId="7F138699" w:rsidR="00CB2A32" w:rsidRPr="001E1C7A" w:rsidRDefault="00CB2A32" w:rsidP="00CB2A32">
      <w:pPr>
        <w:spacing w:before="480" w:after="0" w:line="480" w:lineRule="auto"/>
        <w:jc w:val="both"/>
        <w:outlineLvl w:val="1"/>
        <w:rPr>
          <w:rFonts w:ascii="Arial" w:eastAsia="Times New Roman" w:hAnsi="Arial" w:cs="Arial"/>
          <w:iCs/>
          <w:u w:val="single"/>
          <w:lang w:bidi="en-US"/>
        </w:rPr>
      </w:pPr>
      <w:r w:rsidRPr="001E1C7A">
        <w:rPr>
          <w:rFonts w:ascii="Arial" w:eastAsia="Times New Roman" w:hAnsi="Arial" w:cs="Arial"/>
          <w:iCs/>
          <w:u w:val="single"/>
          <w:lang w:bidi="en-US"/>
        </w:rPr>
        <w:t xml:space="preserve">The </w:t>
      </w:r>
      <w:proofErr w:type="spellStart"/>
      <w:r w:rsidRPr="001E1C7A">
        <w:rPr>
          <w:rFonts w:ascii="Arial" w:eastAsia="Times New Roman" w:hAnsi="Arial" w:cs="Arial"/>
          <w:i/>
          <w:iCs/>
          <w:u w:val="single"/>
          <w:lang w:bidi="en-US"/>
        </w:rPr>
        <w:t>Vandervell</w:t>
      </w:r>
      <w:proofErr w:type="spellEnd"/>
      <w:r w:rsidRPr="001E1C7A">
        <w:rPr>
          <w:rFonts w:ascii="Arial" w:eastAsia="Times New Roman" w:hAnsi="Arial" w:cs="Arial"/>
          <w:iCs/>
          <w:u w:val="single"/>
          <w:lang w:bidi="en-US"/>
        </w:rPr>
        <w:t xml:space="preserve"> saga</w:t>
      </w:r>
    </w:p>
    <w:p w14:paraId="3718238F" w14:textId="77777777" w:rsidR="00CB2A32" w:rsidRPr="005274AA" w:rsidRDefault="00CB2A32" w:rsidP="005274AA">
      <w:pPr>
        <w:spacing w:after="120" w:line="480" w:lineRule="auto"/>
        <w:jc w:val="both"/>
        <w:rPr>
          <w:rFonts w:ascii="Arial" w:eastAsia="Times New Roman" w:hAnsi="Arial" w:cs="Arial"/>
          <w:bCs/>
          <w:iCs/>
          <w:lang w:bidi="en-US"/>
        </w:rPr>
      </w:pPr>
      <w:r w:rsidRPr="005274AA">
        <w:rPr>
          <w:rFonts w:ascii="Arial" w:eastAsia="Times New Roman" w:hAnsi="Arial" w:cs="Arial"/>
          <w:b/>
          <w:bCs/>
          <w:iCs/>
          <w:lang w:bidi="en-US"/>
        </w:rPr>
        <w:t>1958</w:t>
      </w:r>
      <w:r w:rsidRPr="005274AA">
        <w:rPr>
          <w:rFonts w:ascii="Arial" w:eastAsia="Times New Roman" w:hAnsi="Arial" w:cs="Arial"/>
          <w:bCs/>
          <w:iCs/>
          <w:lang w:bidi="en-US"/>
        </w:rPr>
        <w:t xml:space="preserve">: Mr </w:t>
      </w:r>
      <w:proofErr w:type="spellStart"/>
      <w:r w:rsidRPr="005274AA">
        <w:rPr>
          <w:rFonts w:ascii="Arial" w:eastAsia="Times New Roman" w:hAnsi="Arial" w:cs="Arial"/>
          <w:bCs/>
          <w:iCs/>
          <w:lang w:bidi="en-US"/>
        </w:rPr>
        <w:t>Vandervell</w:t>
      </w:r>
      <w:proofErr w:type="spellEnd"/>
      <w:r w:rsidRPr="005274AA">
        <w:rPr>
          <w:rFonts w:ascii="Arial" w:eastAsia="Times New Roman" w:hAnsi="Arial" w:cs="Arial"/>
          <w:bCs/>
          <w:iCs/>
          <w:lang w:bidi="en-US"/>
        </w:rPr>
        <w:t xml:space="preserve"> (“V”) instructed his bank to transfer 100,000 shares in his company to the Royal College of Surgeons (“RCS”). To make the arrangement work to their mutual benefit, the RCS agreed to grant an option to repurchase these shares for £5,000 to a trustee company set up by V (</w:t>
      </w:r>
      <w:proofErr w:type="spellStart"/>
      <w:r w:rsidRPr="005274AA">
        <w:rPr>
          <w:rFonts w:ascii="Arial" w:eastAsia="Times New Roman" w:hAnsi="Arial" w:cs="Arial"/>
          <w:bCs/>
          <w:iCs/>
          <w:lang w:bidi="en-US"/>
        </w:rPr>
        <w:t>Vandervell</w:t>
      </w:r>
      <w:proofErr w:type="spellEnd"/>
      <w:r w:rsidRPr="005274AA">
        <w:rPr>
          <w:rFonts w:ascii="Arial" w:eastAsia="Times New Roman" w:hAnsi="Arial" w:cs="Arial"/>
          <w:bCs/>
          <w:iCs/>
          <w:lang w:bidi="en-US"/>
        </w:rPr>
        <w:t xml:space="preserve"> Trustees Ltd, “VT”), which henceforth held the option on behalf of an as-yet unidentified beneficiary. VT also acted as trustees for a settlement for V’s children and a retirement and profit-sharing fund related to the company.</w:t>
      </w:r>
    </w:p>
    <w:p w14:paraId="3418E9CF" w14:textId="77777777" w:rsidR="00CB2A32" w:rsidRPr="005274AA" w:rsidRDefault="00CB2A32" w:rsidP="005274AA">
      <w:pPr>
        <w:spacing w:after="120" w:line="480" w:lineRule="auto"/>
        <w:jc w:val="both"/>
        <w:rPr>
          <w:rFonts w:ascii="Arial" w:eastAsia="Times New Roman" w:hAnsi="Arial" w:cs="Arial"/>
          <w:bCs/>
          <w:iCs/>
          <w:lang w:bidi="en-US"/>
        </w:rPr>
      </w:pPr>
      <w:r w:rsidRPr="005274AA">
        <w:rPr>
          <w:rFonts w:ascii="Arial" w:eastAsia="Times New Roman" w:hAnsi="Arial" w:cs="Arial"/>
          <w:b/>
          <w:bCs/>
          <w:iCs/>
          <w:lang w:bidi="en-US"/>
        </w:rPr>
        <w:lastRenderedPageBreak/>
        <w:t>1961</w:t>
      </w:r>
      <w:r w:rsidRPr="005274AA">
        <w:rPr>
          <w:rFonts w:ascii="Arial" w:eastAsia="Times New Roman" w:hAnsi="Arial" w:cs="Arial"/>
          <w:bCs/>
          <w:iCs/>
          <w:lang w:bidi="en-US"/>
        </w:rPr>
        <w:t>: VT exercised the option, using £5,000 from the children’s settlement. It now held the shares on trust for an as-yet unidentified beneficiary.</w:t>
      </w:r>
    </w:p>
    <w:p w14:paraId="3ACE8144" w14:textId="5B7AED61" w:rsidR="00CB2A32" w:rsidRPr="005274AA" w:rsidRDefault="00CB2A32" w:rsidP="005274AA">
      <w:pPr>
        <w:spacing w:after="120" w:line="480" w:lineRule="auto"/>
        <w:jc w:val="both"/>
        <w:rPr>
          <w:rFonts w:ascii="Arial" w:eastAsia="Times New Roman" w:hAnsi="Arial" w:cs="Arial"/>
          <w:bCs/>
          <w:iCs/>
          <w:lang w:bidi="en-US"/>
        </w:rPr>
      </w:pPr>
      <w:r w:rsidRPr="005274AA">
        <w:rPr>
          <w:rFonts w:ascii="Arial" w:eastAsia="Times New Roman" w:hAnsi="Arial" w:cs="Arial"/>
          <w:b/>
          <w:bCs/>
          <w:iCs/>
          <w:lang w:bidi="en-US"/>
        </w:rPr>
        <w:t>Sometime before February 1965</w:t>
      </w:r>
      <w:r w:rsidRPr="005274AA">
        <w:rPr>
          <w:rFonts w:ascii="Arial" w:eastAsia="Times New Roman" w:hAnsi="Arial" w:cs="Arial"/>
          <w:bCs/>
          <w:iCs/>
          <w:lang w:bidi="en-US"/>
        </w:rPr>
        <w:t>: The Inland Revenue assessed V as liable to tax on the dividends of the shares between 1958 and 1961. V appealed the decision to the courts, with both the High Court and the Court of Appeal upholding the decision. V appealed to the House of Lords (</w:t>
      </w:r>
      <w:proofErr w:type="spellStart"/>
      <w:r w:rsidRPr="005274AA">
        <w:rPr>
          <w:rFonts w:ascii="Arial" w:eastAsia="Times New Roman" w:hAnsi="Arial" w:cs="Arial"/>
          <w:bCs/>
          <w:i/>
          <w:iCs/>
          <w:u w:val="single"/>
          <w:lang w:bidi="en-US"/>
        </w:rPr>
        <w:t>Vandervell</w:t>
      </w:r>
      <w:proofErr w:type="spellEnd"/>
      <w:r w:rsidRPr="005274AA">
        <w:rPr>
          <w:rFonts w:ascii="Arial" w:eastAsia="Times New Roman" w:hAnsi="Arial" w:cs="Arial"/>
          <w:bCs/>
          <w:i/>
          <w:iCs/>
          <w:u w:val="single"/>
          <w:lang w:bidi="en-US"/>
        </w:rPr>
        <w:t xml:space="preserve"> v IRC</w:t>
      </w:r>
      <w:r w:rsidRPr="005274AA">
        <w:rPr>
          <w:rFonts w:ascii="Arial" w:eastAsia="Times New Roman" w:hAnsi="Arial" w:cs="Arial"/>
          <w:bCs/>
          <w:iCs/>
          <w:u w:val="single"/>
          <w:lang w:bidi="en-US"/>
        </w:rPr>
        <w:t xml:space="preserve"> [1967] 2 AC 291</w:t>
      </w:r>
      <w:r w:rsidRPr="005274AA">
        <w:rPr>
          <w:rFonts w:ascii="Arial" w:eastAsia="Times New Roman" w:hAnsi="Arial" w:cs="Arial"/>
          <w:bCs/>
          <w:iCs/>
          <w:lang w:bidi="en-US"/>
        </w:rPr>
        <w:t>). Here, the Inland Revenue argued that V had failed to dispose of his beneficial ownership of the shares in 1958, as the disposition should have been made in writing; this a</w:t>
      </w:r>
      <w:r w:rsidR="007E2515" w:rsidRPr="005274AA">
        <w:rPr>
          <w:rFonts w:ascii="Arial" w:eastAsia="Times New Roman" w:hAnsi="Arial" w:cs="Arial"/>
          <w:bCs/>
          <w:iCs/>
          <w:lang w:bidi="en-US"/>
        </w:rPr>
        <w:t>rgument was rejected</w:t>
      </w:r>
      <w:r w:rsidR="00C81B2D">
        <w:rPr>
          <w:rFonts w:ascii="Arial" w:eastAsia="Times New Roman" w:hAnsi="Arial" w:cs="Arial"/>
          <w:bCs/>
          <w:iCs/>
          <w:lang w:bidi="en-US"/>
        </w:rPr>
        <w:t xml:space="preserve">, as we learned when considering the disposition of beneficial </w:t>
      </w:r>
      <w:r w:rsidR="00C81B2D" w:rsidRPr="00C81B2D">
        <w:rPr>
          <w:rFonts w:ascii="Arial" w:eastAsia="Times New Roman" w:hAnsi="Arial" w:cs="Arial"/>
          <w:bCs/>
          <w:iCs/>
          <w:lang w:bidi="en-US"/>
        </w:rPr>
        <w:t>interests</w:t>
      </w:r>
      <w:r w:rsidRPr="00C81B2D">
        <w:rPr>
          <w:rFonts w:ascii="Arial" w:eastAsia="Times New Roman" w:hAnsi="Arial" w:cs="Arial"/>
          <w:bCs/>
          <w:iCs/>
          <w:lang w:bidi="en-US"/>
        </w:rPr>
        <w:t>. However</w:t>
      </w:r>
      <w:r w:rsidRPr="005274AA">
        <w:rPr>
          <w:rFonts w:ascii="Arial" w:eastAsia="Times New Roman" w:hAnsi="Arial" w:cs="Arial"/>
          <w:bCs/>
          <w:iCs/>
          <w:lang w:bidi="en-US"/>
        </w:rPr>
        <w:t xml:space="preserve">, the court found (on a 2:1 majority, Lord Donovan dissenting) that the option had been held since 1958 on a resulting trust for V, who was therefore liable to tax in relation to the dividends paid on the underlying shares. The reasoning was that the option had in reality been a condition for the gift, and that it had therefore not been granted by the RCS but by V himself. In the absence of a specified beneficiary and of evidence that the option was to be held by VT absolutely, V was held to have retained the beneficial interest in the option on an automatic resulting trust. Lord Wilberforce, at 329, dismissed the contention that this case was about a presumed resulting trust: </w:t>
      </w:r>
    </w:p>
    <w:p w14:paraId="1F41EA18" w14:textId="77DBE867" w:rsidR="00CB2A32" w:rsidRPr="005274AA" w:rsidRDefault="001E1C7A" w:rsidP="005274AA">
      <w:pPr>
        <w:spacing w:after="120" w:line="480" w:lineRule="auto"/>
        <w:ind w:left="720"/>
        <w:jc w:val="both"/>
        <w:rPr>
          <w:rFonts w:ascii="Arial" w:eastAsia="MS Mincho" w:hAnsi="Arial" w:cs="Arial"/>
          <w:lang w:bidi="en-US"/>
        </w:rPr>
      </w:pPr>
      <w:r w:rsidRPr="005274AA">
        <w:rPr>
          <w:rFonts w:ascii="Arial" w:eastAsia="Times New Roman" w:hAnsi="Arial" w:cs="Arial"/>
          <w:bCs/>
          <w:iCs/>
          <w:lang w:bidi="en-US"/>
        </w:rPr>
        <w:t xml:space="preserve">“The Court of Appeal, starting from the fact that the trustee company took the option as a volunteer, thought that this was a case where the presumption of a resulting trust arose and was not displaced. For my part, I prefer a slightly different and simpler approach. The transaction has been investigated on the evidence of the settlor and his agent and the facts have been found. There is no need, or room, as I see it, to invoke a presumption. The conclusion, on the facts found, is simply that the option was vested in the trustee company as a trustee on trusts, not defined at the time, possibly to be defined later. But the equitable, or beneficial interest, cannot remain in the air: the consequence in law must be that it remains in the settlor. There is no need to consider some of the more refined intellectualities of the doctrine of resulting trust, nor to speculate whether, in possible circumstances, the shares might be applicable for Mr. </w:t>
      </w:r>
      <w:proofErr w:type="spellStart"/>
      <w:r w:rsidRPr="005274AA">
        <w:rPr>
          <w:rFonts w:ascii="Arial" w:eastAsia="Times New Roman" w:hAnsi="Arial" w:cs="Arial"/>
          <w:bCs/>
          <w:iCs/>
          <w:lang w:bidi="en-US"/>
        </w:rPr>
        <w:lastRenderedPageBreak/>
        <w:t>Vandervell's</w:t>
      </w:r>
      <w:proofErr w:type="spellEnd"/>
      <w:r w:rsidRPr="005274AA">
        <w:rPr>
          <w:rFonts w:ascii="Arial" w:eastAsia="Times New Roman" w:hAnsi="Arial" w:cs="Arial"/>
          <w:bCs/>
          <w:iCs/>
          <w:lang w:bidi="en-US"/>
        </w:rPr>
        <w:t xml:space="preserve"> benefit: he had, as the direct result of the option and of the failure to place the beneficial interest in it securely away from him, not divested himself absolutely of the shares which it controlled.”</w:t>
      </w:r>
    </w:p>
    <w:p w14:paraId="3EBE4CC5" w14:textId="77777777" w:rsidR="00CB2A32" w:rsidRPr="005274AA" w:rsidRDefault="00CB2A32" w:rsidP="005274AA">
      <w:pPr>
        <w:spacing w:after="120" w:line="480" w:lineRule="auto"/>
        <w:jc w:val="both"/>
        <w:rPr>
          <w:rFonts w:ascii="Arial" w:eastAsia="Times New Roman" w:hAnsi="Arial" w:cs="Arial"/>
          <w:bCs/>
          <w:iCs/>
          <w:lang w:bidi="en-US"/>
        </w:rPr>
      </w:pPr>
      <w:r w:rsidRPr="005274AA">
        <w:rPr>
          <w:rFonts w:ascii="Arial" w:eastAsia="Times New Roman" w:hAnsi="Arial" w:cs="Arial"/>
          <w:b/>
          <w:bCs/>
          <w:iCs/>
          <w:lang w:bidi="en-US"/>
        </w:rPr>
        <w:t>1965</w:t>
      </w:r>
      <w:r w:rsidRPr="005274AA">
        <w:rPr>
          <w:rFonts w:ascii="Arial" w:eastAsia="Times New Roman" w:hAnsi="Arial" w:cs="Arial"/>
          <w:bCs/>
          <w:iCs/>
          <w:lang w:bidi="en-US"/>
        </w:rPr>
        <w:t xml:space="preserve">: V executed a deed with which he transferred any rights he might have retained in the option to VT, to be held on trust for the children’s settlement. </w:t>
      </w:r>
    </w:p>
    <w:p w14:paraId="2594084C" w14:textId="77777777" w:rsidR="00CB2A32" w:rsidRPr="005274AA" w:rsidRDefault="00CB2A32" w:rsidP="005274AA">
      <w:pPr>
        <w:spacing w:after="120" w:line="480" w:lineRule="auto"/>
        <w:jc w:val="both"/>
        <w:rPr>
          <w:rFonts w:ascii="Arial" w:eastAsia="Times New Roman" w:hAnsi="Arial" w:cs="Arial"/>
          <w:bCs/>
          <w:iCs/>
          <w:lang w:bidi="en-US"/>
        </w:rPr>
      </w:pPr>
      <w:r w:rsidRPr="005274AA">
        <w:rPr>
          <w:rFonts w:ascii="Arial" w:eastAsia="Times New Roman" w:hAnsi="Arial" w:cs="Arial"/>
          <w:b/>
          <w:bCs/>
          <w:iCs/>
          <w:lang w:bidi="en-US"/>
        </w:rPr>
        <w:t>1967</w:t>
      </w:r>
      <w:r w:rsidRPr="005274AA">
        <w:rPr>
          <w:rFonts w:ascii="Arial" w:eastAsia="Times New Roman" w:hAnsi="Arial" w:cs="Arial"/>
          <w:bCs/>
          <w:iCs/>
          <w:lang w:bidi="en-US"/>
        </w:rPr>
        <w:t xml:space="preserve">: V died. </w:t>
      </w:r>
    </w:p>
    <w:p w14:paraId="0DFE5B71" w14:textId="5C3548F9" w:rsidR="005274AA" w:rsidRDefault="00CB2A32" w:rsidP="005274AA">
      <w:pPr>
        <w:spacing w:after="120" w:line="480" w:lineRule="auto"/>
        <w:jc w:val="both"/>
        <w:rPr>
          <w:rFonts w:ascii="Arial" w:eastAsia="Times New Roman" w:hAnsi="Arial" w:cs="Arial"/>
          <w:bCs/>
          <w:iCs/>
          <w:lang w:bidi="en-US"/>
        </w:rPr>
      </w:pPr>
      <w:r w:rsidRPr="005274AA">
        <w:rPr>
          <w:rFonts w:ascii="Arial" w:eastAsia="Times New Roman" w:hAnsi="Arial" w:cs="Arial"/>
          <w:b/>
          <w:bCs/>
          <w:iCs/>
          <w:lang w:bidi="en-US"/>
        </w:rPr>
        <w:t>1968</w:t>
      </w:r>
      <w:r w:rsidRPr="005274AA">
        <w:rPr>
          <w:rFonts w:ascii="Arial" w:eastAsia="Times New Roman" w:hAnsi="Arial" w:cs="Arial"/>
          <w:bCs/>
          <w:iCs/>
          <w:lang w:bidi="en-US"/>
        </w:rPr>
        <w:t>: V’s executors brought an action against VT, claiming that between 1961 and 1965 the 100,000 shares were held on behalf of V and that the dividends paid during this period therefore formed part of V’s estate. VT said the shares were held on behalf of the children’s settlement. The executors were successful at first instance (</w:t>
      </w:r>
      <w:proofErr w:type="spellStart"/>
      <w:r w:rsidRPr="005274AA">
        <w:rPr>
          <w:rFonts w:ascii="Arial" w:eastAsia="Times New Roman" w:hAnsi="Arial" w:cs="Arial"/>
          <w:bCs/>
          <w:iCs/>
          <w:lang w:bidi="en-US"/>
        </w:rPr>
        <w:t>Megarry</w:t>
      </w:r>
      <w:proofErr w:type="spellEnd"/>
      <w:r w:rsidRPr="005274AA">
        <w:rPr>
          <w:rFonts w:ascii="Arial" w:eastAsia="Times New Roman" w:hAnsi="Arial" w:cs="Arial"/>
          <w:bCs/>
          <w:iCs/>
          <w:lang w:bidi="en-US"/>
        </w:rPr>
        <w:t xml:space="preserve"> J giving judgment), but the decision was overturned by </w:t>
      </w:r>
      <w:r w:rsidR="00C81B2D">
        <w:rPr>
          <w:rFonts w:ascii="Arial" w:eastAsia="Times New Roman" w:hAnsi="Arial" w:cs="Arial"/>
          <w:bCs/>
          <w:iCs/>
          <w:lang w:bidi="en-US"/>
        </w:rPr>
        <w:t xml:space="preserve">Lord Denning at </w:t>
      </w:r>
      <w:r w:rsidRPr="005274AA">
        <w:rPr>
          <w:rFonts w:ascii="Arial" w:eastAsia="Times New Roman" w:hAnsi="Arial" w:cs="Arial"/>
          <w:bCs/>
          <w:iCs/>
          <w:lang w:bidi="en-US"/>
        </w:rPr>
        <w:t>the Court of Appeal</w:t>
      </w:r>
      <w:r w:rsidR="00C81B2D">
        <w:rPr>
          <w:rFonts w:ascii="Arial" w:eastAsia="Times New Roman" w:hAnsi="Arial" w:cs="Arial"/>
          <w:bCs/>
          <w:iCs/>
          <w:lang w:bidi="en-US"/>
        </w:rPr>
        <w:t xml:space="preserve"> (note that </w:t>
      </w:r>
      <w:r w:rsidRPr="005274AA">
        <w:rPr>
          <w:rFonts w:ascii="Arial" w:eastAsia="Times New Roman" w:hAnsi="Arial" w:cs="Arial"/>
          <w:bCs/>
          <w:i/>
          <w:iCs/>
          <w:u w:val="single"/>
          <w:lang w:bidi="en-US"/>
        </w:rPr>
        <w:t xml:space="preserve">Re </w:t>
      </w:r>
      <w:proofErr w:type="spellStart"/>
      <w:r w:rsidRPr="005274AA">
        <w:rPr>
          <w:rFonts w:ascii="Arial" w:eastAsia="Times New Roman" w:hAnsi="Arial" w:cs="Arial"/>
          <w:bCs/>
          <w:i/>
          <w:iCs/>
          <w:u w:val="single"/>
          <w:lang w:bidi="en-US"/>
        </w:rPr>
        <w:t>Vandervell’s</w:t>
      </w:r>
      <w:proofErr w:type="spellEnd"/>
      <w:r w:rsidRPr="005274AA">
        <w:rPr>
          <w:rFonts w:ascii="Arial" w:eastAsia="Times New Roman" w:hAnsi="Arial" w:cs="Arial"/>
          <w:bCs/>
          <w:i/>
          <w:iCs/>
          <w:u w:val="single"/>
          <w:lang w:bidi="en-US"/>
        </w:rPr>
        <w:t xml:space="preserve"> Trusts (No 2)</w:t>
      </w:r>
      <w:r w:rsidRPr="005274AA">
        <w:rPr>
          <w:rFonts w:ascii="Arial" w:eastAsia="Times New Roman" w:hAnsi="Arial" w:cs="Arial"/>
          <w:bCs/>
          <w:iCs/>
          <w:u w:val="single"/>
          <w:lang w:bidi="en-US"/>
        </w:rPr>
        <w:t xml:space="preserve"> [1974] Ch 269</w:t>
      </w:r>
      <w:r w:rsidRPr="005274AA">
        <w:rPr>
          <w:rFonts w:ascii="Arial" w:eastAsia="Times New Roman" w:hAnsi="Arial" w:cs="Arial"/>
          <w:bCs/>
          <w:iCs/>
          <w:lang w:bidi="en-US"/>
        </w:rPr>
        <w:t xml:space="preserve"> contains both </w:t>
      </w:r>
      <w:proofErr w:type="spellStart"/>
      <w:r w:rsidRPr="005274AA">
        <w:rPr>
          <w:rFonts w:ascii="Arial" w:eastAsia="Times New Roman" w:hAnsi="Arial" w:cs="Arial"/>
          <w:bCs/>
          <w:iCs/>
          <w:lang w:bidi="en-US"/>
        </w:rPr>
        <w:t>Megarry</w:t>
      </w:r>
      <w:proofErr w:type="spellEnd"/>
      <w:r w:rsidRPr="005274AA">
        <w:rPr>
          <w:rFonts w:ascii="Arial" w:eastAsia="Times New Roman" w:hAnsi="Arial" w:cs="Arial"/>
          <w:bCs/>
          <w:iCs/>
          <w:lang w:bidi="en-US"/>
        </w:rPr>
        <w:t xml:space="preserve"> J’s and the Court of Appeal’s judgments</w:t>
      </w:r>
      <w:r w:rsidR="00C81B2D">
        <w:rPr>
          <w:rFonts w:ascii="Arial" w:eastAsia="Times New Roman" w:hAnsi="Arial" w:cs="Arial"/>
          <w:bCs/>
          <w:iCs/>
          <w:lang w:bidi="en-US"/>
        </w:rPr>
        <w:t>)</w:t>
      </w:r>
      <w:r w:rsidRPr="005274AA">
        <w:rPr>
          <w:rFonts w:ascii="Arial" w:eastAsia="Times New Roman" w:hAnsi="Arial" w:cs="Arial"/>
          <w:bCs/>
          <w:iCs/>
          <w:lang w:bidi="en-US"/>
        </w:rPr>
        <w:t xml:space="preserve">. </w:t>
      </w:r>
      <w:r w:rsidR="00C81B2D">
        <w:rPr>
          <w:rFonts w:ascii="Arial" w:eastAsia="Times New Roman" w:hAnsi="Arial" w:cs="Arial"/>
          <w:bCs/>
          <w:iCs/>
          <w:lang w:bidi="en-US"/>
        </w:rPr>
        <w:t xml:space="preserve">At first instance, </w:t>
      </w:r>
      <w:proofErr w:type="spellStart"/>
      <w:r w:rsidRPr="005274AA">
        <w:rPr>
          <w:rFonts w:ascii="Arial" w:eastAsia="Times New Roman" w:hAnsi="Arial" w:cs="Arial"/>
          <w:bCs/>
          <w:iCs/>
          <w:lang w:bidi="en-US"/>
        </w:rPr>
        <w:t>Megarry</w:t>
      </w:r>
      <w:proofErr w:type="spellEnd"/>
      <w:r w:rsidRPr="005274AA">
        <w:rPr>
          <w:rFonts w:ascii="Arial" w:eastAsia="Times New Roman" w:hAnsi="Arial" w:cs="Arial"/>
          <w:bCs/>
          <w:iCs/>
          <w:lang w:bidi="en-US"/>
        </w:rPr>
        <w:t xml:space="preserve"> J revisited the question of whether the option had been held on trust, setting out his views on the mechanism of the resulting trust at 294-295:</w:t>
      </w:r>
    </w:p>
    <w:p w14:paraId="55FC61FF" w14:textId="3C433F08" w:rsidR="001E1C7A" w:rsidRPr="005274AA" w:rsidRDefault="001E1C7A" w:rsidP="005274AA">
      <w:pPr>
        <w:spacing w:after="120" w:line="480" w:lineRule="auto"/>
        <w:ind w:left="720"/>
        <w:jc w:val="both"/>
        <w:rPr>
          <w:rFonts w:ascii="Arial" w:eastAsia="Times New Roman" w:hAnsi="Arial" w:cs="Arial"/>
          <w:bCs/>
          <w:iCs/>
          <w:lang w:bidi="en-US"/>
        </w:rPr>
      </w:pPr>
      <w:r w:rsidRPr="005274AA">
        <w:rPr>
          <w:rFonts w:ascii="Arial" w:eastAsia="Times New Roman" w:hAnsi="Arial" w:cs="Arial"/>
          <w:bCs/>
          <w:iCs/>
          <w:lang w:bidi="en-US"/>
        </w:rPr>
        <w:t xml:space="preserve">“(1) If a transaction fails to make any effective disposition of any interest it does nothing. This is so at law and in </w:t>
      </w:r>
      <w:proofErr w:type="gramStart"/>
      <w:r w:rsidRPr="005274AA">
        <w:rPr>
          <w:rFonts w:ascii="Arial" w:eastAsia="Times New Roman" w:hAnsi="Arial" w:cs="Arial"/>
          <w:bCs/>
          <w:iCs/>
          <w:lang w:bidi="en-US"/>
        </w:rPr>
        <w:t>equity, and</w:t>
      </w:r>
      <w:proofErr w:type="gramEnd"/>
      <w:r w:rsidRPr="005274AA">
        <w:rPr>
          <w:rFonts w:ascii="Arial" w:eastAsia="Times New Roman" w:hAnsi="Arial" w:cs="Arial"/>
          <w:bCs/>
          <w:iCs/>
          <w:lang w:bidi="en-US"/>
        </w:rPr>
        <w:t xml:space="preserve"> has nothing to do with resulting trusts. (2) Normally the mere existence of some unexpressed intention in the breast of the owner of the property does nothing: there must at least be some expression of that intention before it can </w:t>
      </w:r>
      <w:proofErr w:type="spellStart"/>
      <w:proofErr w:type="gramStart"/>
      <w:r w:rsidRPr="005274AA">
        <w:rPr>
          <w:rFonts w:ascii="Arial" w:eastAsia="Times New Roman" w:hAnsi="Arial" w:cs="Arial"/>
          <w:bCs/>
          <w:iCs/>
          <w:lang w:bidi="en-US"/>
        </w:rPr>
        <w:t>effect</w:t>
      </w:r>
      <w:proofErr w:type="spellEnd"/>
      <w:proofErr w:type="gramEnd"/>
      <w:r w:rsidRPr="005274AA">
        <w:rPr>
          <w:rFonts w:ascii="Arial" w:eastAsia="Times New Roman" w:hAnsi="Arial" w:cs="Arial"/>
          <w:bCs/>
          <w:iCs/>
          <w:lang w:bidi="en-US"/>
        </w:rPr>
        <w:t xml:space="preserve"> any result. To yearn is not to transfer. (3) Before any doctrine of resulting trust can come into play, there must at least be some effective transaction which transfers or creates some interest in property. (4) Where A effectually transfers to B (or creates in his favour) any interest in any property, whether legal or equitable, a resulting trust for A may arise in two distinct classes of case. For simplicity, I shall confine my statement to cases in which the transfer or creation is made without B providing any valuable consideration, and where no presumption of advancement can arise; and I shall state the position for transfers without specific mention of the creation of new interests.</w:t>
      </w:r>
    </w:p>
    <w:p w14:paraId="4E486561" w14:textId="10140831" w:rsidR="001E1C7A" w:rsidRPr="005274AA" w:rsidRDefault="001E1C7A" w:rsidP="005274AA">
      <w:pPr>
        <w:spacing w:after="120" w:line="480" w:lineRule="auto"/>
        <w:ind w:left="720"/>
        <w:jc w:val="both"/>
        <w:rPr>
          <w:rFonts w:ascii="Arial" w:eastAsia="Times New Roman" w:hAnsi="Arial" w:cs="Arial"/>
          <w:bCs/>
          <w:iCs/>
          <w:lang w:bidi="en-US"/>
        </w:rPr>
      </w:pPr>
      <w:r w:rsidRPr="005274AA">
        <w:rPr>
          <w:rFonts w:ascii="Arial" w:eastAsia="Times New Roman" w:hAnsi="Arial" w:cs="Arial"/>
          <w:bCs/>
          <w:iCs/>
          <w:lang w:bidi="en-US"/>
        </w:rPr>
        <w:lastRenderedPageBreak/>
        <w:t xml:space="preserve">(a) The first class of case is where the transfer to B is not made on any trust. If, of course, it appears from the transfer that B is intended to hold on certain trusts, that will be decisive, and the case is not within this category; and </w:t>
      </w:r>
      <w:proofErr w:type="gramStart"/>
      <w:r w:rsidRPr="005274AA">
        <w:rPr>
          <w:rFonts w:ascii="Arial" w:eastAsia="Times New Roman" w:hAnsi="Arial" w:cs="Arial"/>
          <w:bCs/>
          <w:iCs/>
          <w:lang w:bidi="en-US"/>
        </w:rPr>
        <w:t>similarly</w:t>
      </w:r>
      <w:proofErr w:type="gramEnd"/>
      <w:r w:rsidRPr="005274AA">
        <w:rPr>
          <w:rFonts w:ascii="Arial" w:eastAsia="Times New Roman" w:hAnsi="Arial" w:cs="Arial"/>
          <w:bCs/>
          <w:iCs/>
          <w:lang w:bidi="en-US"/>
        </w:rPr>
        <w:t xml:space="preserve"> if it appears that B is intended to take beneficially. But in other cases there is a rebuttable presumption that B holds on a resulting trust for A, The question is not one of the automatic consequences of a dispositive failure by A, but one of presumption: the property has been carried to B, and from the absence of consideration and any presumption of advancement B is presumed not only to hold the entire interest on trust, but also to hold the beneficial interest for </w:t>
      </w:r>
      <w:proofErr w:type="spellStart"/>
      <w:r w:rsidRPr="005274AA">
        <w:rPr>
          <w:rFonts w:ascii="Arial" w:eastAsia="Times New Roman" w:hAnsi="Arial" w:cs="Arial"/>
          <w:bCs/>
          <w:iCs/>
          <w:lang w:bidi="en-US"/>
        </w:rPr>
        <w:t>A</w:t>
      </w:r>
      <w:proofErr w:type="spellEnd"/>
      <w:r w:rsidRPr="005274AA">
        <w:rPr>
          <w:rFonts w:ascii="Arial" w:eastAsia="Times New Roman" w:hAnsi="Arial" w:cs="Arial"/>
          <w:bCs/>
          <w:iCs/>
          <w:lang w:bidi="en-US"/>
        </w:rPr>
        <w:t xml:space="preserve"> absolutely. The presumption thus establishes both that B is to take on trust and also what that trust is. Such </w:t>
      </w:r>
      <w:r w:rsidR="00B8471A" w:rsidRPr="005274AA">
        <w:rPr>
          <w:rFonts w:ascii="Arial" w:eastAsia="Times New Roman" w:hAnsi="Arial" w:cs="Arial"/>
          <w:bCs/>
          <w:iCs/>
          <w:lang w:bidi="en-US"/>
        </w:rPr>
        <w:t>resulting trusts may be called ‘</w:t>
      </w:r>
      <w:r w:rsidRPr="005274AA">
        <w:rPr>
          <w:rFonts w:ascii="Arial" w:eastAsia="Times New Roman" w:hAnsi="Arial" w:cs="Arial"/>
          <w:bCs/>
          <w:iCs/>
          <w:lang w:bidi="en-US"/>
        </w:rPr>
        <w:t>presumed res</w:t>
      </w:r>
      <w:r w:rsidR="00B8471A" w:rsidRPr="005274AA">
        <w:rPr>
          <w:rFonts w:ascii="Arial" w:eastAsia="Times New Roman" w:hAnsi="Arial" w:cs="Arial"/>
          <w:bCs/>
          <w:iCs/>
          <w:lang w:bidi="en-US"/>
        </w:rPr>
        <w:t>ulting trusts.’</w:t>
      </w:r>
    </w:p>
    <w:p w14:paraId="4A6609BD" w14:textId="0C9B0E27" w:rsidR="001E1C7A" w:rsidRPr="005274AA" w:rsidRDefault="001E1C7A" w:rsidP="005274AA">
      <w:pPr>
        <w:spacing w:after="120" w:line="480" w:lineRule="auto"/>
        <w:ind w:left="720"/>
        <w:jc w:val="both"/>
        <w:rPr>
          <w:rFonts w:ascii="Arial" w:eastAsia="Times New Roman" w:hAnsi="Arial" w:cs="Arial"/>
          <w:bCs/>
          <w:iCs/>
          <w:lang w:bidi="en-US"/>
        </w:rPr>
      </w:pPr>
      <w:r w:rsidRPr="005274AA">
        <w:rPr>
          <w:rFonts w:ascii="Arial" w:eastAsia="Times New Roman" w:hAnsi="Arial" w:cs="Arial"/>
          <w:bCs/>
          <w:iCs/>
          <w:lang w:bidi="en-US"/>
        </w:rPr>
        <w:t xml:space="preserve">(b) The second class of case is where the transfer to B is made on trusts which leave some or all of the beneficial interest undisposed of. Here B automatically holds on a resulting trust for A to the extent that the beneficial interest has not been carried to him or others. The resulting trust here does not depend on any intentions or </w:t>
      </w:r>
      <w:proofErr w:type="gramStart"/>
      <w:r w:rsidRPr="005274AA">
        <w:rPr>
          <w:rFonts w:ascii="Arial" w:eastAsia="Times New Roman" w:hAnsi="Arial" w:cs="Arial"/>
          <w:bCs/>
          <w:iCs/>
          <w:lang w:bidi="en-US"/>
        </w:rPr>
        <w:t>presumptions, but</w:t>
      </w:r>
      <w:proofErr w:type="gramEnd"/>
      <w:r w:rsidRPr="005274AA">
        <w:rPr>
          <w:rFonts w:ascii="Arial" w:eastAsia="Times New Roman" w:hAnsi="Arial" w:cs="Arial"/>
          <w:bCs/>
          <w:iCs/>
          <w:lang w:bidi="en-US"/>
        </w:rPr>
        <w:t xml:space="preserve"> is the automatic consequence of A's failure to dispose of what is vested in him. Since ex </w:t>
      </w:r>
      <w:proofErr w:type="spellStart"/>
      <w:r w:rsidRPr="005274AA">
        <w:rPr>
          <w:rFonts w:ascii="Arial" w:eastAsia="Times New Roman" w:hAnsi="Arial" w:cs="Arial"/>
          <w:bCs/>
          <w:iCs/>
          <w:lang w:bidi="en-US"/>
        </w:rPr>
        <w:t>hypothesi</w:t>
      </w:r>
      <w:proofErr w:type="spellEnd"/>
      <w:r w:rsidRPr="005274AA">
        <w:rPr>
          <w:rFonts w:ascii="Arial" w:eastAsia="Times New Roman" w:hAnsi="Arial" w:cs="Arial"/>
          <w:bCs/>
          <w:iCs/>
          <w:lang w:bidi="en-US"/>
        </w:rPr>
        <w:t xml:space="preserve"> the transfer is on trust, the resulting trust does not establish the trust but merely carries back to A the beneficial interest that has not been disposed of. Such resulting trusts may be call</w:t>
      </w:r>
      <w:r w:rsidR="00B8471A" w:rsidRPr="005274AA">
        <w:rPr>
          <w:rFonts w:ascii="Arial" w:eastAsia="Times New Roman" w:hAnsi="Arial" w:cs="Arial"/>
          <w:bCs/>
          <w:iCs/>
          <w:lang w:bidi="en-US"/>
        </w:rPr>
        <w:t>ed ‘automatic resulting trusts.’</w:t>
      </w:r>
    </w:p>
    <w:p w14:paraId="41610845" w14:textId="67132A6E" w:rsidR="00CB2A32" w:rsidRPr="005274AA" w:rsidRDefault="001E1C7A" w:rsidP="005274AA">
      <w:pPr>
        <w:spacing w:after="120" w:line="480" w:lineRule="auto"/>
        <w:ind w:left="720"/>
        <w:jc w:val="both"/>
        <w:rPr>
          <w:rFonts w:ascii="Arial" w:eastAsia="MS Mincho" w:hAnsi="Arial" w:cs="Arial"/>
          <w:lang w:bidi="en-US"/>
        </w:rPr>
      </w:pPr>
      <w:r w:rsidRPr="005274AA">
        <w:rPr>
          <w:rFonts w:ascii="Arial" w:eastAsia="Times New Roman" w:hAnsi="Arial" w:cs="Arial"/>
          <w:bCs/>
          <w:iCs/>
          <w:lang w:bidi="en-US"/>
        </w:rPr>
        <w:t>(5) Where trustees hold property in trust for A, and it is they who, at A's direction, make the transfer to B, similar principles apply, even though on the face of the transaction the transferor appears to be the trustees and not A. If the transfer to B is on trust, B will hold any beneficial interest that has not been effectually disposed of on an automatic resulting trust for the true transferor, A. If the transfer to B is not on trust, there will be a rebuttable presumption that B holds on a resulting trust for A.”</w:t>
      </w:r>
    </w:p>
    <w:p w14:paraId="42870FD7" w14:textId="6E24985B" w:rsidR="00CB2A32" w:rsidRDefault="00CB2A32" w:rsidP="005274AA">
      <w:pPr>
        <w:spacing w:after="120" w:line="480" w:lineRule="auto"/>
        <w:jc w:val="both"/>
        <w:rPr>
          <w:rFonts w:ascii="Arial" w:eastAsia="Times New Roman" w:hAnsi="Arial" w:cs="Arial"/>
          <w:bCs/>
          <w:iCs/>
          <w:lang w:bidi="en-US"/>
        </w:rPr>
      </w:pPr>
      <w:proofErr w:type="spellStart"/>
      <w:r w:rsidRPr="00CB2A32">
        <w:rPr>
          <w:rFonts w:ascii="Arial" w:eastAsia="Times New Roman" w:hAnsi="Arial" w:cs="Arial"/>
          <w:bCs/>
          <w:iCs/>
          <w:lang w:bidi="en-US"/>
        </w:rPr>
        <w:t>Megarry</w:t>
      </w:r>
      <w:proofErr w:type="spellEnd"/>
      <w:r w:rsidRPr="00CB2A32">
        <w:rPr>
          <w:rFonts w:ascii="Arial" w:eastAsia="Times New Roman" w:hAnsi="Arial" w:cs="Arial"/>
          <w:bCs/>
          <w:iCs/>
          <w:lang w:bidi="en-US"/>
        </w:rPr>
        <w:t xml:space="preserve"> J, at 298-299, concurred with Lord Wilberforce that this was a case of an automatic resulting trust and dismissed the relevance of intention:</w:t>
      </w:r>
    </w:p>
    <w:p w14:paraId="52777D9A" w14:textId="22109956" w:rsidR="00CB2A32" w:rsidRPr="00CB2A32" w:rsidRDefault="00650E83" w:rsidP="00F358C3">
      <w:pPr>
        <w:spacing w:after="120" w:line="480" w:lineRule="auto"/>
        <w:ind w:left="720"/>
        <w:jc w:val="both"/>
        <w:rPr>
          <w:rFonts w:ascii="Arial" w:eastAsia="Times New Roman" w:hAnsi="Arial" w:cs="Arial"/>
          <w:bCs/>
          <w:iCs/>
          <w:lang w:bidi="en-US"/>
        </w:rPr>
      </w:pPr>
      <w:r>
        <w:rPr>
          <w:rFonts w:ascii="Arial" w:eastAsia="Times New Roman" w:hAnsi="Arial" w:cs="Arial"/>
          <w:bCs/>
          <w:iCs/>
          <w:lang w:bidi="en-US"/>
        </w:rPr>
        <w:lastRenderedPageBreak/>
        <w:t>“</w:t>
      </w:r>
      <w:r w:rsidRPr="00650E83">
        <w:rPr>
          <w:rFonts w:ascii="Arial" w:eastAsia="Times New Roman" w:hAnsi="Arial" w:cs="Arial"/>
          <w:bCs/>
          <w:iCs/>
          <w:lang w:bidi="en-US"/>
        </w:rPr>
        <w:t xml:space="preserve">I do not think that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xml:space="preserve"> ever really concerned himself in any way about the option; he certainly showed no trace of intending that it should be held on the substitutional trusts. I think he was probably interested to the extent of wishing to be kept informed about what happened, but his main interest and concern was to get rid of the shares to the college and not to get them back. Yet I cannot see how an intention not to get the shares back can negative a resulting trust if in the event he made no effective disposition of his beneficial interest in </w:t>
      </w:r>
      <w:proofErr w:type="gramStart"/>
      <w:r w:rsidRPr="00650E83">
        <w:rPr>
          <w:rFonts w:ascii="Arial" w:eastAsia="Times New Roman" w:hAnsi="Arial" w:cs="Arial"/>
          <w:bCs/>
          <w:iCs/>
          <w:lang w:bidi="en-US"/>
        </w:rPr>
        <w:t>them</w:t>
      </w:r>
      <w:proofErr w:type="gramEnd"/>
      <w:r w:rsidRPr="00650E83">
        <w:rPr>
          <w:rFonts w:ascii="Arial" w:eastAsia="Times New Roman" w:hAnsi="Arial" w:cs="Arial"/>
          <w:bCs/>
          <w:iCs/>
          <w:lang w:bidi="en-US"/>
        </w:rPr>
        <w:t xml:space="preserve"> and the operation of equity brought them back to him in ways never considered by him. Whatever may be the position under a presumed resulting trust, I do not see how the donor's intention not to have the beneficial interest can prevail where the resulting trust is automatic. My conclusion is that there is nothing in the evidence before me that warrants any conclusion different from that reached in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xml:space="preserve"> No. 1, namely, that the option was granted to the defendant company on trust, but that no effective trusts were ever established and so the defendant company held the option on a resulting trust for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w:t>
      </w:r>
      <w:r>
        <w:rPr>
          <w:rFonts w:ascii="Arial" w:eastAsia="Times New Roman" w:hAnsi="Arial" w:cs="Arial"/>
          <w:bCs/>
          <w:iCs/>
          <w:lang w:bidi="en-US"/>
        </w:rPr>
        <w:t>”</w:t>
      </w:r>
    </w:p>
    <w:p w14:paraId="4D1A5642" w14:textId="4B03BC80" w:rsidR="00CB2A32" w:rsidRPr="00CB2A32" w:rsidRDefault="00CB2A32" w:rsidP="00F358C3">
      <w:p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 xml:space="preserve">Compare this with the statement about the role that intention plays in the automatic resulting trust by Lord Browne-Wilkinson in </w:t>
      </w:r>
      <w:r w:rsidRPr="00CB2A32">
        <w:rPr>
          <w:rFonts w:ascii="Arial" w:eastAsia="Times New Roman" w:hAnsi="Arial" w:cs="Arial"/>
          <w:bCs/>
          <w:i/>
          <w:iCs/>
          <w:u w:val="single"/>
          <w:lang w:bidi="en-US"/>
        </w:rPr>
        <w:t>Westdeutsche</w:t>
      </w:r>
      <w:r w:rsidRPr="00CB2A32">
        <w:rPr>
          <w:rFonts w:ascii="Arial" w:eastAsia="Times New Roman" w:hAnsi="Arial" w:cs="Arial"/>
          <w:bCs/>
          <w:iCs/>
          <w:lang w:bidi="en-US"/>
        </w:rPr>
        <w:t xml:space="preserve"> above. Do you think </w:t>
      </w:r>
      <w:proofErr w:type="spellStart"/>
      <w:r w:rsidRPr="00CB2A32">
        <w:rPr>
          <w:rFonts w:ascii="Arial" w:eastAsia="Times New Roman" w:hAnsi="Arial" w:cs="Arial"/>
          <w:bCs/>
          <w:iCs/>
          <w:lang w:bidi="en-US"/>
        </w:rPr>
        <w:t>Megarry</w:t>
      </w:r>
      <w:proofErr w:type="spellEnd"/>
      <w:r w:rsidRPr="00CB2A32">
        <w:rPr>
          <w:rFonts w:ascii="Arial" w:eastAsia="Times New Roman" w:hAnsi="Arial" w:cs="Arial"/>
          <w:bCs/>
          <w:iCs/>
          <w:lang w:bidi="en-US"/>
        </w:rPr>
        <w:t xml:space="preserve"> J was right in dismissing V’s intention not to get the shares back? Did Lord Millet provide a better way of making sense of the automatic resulting trust when he stated in </w:t>
      </w:r>
      <w:r w:rsidRPr="00CB2A32">
        <w:rPr>
          <w:rFonts w:ascii="Arial" w:eastAsia="Times New Roman" w:hAnsi="Arial" w:cs="Arial"/>
          <w:bCs/>
          <w:i/>
          <w:iCs/>
          <w:u w:val="single"/>
          <w:lang w:bidi="en-US"/>
        </w:rPr>
        <w:t>Air Jamaica Ltd v Charlton</w:t>
      </w:r>
      <w:r w:rsidRPr="00CB2A32">
        <w:rPr>
          <w:rFonts w:ascii="Arial" w:eastAsia="Times New Roman" w:hAnsi="Arial" w:cs="Arial"/>
          <w:bCs/>
          <w:iCs/>
          <w:u w:val="single"/>
          <w:lang w:bidi="en-US"/>
        </w:rPr>
        <w:t xml:space="preserve"> [1999] 1 WLR 1399</w:t>
      </w:r>
      <w:r w:rsidRPr="00CB2A32">
        <w:rPr>
          <w:rFonts w:ascii="Arial" w:eastAsia="Times New Roman" w:hAnsi="Arial" w:cs="Arial"/>
          <w:bCs/>
          <w:iCs/>
          <w:lang w:bidi="en-US"/>
        </w:rPr>
        <w:t>, at 1412, that a resulting trust arises in “the absence of intention on his [the settlor’s] part to pass a beneficial interest to the recipient?”</w:t>
      </w:r>
    </w:p>
    <w:p w14:paraId="3358E390" w14:textId="77777777" w:rsidR="00650E83" w:rsidRDefault="00CB2A32" w:rsidP="00F358C3">
      <w:pPr>
        <w:spacing w:after="120" w:line="480" w:lineRule="auto"/>
        <w:jc w:val="both"/>
        <w:rPr>
          <w:rFonts w:ascii="Arial" w:eastAsia="Times New Roman" w:hAnsi="Arial" w:cs="Arial"/>
          <w:bCs/>
          <w:iCs/>
          <w:lang w:bidi="en-US"/>
        </w:rPr>
      </w:pPr>
      <w:proofErr w:type="spellStart"/>
      <w:r w:rsidRPr="00CB2A32">
        <w:rPr>
          <w:rFonts w:ascii="Arial" w:eastAsia="Times New Roman" w:hAnsi="Arial" w:cs="Arial"/>
          <w:bCs/>
          <w:iCs/>
          <w:lang w:bidi="en-US"/>
        </w:rPr>
        <w:t>Megarry</w:t>
      </w:r>
      <w:proofErr w:type="spellEnd"/>
      <w:r w:rsidRPr="00CB2A32">
        <w:rPr>
          <w:rFonts w:ascii="Arial" w:eastAsia="Times New Roman" w:hAnsi="Arial" w:cs="Arial"/>
          <w:bCs/>
          <w:iCs/>
          <w:lang w:bidi="en-US"/>
        </w:rPr>
        <w:t xml:space="preserve"> J then dealt with the question whether, once exercised with money from the children’s settlement, the option was held on trust for the children’s settlement (at 299):</w:t>
      </w:r>
    </w:p>
    <w:p w14:paraId="066C0F9A" w14:textId="79286EA6" w:rsidR="00CB2A32" w:rsidRPr="00CB2A32" w:rsidRDefault="00650E83" w:rsidP="00F358C3">
      <w:pPr>
        <w:spacing w:after="120" w:line="480" w:lineRule="auto"/>
        <w:ind w:left="720"/>
        <w:jc w:val="both"/>
        <w:rPr>
          <w:rFonts w:ascii="Arial" w:eastAsia="Times New Roman" w:hAnsi="Arial" w:cs="Arial"/>
          <w:bCs/>
          <w:iCs/>
          <w:lang w:bidi="en-US"/>
        </w:rPr>
      </w:pPr>
      <w:r>
        <w:rPr>
          <w:rFonts w:ascii="Arial" w:eastAsia="Times New Roman" w:hAnsi="Arial" w:cs="Arial"/>
          <w:bCs/>
          <w:iCs/>
          <w:lang w:bidi="en-US"/>
        </w:rPr>
        <w:t>“</w:t>
      </w:r>
      <w:r w:rsidRPr="00650E83">
        <w:rPr>
          <w:rFonts w:ascii="Arial" w:eastAsia="Times New Roman" w:hAnsi="Arial" w:cs="Arial"/>
          <w:bCs/>
          <w:iCs/>
          <w:lang w:bidi="en-US"/>
        </w:rPr>
        <w:t xml:space="preserve">The third issue is that of the effect of exercising the option with £5,000 of the moneys held by the defendant company on the trusts of the children's settlement. I shall deal with this main issue before I turn to estoppel and acquiescence. That issue is, in essence, whether trustees who hold an option on trust for X will hold the shares </w:t>
      </w:r>
      <w:r w:rsidRPr="00650E83">
        <w:rPr>
          <w:rFonts w:ascii="Arial" w:eastAsia="Times New Roman" w:hAnsi="Arial" w:cs="Arial"/>
          <w:bCs/>
          <w:iCs/>
          <w:lang w:bidi="en-US"/>
        </w:rPr>
        <w:lastRenderedPageBreak/>
        <w:t>obtained by exercising that option on trust for Y merely because they used Y's money in exercising the option. Authority apart, my answer would be an unhesitating No. The option belongs to X beneficially, and the money merely exercises rights which belong to X. Let the shares be worth £50,000, so that an option to purchase those shares for £5,000 is worth £45,000, and it will at once be seen what a monstrous result would be produced by allowing trustees to divert from their beneficiary X the benefits of what they hold in trust for him merely because they used Y's money instead of X's.</w:t>
      </w:r>
      <w:r>
        <w:rPr>
          <w:rFonts w:ascii="Arial" w:eastAsia="Times New Roman" w:hAnsi="Arial" w:cs="Arial"/>
          <w:bCs/>
          <w:iCs/>
          <w:lang w:bidi="en-US"/>
        </w:rPr>
        <w:t>”</w:t>
      </w:r>
    </w:p>
    <w:p w14:paraId="4812C41B" w14:textId="2F685431" w:rsidR="00CB2A32" w:rsidRDefault="372CABE0" w:rsidP="372CABE0">
      <w:pPr>
        <w:spacing w:after="120" w:line="480" w:lineRule="auto"/>
        <w:jc w:val="both"/>
        <w:rPr>
          <w:rFonts w:ascii="Arial" w:eastAsia="Times New Roman" w:hAnsi="Arial" w:cs="Arial"/>
          <w:lang w:bidi="en-US"/>
        </w:rPr>
      </w:pPr>
      <w:r w:rsidRPr="372CABE0">
        <w:rPr>
          <w:rFonts w:ascii="Arial" w:eastAsia="Times New Roman" w:hAnsi="Arial" w:cs="Arial"/>
          <w:lang w:bidi="en-US"/>
        </w:rPr>
        <w:t xml:space="preserve">However, Lord Denning MR reversed this finding when the case reached the </w:t>
      </w:r>
      <w:r w:rsidR="00C81B2D">
        <w:rPr>
          <w:rFonts w:ascii="Arial" w:eastAsia="Times New Roman" w:hAnsi="Arial" w:cs="Arial"/>
          <w:lang w:bidi="en-US"/>
        </w:rPr>
        <w:t>Court of Appeal (</w:t>
      </w:r>
      <w:r w:rsidR="00C81B2D" w:rsidRPr="005274AA">
        <w:rPr>
          <w:rFonts w:ascii="Arial" w:eastAsia="Times New Roman" w:hAnsi="Arial" w:cs="Arial"/>
          <w:bCs/>
          <w:i/>
          <w:iCs/>
          <w:u w:val="single"/>
          <w:lang w:bidi="en-US"/>
        </w:rPr>
        <w:t xml:space="preserve">Re </w:t>
      </w:r>
      <w:proofErr w:type="spellStart"/>
      <w:r w:rsidR="00C81B2D" w:rsidRPr="005274AA">
        <w:rPr>
          <w:rFonts w:ascii="Arial" w:eastAsia="Times New Roman" w:hAnsi="Arial" w:cs="Arial"/>
          <w:bCs/>
          <w:i/>
          <w:iCs/>
          <w:u w:val="single"/>
          <w:lang w:bidi="en-US"/>
        </w:rPr>
        <w:t>Vandervell’s</w:t>
      </w:r>
      <w:proofErr w:type="spellEnd"/>
      <w:r w:rsidR="00C81B2D" w:rsidRPr="005274AA">
        <w:rPr>
          <w:rFonts w:ascii="Arial" w:eastAsia="Times New Roman" w:hAnsi="Arial" w:cs="Arial"/>
          <w:bCs/>
          <w:i/>
          <w:iCs/>
          <w:u w:val="single"/>
          <w:lang w:bidi="en-US"/>
        </w:rPr>
        <w:t xml:space="preserve"> Trusts (No 2)</w:t>
      </w:r>
      <w:r w:rsidR="00C81B2D" w:rsidRPr="005274AA">
        <w:rPr>
          <w:rFonts w:ascii="Arial" w:eastAsia="Times New Roman" w:hAnsi="Arial" w:cs="Arial"/>
          <w:bCs/>
          <w:iCs/>
          <w:u w:val="single"/>
          <w:lang w:bidi="en-US"/>
        </w:rPr>
        <w:t xml:space="preserve"> [1974] Ch 269</w:t>
      </w:r>
      <w:r w:rsidR="00C81B2D">
        <w:rPr>
          <w:rFonts w:ascii="Arial" w:eastAsia="Times New Roman" w:hAnsi="Arial" w:cs="Arial"/>
          <w:bCs/>
          <w:iCs/>
          <w:u w:val="single"/>
          <w:lang w:bidi="en-US"/>
        </w:rPr>
        <w:t>)</w:t>
      </w:r>
      <w:r w:rsidRPr="372CABE0">
        <w:rPr>
          <w:rFonts w:ascii="Arial" w:eastAsia="Times New Roman" w:hAnsi="Arial" w:cs="Arial"/>
          <w:lang w:bidi="en-US"/>
        </w:rPr>
        <w:t>. He held, at 319-320, that the shares were held on trust for the children’s settlement:</w:t>
      </w:r>
    </w:p>
    <w:p w14:paraId="0D3AD42F" w14:textId="2B4D619C" w:rsidR="00650E83" w:rsidRPr="00650E83" w:rsidRDefault="00650E83" w:rsidP="00F358C3">
      <w:pPr>
        <w:spacing w:after="120" w:line="480" w:lineRule="auto"/>
        <w:ind w:left="720"/>
        <w:jc w:val="both"/>
        <w:rPr>
          <w:rFonts w:ascii="Arial" w:eastAsia="Times New Roman" w:hAnsi="Arial" w:cs="Arial"/>
          <w:bCs/>
          <w:iCs/>
          <w:lang w:bidi="en-US"/>
        </w:rPr>
      </w:pPr>
      <w:r>
        <w:rPr>
          <w:rFonts w:ascii="Arial" w:eastAsia="Times New Roman" w:hAnsi="Arial" w:cs="Arial"/>
          <w:bCs/>
          <w:iCs/>
          <w:lang w:bidi="en-US"/>
        </w:rPr>
        <w:t>“</w:t>
      </w:r>
      <w:r w:rsidRPr="00650E83">
        <w:rPr>
          <w:rFonts w:ascii="Arial" w:eastAsia="Times New Roman" w:hAnsi="Arial" w:cs="Arial"/>
          <w:bCs/>
          <w:iCs/>
          <w:lang w:bidi="en-US"/>
        </w:rPr>
        <w:t>In October and November 1961, the trustee company exercised the option. They paid £5,000 out of the children's settlement. The Royal College of Surgeons transferred the legal estate in the 100,000 "A" shares to the trustee company. Thereupon the trustee company became the legal owner of the shares. This was a different kind of property altogether. Whereas previously the trustee company had only a chose in action of one kind - an option - it now had a chose in action of a different kind - the actual shares. This trust property was not held by the trustee company beneficially. It was held by them on trust. On this occasion a valid trust was created at the time of the transfer. It was manifested in clear and unmistakable fashion. It was precisely defined. The shares were to be held on the trusts of the children's settlement. The evidence of intention is indisputable: (i) The trustee company used the children's money - £5,000 - with which to acquire the shares. This would be a breach of trust unless they intended the shares to be an addition to the children's settlement. (ii) The trustee company wrote to the revenue authorities the letter of November 2, 1961, decla</w:t>
      </w:r>
      <w:r w:rsidR="00B8471A">
        <w:rPr>
          <w:rFonts w:ascii="Arial" w:eastAsia="Times New Roman" w:hAnsi="Arial" w:cs="Arial"/>
          <w:bCs/>
          <w:iCs/>
          <w:lang w:bidi="en-US"/>
        </w:rPr>
        <w:t>ring expressly that the shares ‘</w:t>
      </w:r>
      <w:r w:rsidRPr="00650E83">
        <w:rPr>
          <w:rFonts w:ascii="Arial" w:eastAsia="Times New Roman" w:hAnsi="Arial" w:cs="Arial"/>
          <w:bCs/>
          <w:iCs/>
          <w:lang w:bidi="en-US"/>
        </w:rPr>
        <w:t xml:space="preserve">will henceforth be held by them upon the trusts </w:t>
      </w:r>
      <w:r w:rsidR="00B8471A">
        <w:rPr>
          <w:rFonts w:ascii="Arial" w:eastAsia="Times New Roman" w:hAnsi="Arial" w:cs="Arial"/>
          <w:bCs/>
          <w:iCs/>
          <w:lang w:bidi="en-US"/>
        </w:rPr>
        <w:t>of the [children's] settlement.’</w:t>
      </w:r>
      <w:r w:rsidRPr="00650E83">
        <w:rPr>
          <w:rFonts w:ascii="Arial" w:eastAsia="Times New Roman" w:hAnsi="Arial" w:cs="Arial"/>
          <w:bCs/>
          <w:iCs/>
          <w:lang w:bidi="en-US"/>
        </w:rPr>
        <w:t xml:space="preserve"> (iii) Thenceforward all the dividends received by the trustees were paid by them to the children's settlement and treated as part of the funds of the settlement. This was all </w:t>
      </w:r>
      <w:r w:rsidRPr="00650E83">
        <w:rPr>
          <w:rFonts w:ascii="Arial" w:eastAsia="Times New Roman" w:hAnsi="Arial" w:cs="Arial"/>
          <w:bCs/>
          <w:iCs/>
          <w:lang w:bidi="en-US"/>
        </w:rPr>
        <w:lastRenderedPageBreak/>
        <w:t xml:space="preserve">done with the full assent of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Such being the intention, clear and manifest, at the time when the shares were conveyed to the trustee company, it is sufficient to create a trust.</w:t>
      </w:r>
    </w:p>
    <w:p w14:paraId="24EAD642" w14:textId="77777777" w:rsidR="00650E83" w:rsidRPr="00650E83" w:rsidRDefault="00650E83" w:rsidP="00F358C3">
      <w:pPr>
        <w:spacing w:after="120" w:line="480" w:lineRule="auto"/>
        <w:ind w:left="720"/>
        <w:jc w:val="both"/>
        <w:rPr>
          <w:rFonts w:ascii="Arial" w:eastAsia="Times New Roman" w:hAnsi="Arial" w:cs="Arial"/>
          <w:bCs/>
          <w:iCs/>
          <w:lang w:bidi="en-US"/>
        </w:rPr>
      </w:pPr>
      <w:r w:rsidRPr="00650E83">
        <w:rPr>
          <w:rFonts w:ascii="Arial" w:eastAsia="Times New Roman" w:hAnsi="Arial" w:cs="Arial"/>
          <w:bCs/>
          <w:iCs/>
          <w:lang w:bidi="en-US"/>
        </w:rPr>
        <w:t xml:space="preserve">Mr. Balcombe for the executors admitted that the intention of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xml:space="preserve"> and the trustee company was that the shares should be held on trust for the children's settlement. But he said that this intention was of no avail. He said that during the first period,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xml:space="preserve"> had an equitable interest in the property, namely, a resulting trust; that he never disposed of this equitable interest (because he never knew he had it): and that in any case it was the disposition of an equitable interest which, under section 53 of the Law of Property Act 1925, had to be in writing, signed by him or his agent, lawfully authorised by him in writing (and there was no such writing produced). He cited Grey v. Inland Revenue Commissioners [1960] A.C. 1 and </w:t>
      </w:r>
      <w:proofErr w:type="spellStart"/>
      <w:r w:rsidRPr="00650E83">
        <w:rPr>
          <w:rFonts w:ascii="Arial" w:eastAsia="Times New Roman" w:hAnsi="Arial" w:cs="Arial"/>
          <w:bCs/>
          <w:iCs/>
          <w:lang w:bidi="en-US"/>
        </w:rPr>
        <w:t>Oughtred</w:t>
      </w:r>
      <w:proofErr w:type="spellEnd"/>
      <w:r w:rsidRPr="00650E83">
        <w:rPr>
          <w:rFonts w:ascii="Arial" w:eastAsia="Times New Roman" w:hAnsi="Arial" w:cs="Arial"/>
          <w:bCs/>
          <w:iCs/>
          <w:lang w:bidi="en-US"/>
        </w:rPr>
        <w:t xml:space="preserve"> v. Inland Revenue Commissioners [1960] A.C. 206.</w:t>
      </w:r>
    </w:p>
    <w:p w14:paraId="545427CB" w14:textId="77777777" w:rsidR="00F358C3" w:rsidRDefault="00650E83" w:rsidP="00F358C3">
      <w:pPr>
        <w:spacing w:after="120" w:line="480" w:lineRule="auto"/>
        <w:ind w:left="720"/>
        <w:jc w:val="both"/>
        <w:rPr>
          <w:rFonts w:ascii="Arial" w:eastAsia="Times New Roman" w:hAnsi="Arial" w:cs="Arial"/>
          <w:bCs/>
          <w:iCs/>
          <w:lang w:bidi="en-US"/>
        </w:rPr>
      </w:pPr>
      <w:r w:rsidRPr="00650E83">
        <w:rPr>
          <w:rFonts w:ascii="Arial" w:eastAsia="Times New Roman" w:hAnsi="Arial" w:cs="Arial"/>
          <w:bCs/>
          <w:iCs/>
          <w:lang w:bidi="en-US"/>
        </w:rPr>
        <w:t xml:space="preserve">There is a complete fallacy in that argument. A resulting trust for the settlor is born and dies without any writing at all. It comes into existence whenever there is a gap in the beneficial ownership. It ceases to exist whenever that gap is filled by someone becoming beneficially entitled. As soon as the gap is filled by the creation or declaration of a valid trust, the resulting trust comes to an end. In this case, before the option was exercised, there was a gap in the beneficial ownership. </w:t>
      </w:r>
      <w:proofErr w:type="gramStart"/>
      <w:r w:rsidRPr="00650E83">
        <w:rPr>
          <w:rFonts w:ascii="Arial" w:eastAsia="Times New Roman" w:hAnsi="Arial" w:cs="Arial"/>
          <w:bCs/>
          <w:iCs/>
          <w:lang w:bidi="en-US"/>
        </w:rPr>
        <w:t>So</w:t>
      </w:r>
      <w:proofErr w:type="gramEnd"/>
      <w:r w:rsidRPr="00650E83">
        <w:rPr>
          <w:rFonts w:ascii="Arial" w:eastAsia="Times New Roman" w:hAnsi="Arial" w:cs="Arial"/>
          <w:bCs/>
          <w:iCs/>
          <w:lang w:bidi="en-US"/>
        </w:rPr>
        <w:t xml:space="preserve"> there was a resulting trust for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xml:space="preserve">. But, as soon as the option was exercised and the shares registered in the trustees' name, there was created a valid trust of the shares in favour of the children's settlement. Not being a trust of land, it could be created without any writing. A trust of </w:t>
      </w:r>
      <w:proofErr w:type="spellStart"/>
      <w:r w:rsidRPr="00650E83">
        <w:rPr>
          <w:rFonts w:ascii="Arial" w:eastAsia="Times New Roman" w:hAnsi="Arial" w:cs="Arial"/>
          <w:bCs/>
          <w:iCs/>
          <w:lang w:bidi="en-US"/>
        </w:rPr>
        <w:t>personalty</w:t>
      </w:r>
      <w:proofErr w:type="spellEnd"/>
      <w:r w:rsidRPr="00650E83">
        <w:rPr>
          <w:rFonts w:ascii="Arial" w:eastAsia="Times New Roman" w:hAnsi="Arial" w:cs="Arial"/>
          <w:bCs/>
          <w:iCs/>
          <w:lang w:bidi="en-US"/>
        </w:rPr>
        <w:t xml:space="preserve"> can be created without writing. Both Mr. </w:t>
      </w:r>
      <w:proofErr w:type="spellStart"/>
      <w:r w:rsidRPr="00650E83">
        <w:rPr>
          <w:rFonts w:ascii="Arial" w:eastAsia="Times New Roman" w:hAnsi="Arial" w:cs="Arial"/>
          <w:bCs/>
          <w:iCs/>
          <w:lang w:bidi="en-US"/>
        </w:rPr>
        <w:t>Vandervell</w:t>
      </w:r>
      <w:proofErr w:type="spellEnd"/>
      <w:r w:rsidRPr="00650E83">
        <w:rPr>
          <w:rFonts w:ascii="Arial" w:eastAsia="Times New Roman" w:hAnsi="Arial" w:cs="Arial"/>
          <w:bCs/>
          <w:iCs/>
          <w:lang w:bidi="en-US"/>
        </w:rPr>
        <w:t xml:space="preserve"> and the trustee company had done everything which needed to be done to make the settlement of these shares binding on them. </w:t>
      </w:r>
      <w:proofErr w:type="gramStart"/>
      <w:r w:rsidRPr="00650E83">
        <w:rPr>
          <w:rFonts w:ascii="Arial" w:eastAsia="Times New Roman" w:hAnsi="Arial" w:cs="Arial"/>
          <w:bCs/>
          <w:iCs/>
          <w:lang w:bidi="en-US"/>
        </w:rPr>
        <w:t>So</w:t>
      </w:r>
      <w:proofErr w:type="gramEnd"/>
      <w:r w:rsidRPr="00650E83">
        <w:rPr>
          <w:rFonts w:ascii="Arial" w:eastAsia="Times New Roman" w:hAnsi="Arial" w:cs="Arial"/>
          <w:bCs/>
          <w:iCs/>
          <w:lang w:bidi="en-US"/>
        </w:rPr>
        <w:t xml:space="preserve"> there was a valid trust: see Milroy v. Lord (1862) 4 De G.F. &amp; J. 264, 274, per Turner L.J.</w:t>
      </w:r>
      <w:r>
        <w:rPr>
          <w:rFonts w:ascii="Arial" w:eastAsia="Times New Roman" w:hAnsi="Arial" w:cs="Arial"/>
          <w:bCs/>
          <w:iCs/>
          <w:lang w:bidi="en-US"/>
        </w:rPr>
        <w:t>”</w:t>
      </w:r>
    </w:p>
    <w:p w14:paraId="19E069FC" w14:textId="616E021E" w:rsidR="001E1C7A" w:rsidRPr="001E1C7A" w:rsidRDefault="6F0A1265" w:rsidP="00F358C3">
      <w:pPr>
        <w:spacing w:after="120" w:line="480" w:lineRule="auto"/>
        <w:jc w:val="both"/>
        <w:rPr>
          <w:rFonts w:ascii="Arial" w:eastAsia="Times New Roman" w:hAnsi="Arial" w:cs="Arial"/>
          <w:bCs/>
          <w:iCs/>
          <w:lang w:bidi="en-US"/>
        </w:rPr>
      </w:pPr>
      <w:r w:rsidRPr="6F0A1265">
        <w:rPr>
          <w:rFonts w:ascii="Arial" w:eastAsia="Times New Roman" w:hAnsi="Arial" w:cs="Arial"/>
          <w:lang w:bidi="en-US"/>
        </w:rPr>
        <w:lastRenderedPageBreak/>
        <w:t xml:space="preserve">Do you find Lord Denning MR’s account of the collapse of the resulting trust convincing, particularly given V’s execution of the deed in 1965? </w:t>
      </w:r>
    </w:p>
    <w:p w14:paraId="47FF2CB0" w14:textId="56E28B5E" w:rsidR="6F0A1265" w:rsidRDefault="6F0A1265" w:rsidP="6F0A1265">
      <w:pPr>
        <w:spacing w:after="120" w:line="480" w:lineRule="auto"/>
        <w:jc w:val="both"/>
        <w:rPr>
          <w:rFonts w:ascii="Arial" w:eastAsia="Times New Roman" w:hAnsi="Arial" w:cs="Arial"/>
          <w:u w:val="single"/>
          <w:lang w:bidi="en-US"/>
        </w:rPr>
      </w:pPr>
    </w:p>
    <w:p w14:paraId="574E7824" w14:textId="028DA45F" w:rsidR="00CB2A32" w:rsidRPr="001E1C7A" w:rsidRDefault="00CB2A32" w:rsidP="001E1C7A">
      <w:pPr>
        <w:spacing w:after="120" w:line="480" w:lineRule="auto"/>
        <w:jc w:val="both"/>
        <w:rPr>
          <w:rFonts w:ascii="Arial" w:eastAsia="Times New Roman" w:hAnsi="Arial" w:cs="Arial"/>
          <w:bCs/>
          <w:iCs/>
          <w:u w:val="single"/>
          <w:lang w:bidi="en-US"/>
        </w:rPr>
      </w:pPr>
      <w:r w:rsidRPr="001E1C7A">
        <w:rPr>
          <w:rFonts w:ascii="Arial" w:eastAsia="Times New Roman" w:hAnsi="Arial" w:cs="Arial"/>
          <w:bCs/>
          <w:iCs/>
          <w:u w:val="single"/>
          <w:lang w:bidi="en-US"/>
        </w:rPr>
        <w:t xml:space="preserve">The </w:t>
      </w:r>
      <w:r w:rsidRPr="001E1C7A">
        <w:rPr>
          <w:rFonts w:ascii="Arial" w:eastAsia="Times New Roman" w:hAnsi="Arial" w:cs="Arial"/>
          <w:bCs/>
          <w:i/>
          <w:u w:val="single"/>
          <w:lang w:bidi="en-US"/>
        </w:rPr>
        <w:t>Quistclose</w:t>
      </w:r>
      <w:r w:rsidRPr="001E1C7A">
        <w:rPr>
          <w:rFonts w:ascii="Arial" w:eastAsia="Times New Roman" w:hAnsi="Arial" w:cs="Arial"/>
          <w:bCs/>
          <w:iCs/>
          <w:u w:val="single"/>
          <w:lang w:bidi="en-US"/>
        </w:rPr>
        <w:t xml:space="preserve"> trust</w:t>
      </w:r>
    </w:p>
    <w:p w14:paraId="7863D32B" w14:textId="77777777" w:rsidR="00CB2A32" w:rsidRPr="00CB2A32" w:rsidRDefault="00CB2A32" w:rsidP="001E1C7A">
      <w:p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 xml:space="preserve">In </w:t>
      </w:r>
      <w:r w:rsidRPr="00CB2A32">
        <w:rPr>
          <w:rFonts w:ascii="Arial" w:eastAsia="Times New Roman" w:hAnsi="Arial" w:cs="Arial"/>
          <w:bCs/>
          <w:i/>
          <w:iCs/>
          <w:u w:val="single"/>
          <w:lang w:bidi="en-US"/>
        </w:rPr>
        <w:t>Barclays Bank Ltd v Quistclose Investments Ltd</w:t>
      </w:r>
      <w:r w:rsidRPr="00CB2A32">
        <w:rPr>
          <w:rFonts w:ascii="Arial" w:eastAsia="Times New Roman" w:hAnsi="Arial" w:cs="Arial"/>
          <w:bCs/>
          <w:iCs/>
          <w:u w:val="single"/>
          <w:lang w:bidi="en-US"/>
        </w:rPr>
        <w:t xml:space="preserve"> [1970] AC 567</w:t>
      </w:r>
      <w:r w:rsidRPr="00CB2A32">
        <w:rPr>
          <w:rFonts w:ascii="Arial" w:eastAsia="Times New Roman" w:hAnsi="Arial" w:cs="Arial"/>
          <w:bCs/>
          <w:iCs/>
          <w:lang w:bidi="en-US"/>
        </w:rPr>
        <w:t xml:space="preserve"> Quistclose Investments Ltd (“Q”) had made a loan to Rolls Razor Ltd (“RR”), a company it knew was already in financial difficulties. The loan was expressly intended to allow RR to pay dividends to its shareholders. </w:t>
      </w:r>
      <w:r w:rsidRPr="000642BF">
        <w:rPr>
          <w:rFonts w:ascii="Arial" w:eastAsia="Times New Roman" w:hAnsi="Arial" w:cs="Arial"/>
          <w:bCs/>
          <w:iCs/>
          <w:color w:val="FF0000"/>
          <w:lang w:bidi="en-US"/>
        </w:rPr>
        <w:t>The loan monies were paid into a separate account held in RR’s name by Barclays Bank, but before the dividends could be paid, RR went into voluntary liquidation</w:t>
      </w:r>
      <w:r w:rsidRPr="00CB2A32">
        <w:rPr>
          <w:rFonts w:ascii="Arial" w:eastAsia="Times New Roman" w:hAnsi="Arial" w:cs="Arial"/>
          <w:bCs/>
          <w:iCs/>
          <w:lang w:bidi="en-US"/>
        </w:rPr>
        <w:t xml:space="preserve">. Barclays Bank, who was also holding other, overdrawn accounts in RR’s name, had known about the purpose of the loan, but sought to offset the overdrafts with the loan monies. Q claimed that it had a proprietary interest in the loan monies, and the House of Lords passed judgement in its favour. </w:t>
      </w:r>
    </w:p>
    <w:p w14:paraId="78781BD9" w14:textId="4368B8D6" w:rsidR="00CB2A32" w:rsidRPr="00CB2A32" w:rsidRDefault="00CB2A32" w:rsidP="001E1C7A">
      <w:p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A number of competing interpretations of the type of trust under which Q obtained a proprietary right in the loan monies have been advanced, amongst them that there was a primary (express) trust for the shareholders, which became impossible to carry out, leading to a secondary (resulting) trust for Q. In the case, this interpretation was adopted by Lord Wilberforce, who delivered the unanimous judgement of the House of Lords and stated at 580:</w:t>
      </w:r>
      <w:r w:rsidR="001E1C7A">
        <w:rPr>
          <w:rFonts w:ascii="Arial" w:eastAsia="Times New Roman" w:hAnsi="Arial" w:cs="Arial"/>
          <w:bCs/>
          <w:iCs/>
          <w:lang w:bidi="en-US"/>
        </w:rPr>
        <w:t xml:space="preserve"> “</w:t>
      </w:r>
      <w:r w:rsidR="001E1C7A" w:rsidRPr="001E1C7A">
        <w:rPr>
          <w:rFonts w:ascii="Arial" w:eastAsia="Times New Roman" w:hAnsi="Arial" w:cs="Arial"/>
          <w:bCs/>
          <w:iCs/>
          <w:lang w:bidi="en-US"/>
        </w:rPr>
        <w:t>That arrangements of this character for the payment of a person’s creditors by a third person, give rise to a relationship of a fiduciary character or trust, in favour, as a primary trust, of the creditors, and secondarily, if the primary trust fails, of the third person, has been recognised in a series of cases over some 150 years.</w:t>
      </w:r>
      <w:r w:rsidR="001E1C7A">
        <w:rPr>
          <w:rFonts w:ascii="Arial" w:eastAsia="Times New Roman" w:hAnsi="Arial" w:cs="Arial"/>
          <w:bCs/>
          <w:iCs/>
          <w:lang w:bidi="en-US"/>
        </w:rPr>
        <w:t>”</w:t>
      </w:r>
    </w:p>
    <w:p w14:paraId="32D15C0E" w14:textId="6AB53524" w:rsidR="00CB2A32" w:rsidRPr="00CB2A32" w:rsidRDefault="00CB2A32" w:rsidP="00CB2A32">
      <w:p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However, while this interpretation may be defensible on policy grounds</w:t>
      </w:r>
      <w:r w:rsidR="00E41F35">
        <w:rPr>
          <w:rFonts w:ascii="Arial" w:eastAsia="Times New Roman" w:hAnsi="Arial" w:cs="Arial"/>
          <w:bCs/>
          <w:iCs/>
          <w:lang w:bidi="en-US"/>
        </w:rPr>
        <w:t xml:space="preserve"> (such as encouraging loans to companies </w:t>
      </w:r>
      <w:r w:rsidR="00FA5F0E">
        <w:rPr>
          <w:rFonts w:ascii="Arial" w:eastAsia="Times New Roman" w:hAnsi="Arial" w:cs="Arial"/>
          <w:bCs/>
          <w:iCs/>
          <w:lang w:bidi="en-US"/>
        </w:rPr>
        <w:t>that carry a risk of insolvency)</w:t>
      </w:r>
      <w:r w:rsidRPr="00CB2A32">
        <w:rPr>
          <w:rFonts w:ascii="Arial" w:eastAsia="Times New Roman" w:hAnsi="Arial" w:cs="Arial"/>
          <w:bCs/>
          <w:iCs/>
          <w:lang w:bidi="en-US"/>
        </w:rPr>
        <w:t>, various questions about the proper legal analysis of the arrangement remain, including:</w:t>
      </w:r>
    </w:p>
    <w:p w14:paraId="24C54141" w14:textId="77777777" w:rsidR="00CB2A32" w:rsidRPr="00CB2A32" w:rsidRDefault="00CB2A32" w:rsidP="00CB2A32">
      <w:pPr>
        <w:pStyle w:val="ListParagraph"/>
        <w:numPr>
          <w:ilvl w:val="0"/>
          <w:numId w:val="48"/>
        </w:num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Who should be seen as the beneficiaries of the primary trust?</w:t>
      </w:r>
    </w:p>
    <w:p w14:paraId="3E652EFC" w14:textId="77777777" w:rsidR="00CB2A32" w:rsidRPr="00CB2A32" w:rsidRDefault="00CB2A32" w:rsidP="00CB2A32">
      <w:pPr>
        <w:pStyle w:val="ListParagraph"/>
        <w:numPr>
          <w:ilvl w:val="0"/>
          <w:numId w:val="48"/>
        </w:num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Who could enforce the primary trust?</w:t>
      </w:r>
    </w:p>
    <w:p w14:paraId="4AC84141" w14:textId="77777777" w:rsidR="00CB2A32" w:rsidRPr="00CB2A32" w:rsidRDefault="00CB2A32" w:rsidP="00CB2A32">
      <w:pPr>
        <w:pStyle w:val="ListParagraph"/>
        <w:numPr>
          <w:ilvl w:val="0"/>
          <w:numId w:val="48"/>
        </w:num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lastRenderedPageBreak/>
        <w:t>What equitable right did Q retain after having advanced the loan monies?</w:t>
      </w:r>
    </w:p>
    <w:p w14:paraId="7F7C2DEE" w14:textId="16E03EE5" w:rsidR="00CB2A32" w:rsidRDefault="00CB2A32" w:rsidP="00CB2A32">
      <w:pPr>
        <w:pStyle w:val="ListParagraph"/>
        <w:numPr>
          <w:ilvl w:val="0"/>
          <w:numId w:val="48"/>
        </w:numPr>
        <w:spacing w:after="120" w:line="480" w:lineRule="auto"/>
        <w:jc w:val="both"/>
        <w:rPr>
          <w:rFonts w:ascii="Arial" w:eastAsia="Times New Roman" w:hAnsi="Arial" w:cs="Arial"/>
          <w:bCs/>
          <w:iCs/>
          <w:lang w:bidi="en-US"/>
        </w:rPr>
      </w:pPr>
      <w:r w:rsidRPr="00CB2A32">
        <w:rPr>
          <w:rFonts w:ascii="Arial" w:eastAsia="Times New Roman" w:hAnsi="Arial" w:cs="Arial"/>
          <w:bCs/>
          <w:iCs/>
          <w:lang w:bidi="en-US"/>
        </w:rPr>
        <w:t>What role did the purpose play?</w:t>
      </w:r>
    </w:p>
    <w:p w14:paraId="33D999F4" w14:textId="77777777" w:rsidR="009F204A" w:rsidRPr="00CB2A32" w:rsidRDefault="009F204A" w:rsidP="009F204A">
      <w:pPr>
        <w:pStyle w:val="ListParagraph"/>
        <w:spacing w:after="120" w:line="480" w:lineRule="auto"/>
        <w:ind w:left="360"/>
        <w:jc w:val="both"/>
        <w:rPr>
          <w:rFonts w:ascii="Arial" w:eastAsia="Times New Roman" w:hAnsi="Arial" w:cs="Arial"/>
          <w:bCs/>
          <w:iCs/>
          <w:lang w:bidi="en-US"/>
        </w:rPr>
      </w:pPr>
    </w:p>
    <w:p w14:paraId="3FB6BBAA" w14:textId="77777777" w:rsidR="00FA5F0E" w:rsidRDefault="005827ED" w:rsidP="00CB2A32">
      <w:pPr>
        <w:spacing w:after="120" w:line="480" w:lineRule="auto"/>
        <w:jc w:val="both"/>
        <w:rPr>
          <w:rFonts w:ascii="Arial" w:eastAsia="Times New Roman" w:hAnsi="Arial" w:cs="Arial"/>
          <w:bCs/>
          <w:iCs/>
          <w:lang w:bidi="en-US"/>
        </w:rPr>
      </w:pPr>
      <w:r w:rsidRPr="00E41F35">
        <w:rPr>
          <w:rFonts w:ascii="Arial" w:eastAsia="Times New Roman" w:hAnsi="Arial" w:cs="Arial"/>
          <w:bCs/>
          <w:iCs/>
          <w:lang w:bidi="en-US"/>
        </w:rPr>
        <w:t>Gibson LJ in</w:t>
      </w:r>
      <w:r>
        <w:rPr>
          <w:rFonts w:ascii="Arial" w:eastAsia="Times New Roman" w:hAnsi="Arial" w:cs="Arial"/>
          <w:bCs/>
          <w:i/>
          <w:lang w:bidi="en-US"/>
        </w:rPr>
        <w:t xml:space="preserve"> </w:t>
      </w:r>
      <w:r w:rsidRPr="005827ED">
        <w:rPr>
          <w:rFonts w:ascii="Arial" w:eastAsia="Times New Roman" w:hAnsi="Arial" w:cs="Arial"/>
          <w:bCs/>
          <w:i/>
          <w:u w:val="single"/>
          <w:lang w:bidi="en-US"/>
        </w:rPr>
        <w:t>Carreras Rothmans Ltd v Freeman Mathews Treasure Ltd</w:t>
      </w:r>
      <w:r w:rsidRPr="005827ED">
        <w:rPr>
          <w:rFonts w:ascii="Arial" w:eastAsia="Times New Roman" w:hAnsi="Arial" w:cs="Arial"/>
          <w:bCs/>
          <w:iCs/>
          <w:u w:val="single"/>
          <w:lang w:bidi="en-US"/>
        </w:rPr>
        <w:t xml:space="preserve"> [1985] Ch 207</w:t>
      </w:r>
      <w:r>
        <w:rPr>
          <w:rFonts w:ascii="Arial" w:eastAsia="Times New Roman" w:hAnsi="Arial" w:cs="Arial"/>
          <w:bCs/>
          <w:iCs/>
          <w:lang w:bidi="en-US"/>
        </w:rPr>
        <w:t xml:space="preserve"> </w:t>
      </w:r>
      <w:r w:rsidR="006E1BCD">
        <w:rPr>
          <w:rFonts w:ascii="Arial" w:eastAsia="Times New Roman" w:hAnsi="Arial" w:cs="Arial"/>
          <w:bCs/>
          <w:iCs/>
          <w:lang w:bidi="en-US"/>
        </w:rPr>
        <w:t>rejected the resulting trust analysis by which the settlor would retain the beneficial interest in the funds, suggesting instead</w:t>
      </w:r>
      <w:r>
        <w:rPr>
          <w:rFonts w:ascii="Arial" w:eastAsia="Times New Roman" w:hAnsi="Arial" w:cs="Arial"/>
          <w:bCs/>
          <w:iCs/>
          <w:lang w:bidi="en-US"/>
        </w:rPr>
        <w:t xml:space="preserve"> that in such an arrangement the beneficial interest</w:t>
      </w:r>
      <w:r w:rsidR="00E41F35">
        <w:rPr>
          <w:rFonts w:ascii="Arial" w:eastAsia="Times New Roman" w:hAnsi="Arial" w:cs="Arial"/>
          <w:bCs/>
          <w:iCs/>
          <w:lang w:bidi="en-US"/>
        </w:rPr>
        <w:t xml:space="preserve"> was</w:t>
      </w:r>
      <w:r>
        <w:rPr>
          <w:rFonts w:ascii="Arial" w:eastAsia="Times New Roman" w:hAnsi="Arial" w:cs="Arial"/>
          <w:bCs/>
          <w:iCs/>
          <w:lang w:bidi="en-US"/>
        </w:rPr>
        <w:t xml:space="preserve"> in suspense until a payment to those intended to benefit from the arrangement </w:t>
      </w:r>
      <w:r w:rsidR="00E41F35">
        <w:rPr>
          <w:rFonts w:ascii="Arial" w:eastAsia="Times New Roman" w:hAnsi="Arial" w:cs="Arial"/>
          <w:bCs/>
          <w:iCs/>
          <w:lang w:bidi="en-US"/>
        </w:rPr>
        <w:t>had been</w:t>
      </w:r>
      <w:r>
        <w:rPr>
          <w:rFonts w:ascii="Arial" w:eastAsia="Times New Roman" w:hAnsi="Arial" w:cs="Arial"/>
          <w:bCs/>
          <w:iCs/>
          <w:lang w:bidi="en-US"/>
        </w:rPr>
        <w:t xml:space="preserve"> made. While not beneficiaries as such, these parties ha</w:t>
      </w:r>
      <w:r w:rsidR="00E41F35">
        <w:rPr>
          <w:rFonts w:ascii="Arial" w:eastAsia="Times New Roman" w:hAnsi="Arial" w:cs="Arial"/>
          <w:bCs/>
          <w:iCs/>
          <w:lang w:bidi="en-US"/>
        </w:rPr>
        <w:t>d</w:t>
      </w:r>
      <w:r>
        <w:rPr>
          <w:rFonts w:ascii="Arial" w:eastAsia="Times New Roman" w:hAnsi="Arial" w:cs="Arial"/>
          <w:bCs/>
          <w:iCs/>
          <w:lang w:bidi="en-US"/>
        </w:rPr>
        <w:t xml:space="preserve"> an enforceable right for the trust purpose to be carried out. </w:t>
      </w:r>
      <w:r w:rsidR="00FA5F0E">
        <w:rPr>
          <w:rFonts w:ascii="Arial" w:eastAsia="Times New Roman" w:hAnsi="Arial" w:cs="Arial"/>
          <w:bCs/>
          <w:iCs/>
          <w:lang w:bidi="en-US"/>
        </w:rPr>
        <w:t xml:space="preserve">It is questionable, however, whether this interpretation would not amount to giving preference to those intended to benefit if the trustee became insolvent. </w:t>
      </w:r>
    </w:p>
    <w:p w14:paraId="55FE7DC1" w14:textId="3B9422BE" w:rsidR="00F76033" w:rsidRPr="00CB2A32" w:rsidRDefault="006E1BCD" w:rsidP="00CB2A32">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Contrary to </w:t>
      </w:r>
      <w:r w:rsidR="00FA5F0E" w:rsidRPr="00FA5F0E">
        <w:rPr>
          <w:rFonts w:ascii="Arial" w:eastAsia="Times New Roman" w:hAnsi="Arial" w:cs="Arial"/>
          <w:bCs/>
          <w:i/>
          <w:u w:val="single"/>
          <w:lang w:bidi="en-US"/>
        </w:rPr>
        <w:t>Rothmans</w:t>
      </w:r>
      <w:r>
        <w:rPr>
          <w:rFonts w:ascii="Arial" w:eastAsia="Times New Roman" w:hAnsi="Arial" w:cs="Arial"/>
          <w:bCs/>
          <w:iCs/>
          <w:lang w:bidi="en-US"/>
        </w:rPr>
        <w:t>, t</w:t>
      </w:r>
      <w:r w:rsidR="00CB2A32" w:rsidRPr="00CB2A32">
        <w:rPr>
          <w:rFonts w:ascii="Arial" w:eastAsia="Times New Roman" w:hAnsi="Arial" w:cs="Arial"/>
          <w:bCs/>
          <w:iCs/>
          <w:lang w:bidi="en-US"/>
        </w:rPr>
        <w:t xml:space="preserve">he resulting trust analysis </w:t>
      </w:r>
      <w:r>
        <w:rPr>
          <w:rFonts w:ascii="Arial" w:eastAsia="Times New Roman" w:hAnsi="Arial" w:cs="Arial"/>
          <w:bCs/>
          <w:iCs/>
          <w:lang w:bidi="en-US"/>
        </w:rPr>
        <w:t xml:space="preserve">was adopted </w:t>
      </w:r>
      <w:r w:rsidR="00CB2A32" w:rsidRPr="00CB2A32">
        <w:rPr>
          <w:rFonts w:ascii="Arial" w:eastAsia="Times New Roman" w:hAnsi="Arial" w:cs="Arial"/>
          <w:bCs/>
          <w:iCs/>
          <w:lang w:bidi="en-US"/>
        </w:rPr>
        <w:t xml:space="preserve">in </w:t>
      </w:r>
      <w:proofErr w:type="spellStart"/>
      <w:r w:rsidR="00CB2A32" w:rsidRPr="00CB2A32">
        <w:rPr>
          <w:rFonts w:ascii="Arial" w:eastAsia="Times New Roman" w:hAnsi="Arial" w:cs="Arial"/>
          <w:bCs/>
          <w:i/>
          <w:iCs/>
          <w:u w:val="single"/>
          <w:lang w:bidi="en-US"/>
        </w:rPr>
        <w:t>Twinsectra</w:t>
      </w:r>
      <w:proofErr w:type="spellEnd"/>
      <w:r w:rsidR="00CB2A32" w:rsidRPr="00CB2A32">
        <w:rPr>
          <w:rFonts w:ascii="Arial" w:eastAsia="Times New Roman" w:hAnsi="Arial" w:cs="Arial"/>
          <w:bCs/>
          <w:i/>
          <w:iCs/>
          <w:u w:val="single"/>
          <w:lang w:bidi="en-US"/>
        </w:rPr>
        <w:t xml:space="preserve"> Ltd v Yardley</w:t>
      </w:r>
      <w:r w:rsidR="00CB2A32" w:rsidRPr="00CB2A32">
        <w:rPr>
          <w:rFonts w:ascii="Arial" w:eastAsia="Times New Roman" w:hAnsi="Arial" w:cs="Arial"/>
          <w:bCs/>
          <w:iCs/>
          <w:u w:val="single"/>
          <w:lang w:bidi="en-US"/>
        </w:rPr>
        <w:t xml:space="preserve"> [2002] 2 AC 164</w:t>
      </w:r>
      <w:r w:rsidR="00832456">
        <w:rPr>
          <w:rFonts w:ascii="Arial" w:eastAsia="Times New Roman" w:hAnsi="Arial" w:cs="Arial"/>
          <w:bCs/>
          <w:iCs/>
          <w:lang w:bidi="en-US"/>
        </w:rPr>
        <w:t xml:space="preserve"> (</w:t>
      </w:r>
      <w:r w:rsidR="007E2515">
        <w:rPr>
          <w:rFonts w:ascii="Arial" w:eastAsia="Times New Roman" w:hAnsi="Arial" w:cs="Arial"/>
          <w:bCs/>
          <w:iCs/>
          <w:lang w:bidi="en-US"/>
        </w:rPr>
        <w:t xml:space="preserve">which we will discuss in more detail </w:t>
      </w:r>
      <w:r w:rsidR="00832456">
        <w:rPr>
          <w:rFonts w:ascii="Arial" w:eastAsia="Times New Roman" w:hAnsi="Arial" w:cs="Arial"/>
          <w:bCs/>
          <w:iCs/>
          <w:lang w:bidi="en-US"/>
        </w:rPr>
        <w:t>in the context of 3</w:t>
      </w:r>
      <w:r w:rsidR="00832456" w:rsidRPr="00832456">
        <w:rPr>
          <w:rFonts w:ascii="Arial" w:eastAsia="Times New Roman" w:hAnsi="Arial" w:cs="Arial"/>
          <w:bCs/>
          <w:iCs/>
          <w:vertAlign w:val="superscript"/>
          <w:lang w:bidi="en-US"/>
        </w:rPr>
        <w:t>rd</w:t>
      </w:r>
      <w:r w:rsidR="00832456">
        <w:rPr>
          <w:rFonts w:ascii="Arial" w:eastAsia="Times New Roman" w:hAnsi="Arial" w:cs="Arial"/>
          <w:bCs/>
          <w:iCs/>
          <w:lang w:bidi="en-US"/>
        </w:rPr>
        <w:t xml:space="preserve"> party liability), where </w:t>
      </w:r>
      <w:r w:rsidR="00D3309E">
        <w:rPr>
          <w:rFonts w:ascii="Arial" w:eastAsia="Times New Roman" w:hAnsi="Arial" w:cs="Arial"/>
          <w:bCs/>
          <w:iCs/>
          <w:lang w:bidi="en-US"/>
        </w:rPr>
        <w:t>Lord Hoffmann concluded</w:t>
      </w:r>
      <w:r w:rsidR="00832456">
        <w:rPr>
          <w:rFonts w:ascii="Arial" w:eastAsia="Times New Roman" w:hAnsi="Arial" w:cs="Arial"/>
          <w:bCs/>
          <w:iCs/>
          <w:lang w:bidi="en-US"/>
        </w:rPr>
        <w:t xml:space="preserve"> that </w:t>
      </w:r>
      <w:r w:rsidR="00D3309E">
        <w:rPr>
          <w:rFonts w:ascii="Arial" w:eastAsia="Times New Roman" w:hAnsi="Arial" w:cs="Arial"/>
          <w:bCs/>
          <w:iCs/>
          <w:lang w:bidi="en-US"/>
        </w:rPr>
        <w:t xml:space="preserve">the money was held on trust for </w:t>
      </w:r>
      <w:proofErr w:type="spellStart"/>
      <w:r w:rsidR="00832456">
        <w:rPr>
          <w:rFonts w:ascii="Arial" w:eastAsia="Times New Roman" w:hAnsi="Arial" w:cs="Arial"/>
          <w:bCs/>
          <w:iCs/>
          <w:lang w:bidi="en-US"/>
        </w:rPr>
        <w:t>Twinsectra</w:t>
      </w:r>
      <w:proofErr w:type="spellEnd"/>
      <w:r w:rsidR="00D3309E">
        <w:rPr>
          <w:rFonts w:ascii="Arial" w:eastAsia="Times New Roman" w:hAnsi="Arial" w:cs="Arial"/>
          <w:bCs/>
          <w:iCs/>
          <w:lang w:bidi="en-US"/>
        </w:rPr>
        <w:t xml:space="preserve"> until it was applied in accordance with the undertaking given by Sims &amp; Roper.</w:t>
      </w:r>
      <w:r w:rsidR="00AB7CF9">
        <w:rPr>
          <w:rFonts w:ascii="Arial" w:eastAsia="Times New Roman" w:hAnsi="Arial" w:cs="Arial"/>
          <w:bCs/>
          <w:iCs/>
          <w:lang w:bidi="en-US"/>
        </w:rPr>
        <w:t xml:space="preserve"> What analysis will prevail may, however, largely depend on the terms of the arrangement</w:t>
      </w:r>
      <w:r w:rsidR="00FA5F0E">
        <w:rPr>
          <w:rFonts w:ascii="Arial" w:eastAsia="Times New Roman" w:hAnsi="Arial" w:cs="Arial"/>
          <w:bCs/>
          <w:iCs/>
          <w:lang w:bidi="en-US"/>
        </w:rPr>
        <w:t xml:space="preserve"> in each individual case</w:t>
      </w:r>
      <w:r w:rsidR="00AB7CF9">
        <w:rPr>
          <w:rFonts w:ascii="Arial" w:eastAsia="Times New Roman" w:hAnsi="Arial" w:cs="Arial"/>
          <w:bCs/>
          <w:iCs/>
          <w:lang w:bidi="en-US"/>
        </w:rPr>
        <w:t>.</w:t>
      </w:r>
      <w:r w:rsidR="00832456">
        <w:rPr>
          <w:rFonts w:ascii="Arial" w:eastAsia="Times New Roman" w:hAnsi="Arial" w:cs="Arial"/>
          <w:bCs/>
          <w:iCs/>
          <w:lang w:bidi="en-US"/>
        </w:rPr>
        <w:t xml:space="preserve"> </w:t>
      </w:r>
      <w:r w:rsidR="00CB2A32" w:rsidRPr="00CB2A32">
        <w:rPr>
          <w:rFonts w:ascii="Arial" w:eastAsia="Times New Roman" w:hAnsi="Arial" w:cs="Arial"/>
          <w:bCs/>
          <w:iCs/>
          <w:lang w:bidi="en-US"/>
        </w:rPr>
        <w:t xml:space="preserve"> </w:t>
      </w:r>
    </w:p>
    <w:sectPr w:rsidR="00F76033" w:rsidRPr="00CB2A32"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39AD0" w14:textId="77777777" w:rsidR="00FE2A64" w:rsidRDefault="00FE2A64" w:rsidP="00177ED8">
      <w:pPr>
        <w:spacing w:after="0" w:line="240" w:lineRule="auto"/>
      </w:pPr>
      <w:r>
        <w:separator/>
      </w:r>
    </w:p>
  </w:endnote>
  <w:endnote w:type="continuationSeparator" w:id="0">
    <w:p w14:paraId="1DA9D9D8" w14:textId="77777777" w:rsidR="00FE2A64" w:rsidRDefault="00FE2A64"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6B13EC3D"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3116B2">
              <w:rPr>
                <w:rFonts w:ascii="Arial" w:hAnsi="Arial" w:cs="Arial"/>
                <w:bCs/>
                <w:noProof/>
                <w:sz w:val="20"/>
                <w:szCs w:val="20"/>
              </w:rPr>
              <w:t>13</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3116B2">
              <w:rPr>
                <w:rFonts w:ascii="Arial" w:hAnsi="Arial" w:cs="Arial"/>
                <w:bCs/>
                <w:noProof/>
                <w:sz w:val="20"/>
                <w:szCs w:val="20"/>
              </w:rPr>
              <w:t>13</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55289" w14:textId="77777777" w:rsidR="00FE2A64" w:rsidRDefault="00FE2A64" w:rsidP="00177ED8">
      <w:pPr>
        <w:spacing w:after="0" w:line="240" w:lineRule="auto"/>
      </w:pPr>
      <w:r>
        <w:separator/>
      </w:r>
    </w:p>
  </w:footnote>
  <w:footnote w:type="continuationSeparator" w:id="0">
    <w:p w14:paraId="0DDA0B49" w14:textId="77777777" w:rsidR="00FE2A64" w:rsidRDefault="00FE2A64"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01B39" w14:textId="6BD0B3C6" w:rsidR="007E2515" w:rsidRPr="007E2515" w:rsidRDefault="007E2515" w:rsidP="007E2515">
    <w:pPr>
      <w:pStyle w:val="Header"/>
      <w:jc w:val="right"/>
      <w:rPr>
        <w:rFonts w:ascii="Arial" w:hAnsi="Arial" w:cs="Arial"/>
      </w:rPr>
    </w:pPr>
    <w:r>
      <w:rPr>
        <w:rFonts w:ascii="Arial" w:hAnsi="Arial" w:cs="Arial"/>
      </w:rPr>
      <w:t xml:space="preserve">Trusts Law Week </w:t>
    </w:r>
    <w:r w:rsidR="00AE4D94">
      <w:rPr>
        <w:rFonts w:ascii="Arial" w:hAnsi="Arial" w:cs="Arial"/>
      </w:rPr>
      <w:t>8</w:t>
    </w:r>
  </w:p>
  <w:p w14:paraId="1DC5858A"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9B7B48"/>
    <w:multiLevelType w:val="hybridMultilevel"/>
    <w:tmpl w:val="AEBAB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141E78"/>
    <w:multiLevelType w:val="hybridMultilevel"/>
    <w:tmpl w:val="EF040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681C26"/>
    <w:multiLevelType w:val="hybridMultilevel"/>
    <w:tmpl w:val="F470F0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6B71D32"/>
    <w:multiLevelType w:val="hybridMultilevel"/>
    <w:tmpl w:val="6AE2F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75308FD"/>
    <w:multiLevelType w:val="hybridMultilevel"/>
    <w:tmpl w:val="DA1E71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DDF35BE"/>
    <w:multiLevelType w:val="hybridMultilevel"/>
    <w:tmpl w:val="BB8C7306"/>
    <w:lvl w:ilvl="0" w:tplc="C744384A">
      <w:start w:val="1"/>
      <w:numFmt w:val="bullet"/>
      <w:lvlText w:val=""/>
      <w:lvlJc w:val="left"/>
      <w:pPr>
        <w:tabs>
          <w:tab w:val="num" w:pos="284"/>
        </w:tabs>
        <w:ind w:left="284" w:hanging="284"/>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DA5D49"/>
    <w:multiLevelType w:val="hybridMultilevel"/>
    <w:tmpl w:val="E9064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C50294F"/>
    <w:multiLevelType w:val="hybridMultilevel"/>
    <w:tmpl w:val="07D26F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82A6419"/>
    <w:multiLevelType w:val="hybridMultilevel"/>
    <w:tmpl w:val="91FCF406"/>
    <w:lvl w:ilvl="0" w:tplc="303E273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0" w15:restartNumberingAfterBreak="0">
    <w:nsid w:val="3F7D60D4"/>
    <w:multiLevelType w:val="hybridMultilevel"/>
    <w:tmpl w:val="F788D6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52F6D65"/>
    <w:multiLevelType w:val="hybridMultilevel"/>
    <w:tmpl w:val="15FE3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81C1BF6"/>
    <w:multiLevelType w:val="hybridMultilevel"/>
    <w:tmpl w:val="D974B9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A61343D"/>
    <w:multiLevelType w:val="hybridMultilevel"/>
    <w:tmpl w:val="D4F41552"/>
    <w:lvl w:ilvl="0" w:tplc="C744384A">
      <w:start w:val="1"/>
      <w:numFmt w:val="bullet"/>
      <w:lvlText w:val=""/>
      <w:lvlJc w:val="left"/>
      <w:pPr>
        <w:tabs>
          <w:tab w:val="num" w:pos="284"/>
        </w:tabs>
        <w:ind w:left="284" w:hanging="284"/>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96987"/>
    <w:multiLevelType w:val="hybridMultilevel"/>
    <w:tmpl w:val="3BB27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14398D"/>
    <w:multiLevelType w:val="hybridMultilevel"/>
    <w:tmpl w:val="35C421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43076E6"/>
    <w:multiLevelType w:val="hybridMultilevel"/>
    <w:tmpl w:val="69541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DFF4DC4"/>
    <w:multiLevelType w:val="hybridMultilevel"/>
    <w:tmpl w:val="4AE6B538"/>
    <w:lvl w:ilvl="0" w:tplc="C744384A">
      <w:start w:val="1"/>
      <w:numFmt w:val="bullet"/>
      <w:lvlText w:val=""/>
      <w:lvlJc w:val="left"/>
      <w:pPr>
        <w:tabs>
          <w:tab w:val="num" w:pos="284"/>
        </w:tabs>
        <w:ind w:left="284" w:hanging="284"/>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21334C0"/>
    <w:multiLevelType w:val="hybridMultilevel"/>
    <w:tmpl w:val="D73A5A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7D06F4E"/>
    <w:multiLevelType w:val="hybridMultilevel"/>
    <w:tmpl w:val="63506E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7EB01B4"/>
    <w:multiLevelType w:val="hybridMultilevel"/>
    <w:tmpl w:val="11FC7018"/>
    <w:lvl w:ilvl="0" w:tplc="0809000F">
      <w:start w:val="1"/>
      <w:numFmt w:val="decimal"/>
      <w:lvlText w:val="%1."/>
      <w:lvlJc w:val="left"/>
      <w:pPr>
        <w:ind w:left="720" w:hanging="360"/>
      </w:pPr>
      <w:rPr>
        <w:rFonts w:hint="default"/>
      </w:rPr>
    </w:lvl>
    <w:lvl w:ilvl="1" w:tplc="08090017">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AE34F09"/>
    <w:multiLevelType w:val="multilevel"/>
    <w:tmpl w:val="C16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7A5D41"/>
    <w:multiLevelType w:val="hybridMultilevel"/>
    <w:tmpl w:val="B3BCC1CC"/>
    <w:lvl w:ilvl="0" w:tplc="5890E938">
      <w:start w:val="1"/>
      <w:numFmt w:val="bullet"/>
      <w:lvlText w:val="•"/>
      <w:lvlJc w:val="left"/>
      <w:pPr>
        <w:tabs>
          <w:tab w:val="num" w:pos="720"/>
        </w:tabs>
        <w:ind w:left="720" w:hanging="360"/>
      </w:pPr>
      <w:rPr>
        <w:rFonts w:ascii="Arial" w:hAnsi="Arial" w:hint="default"/>
      </w:rPr>
    </w:lvl>
    <w:lvl w:ilvl="1" w:tplc="BF7A5B50">
      <w:start w:val="1"/>
      <w:numFmt w:val="bullet"/>
      <w:lvlText w:val="•"/>
      <w:lvlJc w:val="left"/>
      <w:pPr>
        <w:tabs>
          <w:tab w:val="num" w:pos="1440"/>
        </w:tabs>
        <w:ind w:left="1440" w:hanging="360"/>
      </w:pPr>
      <w:rPr>
        <w:rFonts w:ascii="Arial" w:hAnsi="Arial" w:hint="default"/>
      </w:rPr>
    </w:lvl>
    <w:lvl w:ilvl="2" w:tplc="A2D0854A" w:tentative="1">
      <w:start w:val="1"/>
      <w:numFmt w:val="bullet"/>
      <w:lvlText w:val="•"/>
      <w:lvlJc w:val="left"/>
      <w:pPr>
        <w:tabs>
          <w:tab w:val="num" w:pos="2160"/>
        </w:tabs>
        <w:ind w:left="2160" w:hanging="360"/>
      </w:pPr>
      <w:rPr>
        <w:rFonts w:ascii="Arial" w:hAnsi="Arial" w:hint="default"/>
      </w:rPr>
    </w:lvl>
    <w:lvl w:ilvl="3" w:tplc="DADA96C2" w:tentative="1">
      <w:start w:val="1"/>
      <w:numFmt w:val="bullet"/>
      <w:lvlText w:val="•"/>
      <w:lvlJc w:val="left"/>
      <w:pPr>
        <w:tabs>
          <w:tab w:val="num" w:pos="2880"/>
        </w:tabs>
        <w:ind w:left="2880" w:hanging="360"/>
      </w:pPr>
      <w:rPr>
        <w:rFonts w:ascii="Arial" w:hAnsi="Arial" w:hint="default"/>
      </w:rPr>
    </w:lvl>
    <w:lvl w:ilvl="4" w:tplc="2A6277DA" w:tentative="1">
      <w:start w:val="1"/>
      <w:numFmt w:val="bullet"/>
      <w:lvlText w:val="•"/>
      <w:lvlJc w:val="left"/>
      <w:pPr>
        <w:tabs>
          <w:tab w:val="num" w:pos="3600"/>
        </w:tabs>
        <w:ind w:left="3600" w:hanging="360"/>
      </w:pPr>
      <w:rPr>
        <w:rFonts w:ascii="Arial" w:hAnsi="Arial" w:hint="default"/>
      </w:rPr>
    </w:lvl>
    <w:lvl w:ilvl="5" w:tplc="5382FF70" w:tentative="1">
      <w:start w:val="1"/>
      <w:numFmt w:val="bullet"/>
      <w:lvlText w:val="•"/>
      <w:lvlJc w:val="left"/>
      <w:pPr>
        <w:tabs>
          <w:tab w:val="num" w:pos="4320"/>
        </w:tabs>
        <w:ind w:left="4320" w:hanging="360"/>
      </w:pPr>
      <w:rPr>
        <w:rFonts w:ascii="Arial" w:hAnsi="Arial" w:hint="default"/>
      </w:rPr>
    </w:lvl>
    <w:lvl w:ilvl="6" w:tplc="0B343C22" w:tentative="1">
      <w:start w:val="1"/>
      <w:numFmt w:val="bullet"/>
      <w:lvlText w:val="•"/>
      <w:lvlJc w:val="left"/>
      <w:pPr>
        <w:tabs>
          <w:tab w:val="num" w:pos="5040"/>
        </w:tabs>
        <w:ind w:left="5040" w:hanging="360"/>
      </w:pPr>
      <w:rPr>
        <w:rFonts w:ascii="Arial" w:hAnsi="Arial" w:hint="default"/>
      </w:rPr>
    </w:lvl>
    <w:lvl w:ilvl="7" w:tplc="398E687A" w:tentative="1">
      <w:start w:val="1"/>
      <w:numFmt w:val="bullet"/>
      <w:lvlText w:val="•"/>
      <w:lvlJc w:val="left"/>
      <w:pPr>
        <w:tabs>
          <w:tab w:val="num" w:pos="5760"/>
        </w:tabs>
        <w:ind w:left="5760" w:hanging="360"/>
      </w:pPr>
      <w:rPr>
        <w:rFonts w:ascii="Arial" w:hAnsi="Arial" w:hint="default"/>
      </w:rPr>
    </w:lvl>
    <w:lvl w:ilvl="8" w:tplc="AD40F89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0CB7445"/>
    <w:multiLevelType w:val="hybridMultilevel"/>
    <w:tmpl w:val="EB8E467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ACA6AA5"/>
    <w:multiLevelType w:val="hybridMultilevel"/>
    <w:tmpl w:val="5B66AF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B065E8E"/>
    <w:multiLevelType w:val="hybridMultilevel"/>
    <w:tmpl w:val="6C78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02963097">
    <w:abstractNumId w:val="47"/>
  </w:num>
  <w:num w:numId="2" w16cid:durableId="772553403">
    <w:abstractNumId w:val="8"/>
  </w:num>
  <w:num w:numId="3" w16cid:durableId="499276559">
    <w:abstractNumId w:val="11"/>
  </w:num>
  <w:num w:numId="4" w16cid:durableId="1528635342">
    <w:abstractNumId w:val="33"/>
  </w:num>
  <w:num w:numId="5" w16cid:durableId="1839492216">
    <w:abstractNumId w:val="31"/>
  </w:num>
  <w:num w:numId="6" w16cid:durableId="349113578">
    <w:abstractNumId w:val="19"/>
  </w:num>
  <w:num w:numId="7" w16cid:durableId="406658645">
    <w:abstractNumId w:val="38"/>
  </w:num>
  <w:num w:numId="8" w16cid:durableId="1109276996">
    <w:abstractNumId w:val="10"/>
  </w:num>
  <w:num w:numId="9" w16cid:durableId="1783575695">
    <w:abstractNumId w:val="44"/>
  </w:num>
  <w:num w:numId="10" w16cid:durableId="8264254">
    <w:abstractNumId w:val="25"/>
  </w:num>
  <w:num w:numId="11" w16cid:durableId="2033990473">
    <w:abstractNumId w:val="43"/>
  </w:num>
  <w:num w:numId="12" w16cid:durableId="1878083900">
    <w:abstractNumId w:val="37"/>
  </w:num>
  <w:num w:numId="13" w16cid:durableId="645427709">
    <w:abstractNumId w:val="9"/>
  </w:num>
  <w:num w:numId="14" w16cid:durableId="844785544">
    <w:abstractNumId w:val="30"/>
  </w:num>
  <w:num w:numId="15" w16cid:durableId="984090665">
    <w:abstractNumId w:val="48"/>
  </w:num>
  <w:num w:numId="16" w16cid:durableId="176770446">
    <w:abstractNumId w:val="21"/>
  </w:num>
  <w:num w:numId="17" w16cid:durableId="536283782">
    <w:abstractNumId w:val="16"/>
  </w:num>
  <w:num w:numId="18" w16cid:durableId="1349407658">
    <w:abstractNumId w:val="13"/>
  </w:num>
  <w:num w:numId="19" w16cid:durableId="364864437">
    <w:abstractNumId w:val="22"/>
  </w:num>
  <w:num w:numId="20" w16cid:durableId="391580875">
    <w:abstractNumId w:val="3"/>
  </w:num>
  <w:num w:numId="21" w16cid:durableId="993142530">
    <w:abstractNumId w:val="36"/>
  </w:num>
  <w:num w:numId="22" w16cid:durableId="258029964">
    <w:abstractNumId w:val="18"/>
  </w:num>
  <w:num w:numId="23" w16cid:durableId="956105936">
    <w:abstractNumId w:val="15"/>
  </w:num>
  <w:num w:numId="24" w16cid:durableId="2044551820">
    <w:abstractNumId w:val="35"/>
  </w:num>
  <w:num w:numId="25" w16cid:durableId="362561386">
    <w:abstractNumId w:val="23"/>
  </w:num>
  <w:num w:numId="26" w16cid:durableId="922953957">
    <w:abstractNumId w:val="24"/>
  </w:num>
  <w:num w:numId="27" w16cid:durableId="1921521434">
    <w:abstractNumId w:val="39"/>
  </w:num>
  <w:num w:numId="28" w16cid:durableId="1551958492">
    <w:abstractNumId w:val="0"/>
  </w:num>
  <w:num w:numId="29" w16cid:durableId="588849252">
    <w:abstractNumId w:val="6"/>
  </w:num>
  <w:num w:numId="30" w16cid:durableId="84041063">
    <w:abstractNumId w:val="5"/>
  </w:num>
  <w:num w:numId="31" w16cid:durableId="1438334588">
    <w:abstractNumId w:val="42"/>
  </w:num>
  <w:num w:numId="32" w16cid:durableId="784233461">
    <w:abstractNumId w:val="20"/>
  </w:num>
  <w:num w:numId="33" w16cid:durableId="93716489">
    <w:abstractNumId w:val="2"/>
  </w:num>
  <w:num w:numId="34" w16cid:durableId="1203446769">
    <w:abstractNumId w:val="14"/>
  </w:num>
  <w:num w:numId="35" w16cid:durableId="93870230">
    <w:abstractNumId w:val="1"/>
  </w:num>
  <w:num w:numId="36" w16cid:durableId="1661076810">
    <w:abstractNumId w:val="28"/>
  </w:num>
  <w:num w:numId="37" w16cid:durableId="1219321819">
    <w:abstractNumId w:val="46"/>
  </w:num>
  <w:num w:numId="38" w16cid:durableId="1463304593">
    <w:abstractNumId w:val="45"/>
  </w:num>
  <w:num w:numId="39" w16cid:durableId="1274746791">
    <w:abstractNumId w:val="4"/>
  </w:num>
  <w:num w:numId="40" w16cid:durableId="1491824313">
    <w:abstractNumId w:val="41"/>
  </w:num>
  <w:num w:numId="41" w16cid:durableId="1134132044">
    <w:abstractNumId w:val="17"/>
  </w:num>
  <w:num w:numId="42" w16cid:durableId="2055881773">
    <w:abstractNumId w:val="32"/>
  </w:num>
  <w:num w:numId="43" w16cid:durableId="1109274589">
    <w:abstractNumId w:val="7"/>
  </w:num>
  <w:num w:numId="44" w16cid:durableId="1857839174">
    <w:abstractNumId w:val="12"/>
  </w:num>
  <w:num w:numId="45" w16cid:durableId="1494293708">
    <w:abstractNumId w:val="27"/>
  </w:num>
  <w:num w:numId="46" w16cid:durableId="353381868">
    <w:abstractNumId w:val="26"/>
  </w:num>
  <w:num w:numId="47" w16cid:durableId="1978148077">
    <w:abstractNumId w:val="29"/>
  </w:num>
  <w:num w:numId="48" w16cid:durableId="575240622">
    <w:abstractNumId w:val="34"/>
  </w:num>
  <w:num w:numId="49" w16cid:durableId="42646829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24CE4"/>
    <w:rsid w:val="0003337F"/>
    <w:rsid w:val="0004604C"/>
    <w:rsid w:val="000642BF"/>
    <w:rsid w:val="000847DC"/>
    <w:rsid w:val="00087D51"/>
    <w:rsid w:val="00094462"/>
    <w:rsid w:val="000A467B"/>
    <w:rsid w:val="000B0EB6"/>
    <w:rsid w:val="000B5A12"/>
    <w:rsid w:val="000B5F20"/>
    <w:rsid w:val="000B787A"/>
    <w:rsid w:val="000D0FA1"/>
    <w:rsid w:val="000D21D2"/>
    <w:rsid w:val="000D2494"/>
    <w:rsid w:val="000E366B"/>
    <w:rsid w:val="000E51DA"/>
    <w:rsid w:val="001001D8"/>
    <w:rsid w:val="001067E9"/>
    <w:rsid w:val="00124CCB"/>
    <w:rsid w:val="001352D4"/>
    <w:rsid w:val="00136955"/>
    <w:rsid w:val="00146F8D"/>
    <w:rsid w:val="00150BC1"/>
    <w:rsid w:val="0015167A"/>
    <w:rsid w:val="00156AC9"/>
    <w:rsid w:val="00163655"/>
    <w:rsid w:val="00164BD7"/>
    <w:rsid w:val="00167D14"/>
    <w:rsid w:val="00170269"/>
    <w:rsid w:val="001772B1"/>
    <w:rsid w:val="00177ED8"/>
    <w:rsid w:val="0018090F"/>
    <w:rsid w:val="0018683A"/>
    <w:rsid w:val="00196167"/>
    <w:rsid w:val="001B2FBC"/>
    <w:rsid w:val="001B5B88"/>
    <w:rsid w:val="001D239F"/>
    <w:rsid w:val="001E1C7A"/>
    <w:rsid w:val="001F0136"/>
    <w:rsid w:val="00200B96"/>
    <w:rsid w:val="002034A0"/>
    <w:rsid w:val="00207DC5"/>
    <w:rsid w:val="00220CB2"/>
    <w:rsid w:val="002251D3"/>
    <w:rsid w:val="00225CB1"/>
    <w:rsid w:val="00244323"/>
    <w:rsid w:val="002469EC"/>
    <w:rsid w:val="002513AE"/>
    <w:rsid w:val="00272338"/>
    <w:rsid w:val="002A2739"/>
    <w:rsid w:val="002A7146"/>
    <w:rsid w:val="002B22F9"/>
    <w:rsid w:val="002C4735"/>
    <w:rsid w:val="002E6058"/>
    <w:rsid w:val="002E738B"/>
    <w:rsid w:val="002F5035"/>
    <w:rsid w:val="003020D4"/>
    <w:rsid w:val="00304F02"/>
    <w:rsid w:val="00306ECD"/>
    <w:rsid w:val="003116B2"/>
    <w:rsid w:val="0031387E"/>
    <w:rsid w:val="00317E77"/>
    <w:rsid w:val="00324C9E"/>
    <w:rsid w:val="003265E5"/>
    <w:rsid w:val="00332E80"/>
    <w:rsid w:val="00350BF2"/>
    <w:rsid w:val="00384371"/>
    <w:rsid w:val="003A29BD"/>
    <w:rsid w:val="003A5768"/>
    <w:rsid w:val="003B5726"/>
    <w:rsid w:val="003C1EAF"/>
    <w:rsid w:val="00436277"/>
    <w:rsid w:val="00443533"/>
    <w:rsid w:val="00450CA3"/>
    <w:rsid w:val="00461B81"/>
    <w:rsid w:val="00472839"/>
    <w:rsid w:val="004832AA"/>
    <w:rsid w:val="004A1DB9"/>
    <w:rsid w:val="004A6598"/>
    <w:rsid w:val="004A6691"/>
    <w:rsid w:val="004C6866"/>
    <w:rsid w:val="004C7BA9"/>
    <w:rsid w:val="004D2294"/>
    <w:rsid w:val="004F034A"/>
    <w:rsid w:val="00521D1C"/>
    <w:rsid w:val="00524CC3"/>
    <w:rsid w:val="005274AA"/>
    <w:rsid w:val="00533545"/>
    <w:rsid w:val="00544EA6"/>
    <w:rsid w:val="005501DE"/>
    <w:rsid w:val="00566221"/>
    <w:rsid w:val="00575FFF"/>
    <w:rsid w:val="00582160"/>
    <w:rsid w:val="005827ED"/>
    <w:rsid w:val="005A0778"/>
    <w:rsid w:val="005C18FD"/>
    <w:rsid w:val="005C72A5"/>
    <w:rsid w:val="005D34E5"/>
    <w:rsid w:val="005D4D36"/>
    <w:rsid w:val="005D6410"/>
    <w:rsid w:val="005E5AEF"/>
    <w:rsid w:val="005F7DBE"/>
    <w:rsid w:val="00605147"/>
    <w:rsid w:val="0060608E"/>
    <w:rsid w:val="0061100D"/>
    <w:rsid w:val="006224EC"/>
    <w:rsid w:val="00625ED1"/>
    <w:rsid w:val="006277E4"/>
    <w:rsid w:val="00630854"/>
    <w:rsid w:val="00641DAE"/>
    <w:rsid w:val="00650E83"/>
    <w:rsid w:val="00653CE5"/>
    <w:rsid w:val="006930F9"/>
    <w:rsid w:val="00695FF9"/>
    <w:rsid w:val="006A18F9"/>
    <w:rsid w:val="006A4A7F"/>
    <w:rsid w:val="006B1AF7"/>
    <w:rsid w:val="006B2727"/>
    <w:rsid w:val="006B6672"/>
    <w:rsid w:val="006B6F26"/>
    <w:rsid w:val="006B715F"/>
    <w:rsid w:val="006C48D2"/>
    <w:rsid w:val="006E0B58"/>
    <w:rsid w:val="006E1BCD"/>
    <w:rsid w:val="006F45A7"/>
    <w:rsid w:val="00701008"/>
    <w:rsid w:val="007544F0"/>
    <w:rsid w:val="00754D04"/>
    <w:rsid w:val="007636C8"/>
    <w:rsid w:val="00766CC2"/>
    <w:rsid w:val="00777A69"/>
    <w:rsid w:val="007A1453"/>
    <w:rsid w:val="007A7136"/>
    <w:rsid w:val="007B3480"/>
    <w:rsid w:val="007C05F8"/>
    <w:rsid w:val="007C40A5"/>
    <w:rsid w:val="007D5F06"/>
    <w:rsid w:val="007E2515"/>
    <w:rsid w:val="00800A74"/>
    <w:rsid w:val="008048D9"/>
    <w:rsid w:val="0081142C"/>
    <w:rsid w:val="00816ADE"/>
    <w:rsid w:val="00832456"/>
    <w:rsid w:val="008349AF"/>
    <w:rsid w:val="00841D14"/>
    <w:rsid w:val="00842ED4"/>
    <w:rsid w:val="008532F1"/>
    <w:rsid w:val="0086229C"/>
    <w:rsid w:val="0087069E"/>
    <w:rsid w:val="008773FA"/>
    <w:rsid w:val="0088171A"/>
    <w:rsid w:val="008A4E69"/>
    <w:rsid w:val="008D6303"/>
    <w:rsid w:val="008D6D47"/>
    <w:rsid w:val="008E0D88"/>
    <w:rsid w:val="009005A6"/>
    <w:rsid w:val="009037BD"/>
    <w:rsid w:val="0095680A"/>
    <w:rsid w:val="00962489"/>
    <w:rsid w:val="009629D8"/>
    <w:rsid w:val="00982F37"/>
    <w:rsid w:val="00992FCE"/>
    <w:rsid w:val="009B0C34"/>
    <w:rsid w:val="009E0C97"/>
    <w:rsid w:val="009F204A"/>
    <w:rsid w:val="00A013BA"/>
    <w:rsid w:val="00A32B1C"/>
    <w:rsid w:val="00A4114F"/>
    <w:rsid w:val="00A47758"/>
    <w:rsid w:val="00A7692A"/>
    <w:rsid w:val="00A77013"/>
    <w:rsid w:val="00AA0864"/>
    <w:rsid w:val="00AA1B8B"/>
    <w:rsid w:val="00AB7CF9"/>
    <w:rsid w:val="00AE2B44"/>
    <w:rsid w:val="00AE4D94"/>
    <w:rsid w:val="00B056EE"/>
    <w:rsid w:val="00B1649A"/>
    <w:rsid w:val="00B21883"/>
    <w:rsid w:val="00B325F4"/>
    <w:rsid w:val="00B44AE2"/>
    <w:rsid w:val="00B8471A"/>
    <w:rsid w:val="00B869B7"/>
    <w:rsid w:val="00BA4CE9"/>
    <w:rsid w:val="00BA507E"/>
    <w:rsid w:val="00BB43DF"/>
    <w:rsid w:val="00BB64DB"/>
    <w:rsid w:val="00BD3E57"/>
    <w:rsid w:val="00BF59B8"/>
    <w:rsid w:val="00BF7E3F"/>
    <w:rsid w:val="00C02453"/>
    <w:rsid w:val="00C15B63"/>
    <w:rsid w:val="00C40819"/>
    <w:rsid w:val="00C54BB1"/>
    <w:rsid w:val="00C558CC"/>
    <w:rsid w:val="00C5661E"/>
    <w:rsid w:val="00C7137B"/>
    <w:rsid w:val="00C7447F"/>
    <w:rsid w:val="00C81B2D"/>
    <w:rsid w:val="00C93EA1"/>
    <w:rsid w:val="00C973DA"/>
    <w:rsid w:val="00CB2A32"/>
    <w:rsid w:val="00CB6080"/>
    <w:rsid w:val="00CB7712"/>
    <w:rsid w:val="00CC3D7B"/>
    <w:rsid w:val="00CD04E4"/>
    <w:rsid w:val="00CD2DAA"/>
    <w:rsid w:val="00CD7E72"/>
    <w:rsid w:val="00CE0303"/>
    <w:rsid w:val="00CE5ADF"/>
    <w:rsid w:val="00CE6067"/>
    <w:rsid w:val="00CE63AD"/>
    <w:rsid w:val="00CE6446"/>
    <w:rsid w:val="00D1140D"/>
    <w:rsid w:val="00D13AFF"/>
    <w:rsid w:val="00D16603"/>
    <w:rsid w:val="00D17A04"/>
    <w:rsid w:val="00D17C43"/>
    <w:rsid w:val="00D3309E"/>
    <w:rsid w:val="00D455B0"/>
    <w:rsid w:val="00D53B3B"/>
    <w:rsid w:val="00D56668"/>
    <w:rsid w:val="00D6163F"/>
    <w:rsid w:val="00D63C77"/>
    <w:rsid w:val="00D70BEB"/>
    <w:rsid w:val="00D715DA"/>
    <w:rsid w:val="00D75B37"/>
    <w:rsid w:val="00D84B69"/>
    <w:rsid w:val="00DA55A2"/>
    <w:rsid w:val="00DF1A8D"/>
    <w:rsid w:val="00DF259A"/>
    <w:rsid w:val="00E04EA1"/>
    <w:rsid w:val="00E131F5"/>
    <w:rsid w:val="00E15391"/>
    <w:rsid w:val="00E27C9E"/>
    <w:rsid w:val="00E27E74"/>
    <w:rsid w:val="00E40AF7"/>
    <w:rsid w:val="00E41F35"/>
    <w:rsid w:val="00E4659D"/>
    <w:rsid w:val="00E523F1"/>
    <w:rsid w:val="00EA6DC3"/>
    <w:rsid w:val="00EC1011"/>
    <w:rsid w:val="00EE2D31"/>
    <w:rsid w:val="00EE766C"/>
    <w:rsid w:val="00EF0EF8"/>
    <w:rsid w:val="00EF3C83"/>
    <w:rsid w:val="00F358C3"/>
    <w:rsid w:val="00F5524E"/>
    <w:rsid w:val="00F70E24"/>
    <w:rsid w:val="00F76033"/>
    <w:rsid w:val="00F77345"/>
    <w:rsid w:val="00F94ECD"/>
    <w:rsid w:val="00F97CBE"/>
    <w:rsid w:val="00FA26DA"/>
    <w:rsid w:val="00FA5F0E"/>
    <w:rsid w:val="00FB4D5A"/>
    <w:rsid w:val="00FC014E"/>
    <w:rsid w:val="00FD5FC2"/>
    <w:rsid w:val="00FE2A64"/>
    <w:rsid w:val="00FF2DBF"/>
    <w:rsid w:val="00FF55EC"/>
    <w:rsid w:val="372CABE0"/>
    <w:rsid w:val="417D94B4"/>
    <w:rsid w:val="53EFC2FE"/>
    <w:rsid w:val="55909003"/>
    <w:rsid w:val="6F0A126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F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025987544">
      <w:bodyDiv w:val="1"/>
      <w:marLeft w:val="0"/>
      <w:marRight w:val="0"/>
      <w:marTop w:val="0"/>
      <w:marBottom w:val="0"/>
      <w:divBdr>
        <w:top w:val="none" w:sz="0" w:space="0" w:color="auto"/>
        <w:left w:val="none" w:sz="0" w:space="0" w:color="auto"/>
        <w:bottom w:val="none" w:sz="0" w:space="0" w:color="auto"/>
        <w:right w:val="none" w:sz="0" w:space="0" w:color="auto"/>
      </w:divBdr>
      <w:divsChild>
        <w:div w:id="1925140357">
          <w:marLeft w:val="1267"/>
          <w:marRight w:val="0"/>
          <w:marTop w:val="96"/>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0E40B-864A-4579-97AD-4D590C0D4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3436</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2024-11-18T11:54:00Z</dcterms:created>
  <dcterms:modified xsi:type="dcterms:W3CDTF">2025-02-24T15:55:00Z</dcterms:modified>
</cp:coreProperties>
</file>