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C28201" w14:textId="1D0F1A7C" w:rsidR="00E274BB" w:rsidRDefault="00E274BB" w:rsidP="00F968DF">
      <w:pPr>
        <w:rPr>
          <w:b/>
          <w:bCs/>
          <w:sz w:val="32"/>
          <w:szCs w:val="32"/>
          <w:lang w:eastAsia="en-GB"/>
        </w:rPr>
      </w:pPr>
      <w:r>
        <w:rPr>
          <w:b/>
          <w:bCs/>
          <w:sz w:val="32"/>
          <w:szCs w:val="32"/>
          <w:lang w:eastAsia="en-GB"/>
        </w:rPr>
        <w:t xml:space="preserve">L10 Handout Private purpose trusts </w:t>
      </w:r>
    </w:p>
    <w:p w14:paraId="3B9ECA9C" w14:textId="77777777" w:rsidR="00E274BB" w:rsidRDefault="00E274BB" w:rsidP="00F968DF">
      <w:pPr>
        <w:rPr>
          <w:b/>
          <w:bCs/>
          <w:sz w:val="32"/>
          <w:szCs w:val="32"/>
          <w:lang w:eastAsia="en-GB"/>
        </w:rPr>
      </w:pPr>
    </w:p>
    <w:p w14:paraId="417BBA50" w14:textId="68024F08" w:rsidR="00F968DF" w:rsidRPr="00F968DF" w:rsidRDefault="00F968DF" w:rsidP="00F968DF">
      <w:pPr>
        <w:rPr>
          <w:b/>
          <w:bCs/>
          <w:sz w:val="32"/>
          <w:szCs w:val="32"/>
          <w:lang w:eastAsia="en-GB"/>
        </w:rPr>
      </w:pPr>
      <w:r w:rsidRPr="00F968DF">
        <w:rPr>
          <w:b/>
          <w:bCs/>
          <w:sz w:val="32"/>
          <w:szCs w:val="32"/>
          <w:lang w:eastAsia="en-GB"/>
        </w:rPr>
        <w:t>Reading</w:t>
      </w:r>
    </w:p>
    <w:p w14:paraId="79AEEB4F" w14:textId="50420314" w:rsidR="00193E1E" w:rsidRPr="00193E1E" w:rsidRDefault="00193E1E" w:rsidP="00F968DF">
      <w:pPr>
        <w:rPr>
          <w:rFonts w:ascii="Calibri" w:eastAsia="Times New Roman" w:hAnsi="Calibri" w:cs="Times New Roman"/>
          <w:lang w:eastAsia="en-GB"/>
        </w:rPr>
      </w:pPr>
      <w:r w:rsidRPr="00193E1E">
        <w:rPr>
          <w:rFonts w:ascii="Calibri" w:eastAsia="Times New Roman" w:hAnsi="Calibri" w:cs="Times New Roman"/>
          <w:lang w:eastAsia="en-GB"/>
        </w:rPr>
        <w:t>*See reading list on Learn Ultra*</w:t>
      </w:r>
    </w:p>
    <w:p w14:paraId="4A9F92D4" w14:textId="273A111A" w:rsidR="00F968DF" w:rsidRDefault="00F968DF" w:rsidP="00F968DF">
      <w:pPr>
        <w:rPr>
          <w:u w:val="single"/>
          <w:lang w:eastAsia="en-GB"/>
        </w:rPr>
      </w:pPr>
      <w:r>
        <w:rPr>
          <w:u w:val="single"/>
          <w:lang w:eastAsia="en-GB"/>
        </w:rPr>
        <w:t>Cases</w:t>
      </w:r>
    </w:p>
    <w:p w14:paraId="2A4DD45F" w14:textId="0F7CEB16" w:rsidR="00F968DF" w:rsidRPr="00D4674C" w:rsidRDefault="00F968DF" w:rsidP="00F968DF">
      <w:pPr>
        <w:rPr>
          <w:rFonts w:ascii="Calibri" w:hAnsi="Calibri" w:cs="Times New Roman"/>
          <w:lang w:eastAsia="en-GB"/>
        </w:rPr>
      </w:pPr>
      <w:r w:rsidRPr="00D4674C">
        <w:rPr>
          <w:rFonts w:ascii="Calibri" w:hAnsi="Calibri" w:cs="Times New Roman"/>
          <w:i/>
          <w:iCs/>
          <w:lang w:eastAsia="en-GB"/>
        </w:rPr>
        <w:t>Morice v Bishop of Durham</w:t>
      </w:r>
      <w:r w:rsidRPr="00D4674C">
        <w:rPr>
          <w:rFonts w:ascii="Calibri" w:hAnsi="Calibri" w:cs="Times New Roman"/>
          <w:lang w:eastAsia="en-GB"/>
        </w:rPr>
        <w:t xml:space="preserve"> (1804) 9 Ves 399</w:t>
      </w:r>
    </w:p>
    <w:p w14:paraId="710E1F5D" w14:textId="46537625" w:rsidR="00F968DF" w:rsidRPr="00D4674C" w:rsidRDefault="001E307E" w:rsidP="00F968DF">
      <w:pPr>
        <w:rPr>
          <w:rFonts w:ascii="Calibri" w:hAnsi="Calibri" w:cs="Times New Roman"/>
          <w:lang w:eastAsia="en-GB"/>
        </w:rPr>
      </w:pPr>
      <w:r w:rsidRPr="00D4674C">
        <w:rPr>
          <w:rFonts w:ascii="Calibri" w:hAnsi="Calibri" w:cs="Times New Roman"/>
          <w:i/>
          <w:iCs/>
          <w:lang w:eastAsia="en-GB"/>
        </w:rPr>
        <w:t>Leahy v AG for New South Wales</w:t>
      </w:r>
      <w:r w:rsidRPr="00D4674C">
        <w:rPr>
          <w:rFonts w:ascii="Calibri" w:hAnsi="Calibri" w:cs="Times New Roman"/>
          <w:lang w:eastAsia="en-GB"/>
        </w:rPr>
        <w:t xml:space="preserve"> [1959] AC 457 (PC)</w:t>
      </w:r>
    </w:p>
    <w:p w14:paraId="48B5F834" w14:textId="0AE84A67" w:rsidR="001E307E" w:rsidRPr="00D4674C" w:rsidRDefault="001E307E" w:rsidP="00F968DF">
      <w:pPr>
        <w:rPr>
          <w:rFonts w:ascii="Calibri" w:hAnsi="Calibri" w:cs="Times New Roman"/>
          <w:lang w:eastAsia="en-GB"/>
        </w:rPr>
      </w:pPr>
      <w:r w:rsidRPr="00D4674C">
        <w:rPr>
          <w:rFonts w:ascii="Calibri" w:hAnsi="Calibri" w:cs="Times New Roman"/>
          <w:i/>
          <w:iCs/>
          <w:lang w:eastAsia="en-GB"/>
        </w:rPr>
        <w:t>Re Astor’s Settlement Trusts</w:t>
      </w:r>
      <w:r w:rsidRPr="00D4674C">
        <w:rPr>
          <w:rFonts w:ascii="Calibri" w:hAnsi="Calibri" w:cs="Times New Roman"/>
          <w:lang w:eastAsia="en-GB"/>
        </w:rPr>
        <w:t xml:space="preserve"> [1952] Ch 534 (HC)</w:t>
      </w:r>
    </w:p>
    <w:p w14:paraId="20577593" w14:textId="0C7B068C" w:rsidR="003852C6" w:rsidRPr="00D4674C" w:rsidRDefault="003852C6" w:rsidP="00F968DF">
      <w:pPr>
        <w:rPr>
          <w:rFonts w:ascii="Calibri" w:hAnsi="Calibri" w:cs="Times New Roman"/>
          <w:lang w:eastAsia="en-GB"/>
        </w:rPr>
      </w:pPr>
      <w:proofErr w:type="spellStart"/>
      <w:r w:rsidRPr="00D4674C">
        <w:rPr>
          <w:rFonts w:ascii="Calibri" w:hAnsi="Calibri" w:cs="Times New Roman"/>
          <w:lang w:eastAsia="en-GB"/>
        </w:rPr>
        <w:t>Pettingall</w:t>
      </w:r>
      <w:proofErr w:type="spellEnd"/>
      <w:r w:rsidRPr="00D4674C">
        <w:rPr>
          <w:rFonts w:ascii="Calibri" w:hAnsi="Calibri" w:cs="Times New Roman"/>
          <w:lang w:eastAsia="en-GB"/>
        </w:rPr>
        <w:t xml:space="preserve"> v </w:t>
      </w:r>
      <w:proofErr w:type="spellStart"/>
      <w:r w:rsidRPr="00D4674C">
        <w:rPr>
          <w:rFonts w:ascii="Calibri" w:hAnsi="Calibri" w:cs="Times New Roman"/>
          <w:lang w:eastAsia="en-GB"/>
        </w:rPr>
        <w:t>Pettingall</w:t>
      </w:r>
      <w:proofErr w:type="spellEnd"/>
      <w:r w:rsidRPr="00D4674C">
        <w:rPr>
          <w:rFonts w:ascii="Calibri" w:hAnsi="Calibri" w:cs="Times New Roman"/>
          <w:lang w:eastAsia="en-GB"/>
        </w:rPr>
        <w:t xml:space="preserve"> (1842) 11 LJ Ch 176</w:t>
      </w:r>
    </w:p>
    <w:p w14:paraId="60F71A4F" w14:textId="66B6D404" w:rsidR="001E307E" w:rsidRPr="00D4674C" w:rsidRDefault="006C3BC6" w:rsidP="00F968DF">
      <w:pPr>
        <w:rPr>
          <w:rFonts w:ascii="Calibri" w:hAnsi="Calibri" w:cs="Times New Roman"/>
          <w:lang w:eastAsia="en-GB"/>
        </w:rPr>
      </w:pPr>
      <w:proofErr w:type="spellStart"/>
      <w:r w:rsidRPr="00D4674C">
        <w:rPr>
          <w:rFonts w:ascii="Calibri" w:hAnsi="Calibri" w:cs="Times New Roman"/>
          <w:i/>
          <w:iCs/>
          <w:lang w:eastAsia="en-GB"/>
        </w:rPr>
        <w:t>Mussett</w:t>
      </w:r>
      <w:proofErr w:type="spellEnd"/>
      <w:r w:rsidRPr="00D4674C">
        <w:rPr>
          <w:rFonts w:ascii="Calibri" w:hAnsi="Calibri" w:cs="Times New Roman"/>
          <w:i/>
          <w:iCs/>
          <w:lang w:eastAsia="en-GB"/>
        </w:rPr>
        <w:t xml:space="preserve"> v Bingle</w:t>
      </w:r>
      <w:r w:rsidRPr="00D4674C">
        <w:rPr>
          <w:rFonts w:ascii="Calibri" w:hAnsi="Calibri" w:cs="Times New Roman"/>
          <w:lang w:eastAsia="en-GB"/>
        </w:rPr>
        <w:t xml:space="preserve"> [1876] WN 86</w:t>
      </w:r>
    </w:p>
    <w:p w14:paraId="23D394C6" w14:textId="331FBB7F" w:rsidR="003852C6" w:rsidRPr="00D4674C" w:rsidRDefault="003852C6" w:rsidP="003852C6">
      <w:pPr>
        <w:spacing w:after="0" w:line="240" w:lineRule="auto"/>
        <w:rPr>
          <w:rFonts w:ascii="Calibri" w:eastAsia="Times New Roman" w:hAnsi="Calibri" w:cs="Times New Roman"/>
          <w:lang w:eastAsia="en-GB"/>
        </w:rPr>
      </w:pPr>
      <w:r w:rsidRPr="00D4674C">
        <w:rPr>
          <w:rFonts w:ascii="Calibri" w:eastAsia="Times New Roman" w:hAnsi="Calibri" w:cs="Times New Roman"/>
          <w:lang w:eastAsia="en-GB"/>
        </w:rPr>
        <w:t>Earl Mountbatten of Burma Statue Appeal Trust (1981)</w:t>
      </w:r>
    </w:p>
    <w:p w14:paraId="6368B806" w14:textId="77777777" w:rsidR="003852C6" w:rsidRPr="00D4674C" w:rsidRDefault="003852C6" w:rsidP="003852C6">
      <w:pPr>
        <w:spacing w:after="0" w:line="240" w:lineRule="auto"/>
        <w:rPr>
          <w:rFonts w:ascii="Calibri" w:eastAsia="Times New Roman" w:hAnsi="Calibri" w:cs="Times New Roman"/>
          <w:lang w:eastAsia="en-GB"/>
        </w:rPr>
      </w:pPr>
    </w:p>
    <w:p w14:paraId="7C767A60" w14:textId="28D01C4B" w:rsidR="006C3BC6" w:rsidRPr="00D4674C" w:rsidRDefault="00E052B3" w:rsidP="00F968DF">
      <w:pPr>
        <w:rPr>
          <w:rFonts w:ascii="Calibri" w:hAnsi="Calibri" w:cs="Times New Roman"/>
          <w:lang w:eastAsia="en-GB"/>
        </w:rPr>
      </w:pPr>
      <w:r w:rsidRPr="00D4674C">
        <w:rPr>
          <w:rFonts w:ascii="Calibri" w:hAnsi="Calibri" w:cs="Times New Roman"/>
          <w:i/>
          <w:iCs/>
          <w:lang w:eastAsia="en-GB"/>
        </w:rPr>
        <w:t>Re Dean</w:t>
      </w:r>
      <w:r w:rsidRPr="00D4674C">
        <w:rPr>
          <w:rFonts w:ascii="Calibri" w:hAnsi="Calibri" w:cs="Times New Roman"/>
          <w:lang w:eastAsia="en-GB"/>
        </w:rPr>
        <w:t xml:space="preserve"> (1889) 41 Ch D 552 (HC)</w:t>
      </w:r>
    </w:p>
    <w:p w14:paraId="694F8242" w14:textId="0EF08F46" w:rsidR="00E052B3" w:rsidRPr="00D4674C" w:rsidRDefault="005C4D9D" w:rsidP="00F968DF">
      <w:pPr>
        <w:rPr>
          <w:rFonts w:ascii="Calibri" w:hAnsi="Calibri" w:cs="Times New Roman"/>
          <w:lang w:eastAsia="en-GB"/>
        </w:rPr>
      </w:pPr>
      <w:r w:rsidRPr="00D4674C">
        <w:rPr>
          <w:rFonts w:ascii="Calibri" w:hAnsi="Calibri" w:cs="Times New Roman"/>
          <w:i/>
          <w:iCs/>
          <w:lang w:eastAsia="en-GB"/>
        </w:rPr>
        <w:t xml:space="preserve">Re </w:t>
      </w:r>
      <w:proofErr w:type="spellStart"/>
      <w:r w:rsidRPr="00D4674C">
        <w:rPr>
          <w:rFonts w:ascii="Calibri" w:hAnsi="Calibri" w:cs="Times New Roman"/>
          <w:i/>
          <w:iCs/>
          <w:lang w:eastAsia="en-GB"/>
        </w:rPr>
        <w:t>Endacott</w:t>
      </w:r>
      <w:proofErr w:type="spellEnd"/>
      <w:r w:rsidRPr="00D4674C">
        <w:rPr>
          <w:rFonts w:ascii="Calibri" w:hAnsi="Calibri" w:cs="Times New Roman"/>
          <w:lang w:eastAsia="en-GB"/>
        </w:rPr>
        <w:t xml:space="preserve"> [1960] Ch 232 (CA)</w:t>
      </w:r>
    </w:p>
    <w:p w14:paraId="3263A170" w14:textId="3DB52089" w:rsidR="00EA5D82" w:rsidRPr="00D4674C" w:rsidRDefault="00EA5D82" w:rsidP="00F968DF">
      <w:pPr>
        <w:rPr>
          <w:rFonts w:ascii="Calibri" w:hAnsi="Calibri" w:cs="Times New Roman"/>
          <w:lang w:eastAsia="en-GB"/>
        </w:rPr>
      </w:pPr>
      <w:r w:rsidRPr="00D4674C">
        <w:rPr>
          <w:rFonts w:ascii="Calibri" w:hAnsi="Calibri" w:cs="Times New Roman"/>
          <w:i/>
          <w:iCs/>
          <w:lang w:eastAsia="en-GB"/>
        </w:rPr>
        <w:t>Re Denley</w:t>
      </w:r>
      <w:r w:rsidRPr="00D4674C">
        <w:rPr>
          <w:rFonts w:ascii="Calibri" w:hAnsi="Calibri" w:cs="Times New Roman"/>
          <w:lang w:eastAsia="en-GB"/>
        </w:rPr>
        <w:t xml:space="preserve"> [1969] 1 Ch 673</w:t>
      </w:r>
    </w:p>
    <w:p w14:paraId="381FDAAC" w14:textId="19662E41" w:rsidR="005C4D9D" w:rsidRPr="00D4674C" w:rsidRDefault="007A7BAF" w:rsidP="00F968DF">
      <w:pPr>
        <w:rPr>
          <w:rFonts w:ascii="Calibri" w:hAnsi="Calibri" w:cs="Times New Roman"/>
          <w:lang w:eastAsia="en-GB"/>
        </w:rPr>
      </w:pPr>
      <w:r w:rsidRPr="00D4674C">
        <w:rPr>
          <w:rFonts w:ascii="Calibri" w:hAnsi="Calibri" w:cs="Times New Roman"/>
          <w:i/>
          <w:iCs/>
          <w:lang w:eastAsia="en-GB"/>
        </w:rPr>
        <w:t>Conservative and Unionist Central Office v Burrell</w:t>
      </w:r>
      <w:r w:rsidRPr="00D4674C">
        <w:rPr>
          <w:rFonts w:ascii="Calibri" w:hAnsi="Calibri" w:cs="Times New Roman"/>
          <w:lang w:eastAsia="en-GB"/>
        </w:rPr>
        <w:t xml:space="preserve"> [1982] 1 WLR 522</w:t>
      </w:r>
    </w:p>
    <w:p w14:paraId="0009285E" w14:textId="679C134D" w:rsidR="007A7BAF" w:rsidRPr="00D4674C" w:rsidRDefault="00A85A65" w:rsidP="00F968DF">
      <w:pPr>
        <w:rPr>
          <w:rFonts w:ascii="Calibri" w:hAnsi="Calibri" w:cs="Times New Roman"/>
          <w:lang w:eastAsia="en-GB"/>
        </w:rPr>
      </w:pPr>
      <w:r w:rsidRPr="00D4674C">
        <w:rPr>
          <w:rFonts w:ascii="Calibri" w:hAnsi="Calibri" w:cs="Times New Roman"/>
          <w:i/>
          <w:iCs/>
          <w:lang w:eastAsia="en-GB"/>
        </w:rPr>
        <w:t>Neville Estates Lt</w:t>
      </w:r>
      <w:r w:rsidR="007A7BAF" w:rsidRPr="00D4674C">
        <w:rPr>
          <w:rFonts w:ascii="Calibri" w:hAnsi="Calibri" w:cs="Times New Roman"/>
          <w:i/>
          <w:iCs/>
          <w:lang w:eastAsia="en-GB"/>
        </w:rPr>
        <w:t>d v Madden</w:t>
      </w:r>
      <w:r w:rsidR="007A7BAF" w:rsidRPr="00D4674C">
        <w:rPr>
          <w:rFonts w:ascii="Calibri" w:hAnsi="Calibri" w:cs="Times New Roman"/>
          <w:lang w:eastAsia="en-GB"/>
        </w:rPr>
        <w:t xml:space="preserve"> [1962] Ch 832</w:t>
      </w:r>
    </w:p>
    <w:p w14:paraId="0D072E37" w14:textId="68ADF2C5" w:rsidR="007A7BAF" w:rsidRPr="00D4674C" w:rsidRDefault="007A7BAF" w:rsidP="00F968DF">
      <w:pPr>
        <w:rPr>
          <w:rFonts w:ascii="Calibri" w:hAnsi="Calibri" w:cs="Times New Roman"/>
          <w:lang w:eastAsia="en-GB"/>
        </w:rPr>
      </w:pPr>
      <w:r w:rsidRPr="00D4674C">
        <w:rPr>
          <w:rFonts w:ascii="Calibri" w:hAnsi="Calibri" w:cs="Times New Roman"/>
          <w:i/>
          <w:iCs/>
          <w:lang w:eastAsia="en-GB"/>
        </w:rPr>
        <w:t>Re Lipinski</w:t>
      </w:r>
      <w:r w:rsidRPr="00D4674C">
        <w:rPr>
          <w:rFonts w:ascii="Calibri" w:hAnsi="Calibri" w:cs="Times New Roman"/>
          <w:lang w:eastAsia="en-GB"/>
        </w:rPr>
        <w:t xml:space="preserve"> [1977] 1 All ER 33</w:t>
      </w:r>
    </w:p>
    <w:p w14:paraId="414B1408" w14:textId="784C57DC" w:rsidR="003852C6" w:rsidRPr="00D4674C" w:rsidRDefault="007A7BAF" w:rsidP="00F968DF">
      <w:pPr>
        <w:rPr>
          <w:rFonts w:ascii="Calibri" w:hAnsi="Calibri" w:cs="Times New Roman"/>
          <w:lang w:eastAsia="en-GB"/>
        </w:rPr>
      </w:pPr>
      <w:r w:rsidRPr="00D4674C">
        <w:rPr>
          <w:rFonts w:ascii="Calibri" w:hAnsi="Calibri" w:cs="Times New Roman"/>
          <w:i/>
          <w:iCs/>
          <w:lang w:eastAsia="en-GB"/>
        </w:rPr>
        <w:t>Re Grant's WT</w:t>
      </w:r>
      <w:r w:rsidRPr="00D4674C">
        <w:rPr>
          <w:rFonts w:ascii="Calibri" w:hAnsi="Calibri" w:cs="Times New Roman"/>
          <w:lang w:eastAsia="en-GB"/>
        </w:rPr>
        <w:t xml:space="preserve"> [1979] 3 All ER 359</w:t>
      </w:r>
    </w:p>
    <w:p w14:paraId="744CC984" w14:textId="77777777" w:rsidR="00193E1E" w:rsidRDefault="007A7BAF" w:rsidP="00193E1E">
      <w:pPr>
        <w:rPr>
          <w:rFonts w:ascii="Calibri" w:hAnsi="Calibri" w:cs="Times New Roman"/>
          <w:lang w:eastAsia="en-GB"/>
        </w:rPr>
      </w:pPr>
      <w:r w:rsidRPr="00D4674C">
        <w:rPr>
          <w:rFonts w:ascii="Calibri" w:hAnsi="Calibri" w:cs="Times New Roman"/>
          <w:i/>
          <w:iCs/>
          <w:lang w:eastAsia="en-GB"/>
        </w:rPr>
        <w:t>In the matter of the Horley Town Football Club</w:t>
      </w:r>
      <w:r w:rsidRPr="00D4674C">
        <w:rPr>
          <w:rFonts w:ascii="Calibri" w:hAnsi="Calibri" w:cs="Times New Roman"/>
          <w:lang w:eastAsia="en-GB"/>
        </w:rPr>
        <w:t xml:space="preserve"> [2006] EWHC 2386</w:t>
      </w:r>
    </w:p>
    <w:p w14:paraId="61C56A2E" w14:textId="59DFA86A" w:rsidR="00D4674C" w:rsidRPr="00193E1E" w:rsidRDefault="00D4674C" w:rsidP="00193E1E">
      <w:pPr>
        <w:rPr>
          <w:rFonts w:ascii="Calibri" w:hAnsi="Calibri" w:cs="Times New Roman"/>
          <w:lang w:eastAsia="en-GB"/>
        </w:rPr>
      </w:pPr>
      <w:r w:rsidRPr="00D4674C">
        <w:rPr>
          <w:rFonts w:ascii="Calibri" w:eastAsia="Times New Roman" w:hAnsi="Calibri" w:cs="Times New Roman"/>
          <w:i/>
          <w:lang w:eastAsia="en-GB"/>
        </w:rPr>
        <w:t>Cocks v Manners</w:t>
      </w:r>
      <w:r w:rsidRPr="00D4674C">
        <w:rPr>
          <w:rFonts w:ascii="Calibri" w:eastAsia="Times New Roman" w:hAnsi="Calibri" w:cs="Times New Roman"/>
          <w:lang w:eastAsia="en-GB"/>
        </w:rPr>
        <w:t xml:space="preserve"> [1871] LR 12 </w:t>
      </w:r>
      <w:proofErr w:type="spellStart"/>
      <w:r w:rsidRPr="00D4674C">
        <w:rPr>
          <w:rFonts w:ascii="Calibri" w:eastAsia="Times New Roman" w:hAnsi="Calibri" w:cs="Times New Roman"/>
          <w:lang w:eastAsia="en-GB"/>
        </w:rPr>
        <w:t>Eq</w:t>
      </w:r>
      <w:proofErr w:type="spellEnd"/>
      <w:r w:rsidRPr="00D4674C">
        <w:rPr>
          <w:rFonts w:ascii="Calibri" w:eastAsia="Times New Roman" w:hAnsi="Calibri" w:cs="Times New Roman"/>
          <w:lang w:eastAsia="en-GB"/>
        </w:rPr>
        <w:t xml:space="preserve"> 574</w:t>
      </w:r>
    </w:p>
    <w:p w14:paraId="1161B2F9" w14:textId="77777777" w:rsidR="00F968DF" w:rsidRPr="00F968DF" w:rsidRDefault="00F968DF" w:rsidP="00F968DF">
      <w:pPr>
        <w:spacing w:after="200" w:line="276" w:lineRule="auto"/>
        <w:rPr>
          <w:rFonts w:ascii="Cambria" w:eastAsia="Times New Roman" w:hAnsi="Cambria" w:cs="Times New Roman"/>
          <w:b/>
          <w:bCs/>
          <w:sz w:val="28"/>
          <w:szCs w:val="28"/>
          <w:u w:val="single"/>
          <w:lang w:eastAsia="en-GB"/>
        </w:rPr>
      </w:pPr>
      <w:r w:rsidRPr="00F968DF">
        <w:rPr>
          <w:rFonts w:ascii="Calibri" w:eastAsia="Times New Roman" w:hAnsi="Calibri" w:cs="Times New Roman"/>
          <w:lang w:eastAsia="en-GB"/>
        </w:rPr>
        <w:br w:type="page"/>
      </w:r>
    </w:p>
    <w:p w14:paraId="6C1BC41C" w14:textId="77777777" w:rsidR="00F968DF" w:rsidRPr="00F968DF" w:rsidRDefault="00F968DF" w:rsidP="00F968DF">
      <w:pPr>
        <w:spacing w:before="480" w:after="0" w:line="276" w:lineRule="auto"/>
        <w:ind w:left="432" w:hanging="432"/>
        <w:contextualSpacing/>
        <w:jc w:val="both"/>
        <w:outlineLvl w:val="0"/>
        <w:rPr>
          <w:rFonts w:ascii="Cambria" w:eastAsia="Times New Roman" w:hAnsi="Cambria" w:cs="Times New Roman"/>
          <w:b/>
          <w:bCs/>
          <w:sz w:val="28"/>
          <w:szCs w:val="28"/>
          <w:u w:val="single"/>
          <w:lang w:eastAsia="en-GB"/>
        </w:rPr>
      </w:pPr>
      <w:bookmarkStart w:id="0" w:name="_Toc402265297"/>
      <w:r w:rsidRPr="00F968DF">
        <w:rPr>
          <w:rFonts w:ascii="Cambria" w:eastAsia="Times New Roman" w:hAnsi="Cambria" w:cs="Times New Roman"/>
          <w:b/>
          <w:bCs/>
          <w:sz w:val="28"/>
          <w:szCs w:val="28"/>
          <w:u w:val="single"/>
          <w:lang w:eastAsia="en-GB"/>
        </w:rPr>
        <w:lastRenderedPageBreak/>
        <w:t>The Beneficiary Principle and Purpose Trusts</w:t>
      </w:r>
      <w:bookmarkEnd w:id="0"/>
    </w:p>
    <w:p w14:paraId="003F5538" w14:textId="77777777" w:rsidR="00F968DF" w:rsidRPr="00F968DF" w:rsidRDefault="00F968DF" w:rsidP="00F968DF">
      <w:pPr>
        <w:numPr>
          <w:ilvl w:val="1"/>
          <w:numId w:val="0"/>
        </w:numPr>
        <w:spacing w:before="200" w:after="0" w:line="276" w:lineRule="auto"/>
        <w:ind w:left="1427" w:hanging="576"/>
        <w:jc w:val="both"/>
        <w:outlineLvl w:val="1"/>
        <w:rPr>
          <w:rFonts w:ascii="Cambria" w:eastAsia="Times New Roman" w:hAnsi="Cambria" w:cs="Times New Roman"/>
          <w:b/>
          <w:bCs/>
          <w:sz w:val="26"/>
          <w:szCs w:val="26"/>
          <w:lang w:eastAsia="en-GB"/>
        </w:rPr>
      </w:pPr>
      <w:bookmarkStart w:id="1" w:name="_Toc402265298"/>
      <w:r w:rsidRPr="00F968DF">
        <w:rPr>
          <w:rFonts w:ascii="Cambria" w:eastAsia="Times New Roman" w:hAnsi="Cambria" w:cs="Times New Roman"/>
          <w:b/>
          <w:bCs/>
          <w:sz w:val="26"/>
          <w:szCs w:val="26"/>
          <w:lang w:eastAsia="en-GB"/>
        </w:rPr>
        <w:t>Purpose Trusts</w:t>
      </w:r>
      <w:bookmarkEnd w:id="1"/>
    </w:p>
    <w:p w14:paraId="18B50051" w14:textId="77777777" w:rsidR="00F968DF" w:rsidRPr="00F968DF" w:rsidRDefault="00F968DF" w:rsidP="00F968DF">
      <w:pPr>
        <w:numPr>
          <w:ilvl w:val="0"/>
          <w:numId w:val="1"/>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Where a trust is expressed as created for a purpose, there are three reasons why it may fail:</w:t>
      </w:r>
    </w:p>
    <w:p w14:paraId="72D9D507" w14:textId="77777777" w:rsidR="00F968DF" w:rsidRPr="00F968DF" w:rsidRDefault="00F968DF" w:rsidP="00F968DF">
      <w:pPr>
        <w:numPr>
          <w:ilvl w:val="0"/>
          <w:numId w:val="2"/>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There must be someone who can enforce the trust, so that the court can control it (</w:t>
      </w:r>
      <w:r w:rsidRPr="00F968DF">
        <w:rPr>
          <w:rFonts w:ascii="Calibri" w:eastAsia="Times New Roman" w:hAnsi="Calibri" w:cs="Times New Roman"/>
          <w:b/>
          <w:lang w:eastAsia="en-GB"/>
        </w:rPr>
        <w:t>the beneficiary principle</w:t>
      </w:r>
      <w:r w:rsidRPr="00F968DF">
        <w:rPr>
          <w:rFonts w:ascii="Calibri" w:eastAsia="Times New Roman" w:hAnsi="Calibri" w:cs="Times New Roman"/>
          <w:lang w:eastAsia="en-GB"/>
        </w:rPr>
        <w:t>);</w:t>
      </w:r>
    </w:p>
    <w:p w14:paraId="29CE5F31" w14:textId="77777777" w:rsidR="00F968DF" w:rsidRPr="00F968DF" w:rsidRDefault="00F968DF" w:rsidP="00F968DF">
      <w:pPr>
        <w:numPr>
          <w:ilvl w:val="0"/>
          <w:numId w:val="2"/>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 xml:space="preserve">The trust must comply with the rules against </w:t>
      </w:r>
      <w:r w:rsidRPr="00F968DF">
        <w:rPr>
          <w:rFonts w:ascii="Calibri" w:eastAsia="Times New Roman" w:hAnsi="Calibri" w:cs="Times New Roman"/>
          <w:u w:val="single"/>
          <w:lang w:eastAsia="en-GB"/>
        </w:rPr>
        <w:t>perpetuities</w:t>
      </w:r>
      <w:r w:rsidRPr="00F968DF">
        <w:rPr>
          <w:rFonts w:ascii="Calibri" w:eastAsia="Times New Roman" w:hAnsi="Calibri" w:cs="Times New Roman"/>
          <w:lang w:eastAsia="en-GB"/>
        </w:rPr>
        <w:t xml:space="preserve"> (it must not be intended to go on for ever and ever);</w:t>
      </w:r>
    </w:p>
    <w:p w14:paraId="6D26AB32" w14:textId="77777777" w:rsidR="00F968DF" w:rsidRPr="00F968DF" w:rsidRDefault="00F968DF" w:rsidP="00F968DF">
      <w:pPr>
        <w:numPr>
          <w:ilvl w:val="0"/>
          <w:numId w:val="2"/>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 xml:space="preserve">The trust must be sufficiently </w:t>
      </w:r>
      <w:r w:rsidRPr="00F968DF">
        <w:rPr>
          <w:rFonts w:ascii="Calibri" w:eastAsia="Times New Roman" w:hAnsi="Calibri" w:cs="Times New Roman"/>
          <w:u w:val="single"/>
          <w:lang w:eastAsia="en-GB"/>
        </w:rPr>
        <w:t>certain</w:t>
      </w:r>
      <w:r w:rsidRPr="00F968DF">
        <w:rPr>
          <w:rFonts w:ascii="Calibri" w:eastAsia="Times New Roman" w:hAnsi="Calibri" w:cs="Times New Roman"/>
          <w:lang w:eastAsia="en-GB"/>
        </w:rPr>
        <w:t>.</w:t>
      </w:r>
    </w:p>
    <w:p w14:paraId="7F82998B" w14:textId="77777777" w:rsidR="00F968DF" w:rsidRPr="00F968DF" w:rsidRDefault="00F968DF" w:rsidP="00F968DF">
      <w:pPr>
        <w:numPr>
          <w:ilvl w:val="0"/>
          <w:numId w:val="1"/>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As a general rule, trusts for purposes will fail.</w:t>
      </w:r>
    </w:p>
    <w:p w14:paraId="5049576A" w14:textId="77777777" w:rsidR="00F968DF" w:rsidRPr="00F968DF" w:rsidRDefault="00F968DF" w:rsidP="00F968DF">
      <w:pPr>
        <w:numPr>
          <w:ilvl w:val="1"/>
          <w:numId w:val="0"/>
        </w:numPr>
        <w:spacing w:before="200" w:after="0" w:line="276" w:lineRule="auto"/>
        <w:ind w:left="1427" w:hanging="576"/>
        <w:jc w:val="both"/>
        <w:outlineLvl w:val="1"/>
        <w:rPr>
          <w:rFonts w:ascii="Cambria" w:eastAsia="Times New Roman" w:hAnsi="Cambria" w:cs="Times New Roman"/>
          <w:b/>
          <w:bCs/>
          <w:sz w:val="26"/>
          <w:szCs w:val="26"/>
          <w:lang w:eastAsia="en-GB"/>
        </w:rPr>
      </w:pPr>
      <w:bookmarkStart w:id="2" w:name="_Toc402265299"/>
      <w:r w:rsidRPr="00F968DF">
        <w:rPr>
          <w:rFonts w:ascii="Cambria" w:eastAsia="Times New Roman" w:hAnsi="Cambria" w:cs="Times New Roman"/>
          <w:b/>
          <w:bCs/>
          <w:sz w:val="26"/>
          <w:szCs w:val="26"/>
          <w:lang w:eastAsia="en-GB"/>
        </w:rPr>
        <w:t>The Beneficiary Principle</w:t>
      </w:r>
      <w:bookmarkEnd w:id="2"/>
    </w:p>
    <w:p w14:paraId="28AB6955"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bookmarkStart w:id="3" w:name="_Hlk55389190"/>
      <w:r w:rsidRPr="00F968DF">
        <w:rPr>
          <w:rFonts w:ascii="Calibri" w:eastAsia="Times New Roman" w:hAnsi="Calibri" w:cs="Times New Roman"/>
          <w:i/>
          <w:u w:val="single"/>
          <w:lang w:eastAsia="en-GB"/>
        </w:rPr>
        <w:t>Morice v Bishop of Durham</w:t>
      </w:r>
      <w:r w:rsidRPr="00F968DF">
        <w:rPr>
          <w:rFonts w:ascii="Calibri" w:eastAsia="Times New Roman" w:hAnsi="Calibri" w:cs="Times New Roman"/>
          <w:u w:val="single"/>
          <w:lang w:eastAsia="en-GB"/>
        </w:rPr>
        <w:t xml:space="preserve"> (1804) 9 Ves 399</w:t>
      </w:r>
      <w:r w:rsidRPr="00F968DF">
        <w:rPr>
          <w:rFonts w:ascii="Calibri" w:eastAsia="Times New Roman" w:hAnsi="Calibri" w:cs="Times New Roman"/>
          <w:lang w:eastAsia="en-GB"/>
        </w:rPr>
        <w:t xml:space="preserve"> </w:t>
      </w:r>
    </w:p>
    <w:bookmarkEnd w:id="3"/>
    <w:p w14:paraId="52F4A3F7"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at 405, per Sir William Grant MR:</w:t>
      </w:r>
    </w:p>
    <w:p w14:paraId="0E431C84"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
          <w:lang w:eastAsia="en-GB"/>
        </w:rPr>
      </w:pPr>
      <w:r w:rsidRPr="00F968DF">
        <w:rPr>
          <w:rFonts w:ascii="Calibri" w:eastAsia="Times New Roman" w:hAnsi="Calibri" w:cs="Times New Roman"/>
          <w:i/>
          <w:lang w:eastAsia="en-GB"/>
        </w:rPr>
        <w:t>‘Every ....... trust must have a definite object. There must be someone in whose favour the court can decree performance.’</w:t>
      </w:r>
    </w:p>
    <w:p w14:paraId="3FA9A901"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Calibri"/>
          <w:lang w:eastAsia="en-GB"/>
        </w:rPr>
      </w:pPr>
      <w:r w:rsidRPr="00F968DF">
        <w:rPr>
          <w:rFonts w:ascii="Calibri" w:eastAsia="Times New Roman" w:hAnsi="Calibri" w:cs="Calibri"/>
          <w:lang w:eastAsia="en-GB"/>
        </w:rPr>
        <w:t>Bequest to the Bishop upon trust for "such objects of benevolence and liberality as the Bishop of Durham in his own discretion shall most approve of."</w:t>
      </w:r>
    </w:p>
    <w:p w14:paraId="6AC555EA" w14:textId="77777777" w:rsidR="00F968DF" w:rsidRPr="00F968DF" w:rsidRDefault="00F968DF" w:rsidP="00F968DF">
      <w:pPr>
        <w:spacing w:after="200" w:line="276" w:lineRule="auto"/>
        <w:jc w:val="both"/>
        <w:rPr>
          <w:rFonts w:ascii="Calibri" w:eastAsia="Times New Roman" w:hAnsi="Calibri" w:cs="Calibri"/>
          <w:lang w:eastAsia="en-GB"/>
        </w:rPr>
      </w:pPr>
    </w:p>
    <w:p w14:paraId="2F7DE7F2"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i/>
          <w:lang w:eastAsia="en-GB"/>
        </w:rPr>
        <w:t xml:space="preserve">Bowman v Secular Society </w:t>
      </w:r>
      <w:r w:rsidRPr="00F968DF">
        <w:rPr>
          <w:rFonts w:ascii="Calibri" w:eastAsia="Times New Roman" w:hAnsi="Calibri" w:cs="Times New Roman"/>
          <w:lang w:eastAsia="en-GB"/>
        </w:rPr>
        <w:t>[1917] AC 406 (HL) at 441, per Lord Parker:</w:t>
      </w:r>
    </w:p>
    <w:p w14:paraId="0C380529"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
          <w:lang w:eastAsia="en-GB"/>
        </w:rPr>
      </w:pPr>
      <w:r w:rsidRPr="00F968DF">
        <w:rPr>
          <w:rFonts w:ascii="Calibri" w:eastAsia="Times New Roman" w:hAnsi="Calibri" w:cs="Times New Roman"/>
          <w:lang w:eastAsia="en-GB"/>
        </w:rPr>
        <w:tab/>
      </w:r>
      <w:r w:rsidRPr="00F968DF">
        <w:rPr>
          <w:rFonts w:ascii="Calibri" w:eastAsia="Times New Roman" w:hAnsi="Calibri" w:cs="Times New Roman"/>
          <w:i/>
          <w:lang w:eastAsia="en-GB"/>
        </w:rPr>
        <w:t>‘A trust to be valid must be for the benefit of individuals.’</w:t>
      </w:r>
    </w:p>
    <w:p w14:paraId="5C2AABFE" w14:textId="77777777" w:rsidR="00F968DF" w:rsidRPr="00F968DF" w:rsidRDefault="00F968DF" w:rsidP="00F968DF">
      <w:pPr>
        <w:numPr>
          <w:ilvl w:val="0"/>
          <w:numId w:val="1"/>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For a trust to be valid, it must be for the benefit of people, not just for the carrying out of some purpose. For a more modern restatement of the beneficiary principle see:</w:t>
      </w:r>
    </w:p>
    <w:p w14:paraId="6C150EA8"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i/>
          <w:u w:val="single"/>
          <w:lang w:eastAsia="en-GB"/>
        </w:rPr>
        <w:t xml:space="preserve">Leahy v AG for New South Wales </w:t>
      </w:r>
      <w:r w:rsidRPr="00F968DF">
        <w:rPr>
          <w:rFonts w:ascii="Calibri" w:eastAsia="Times New Roman" w:hAnsi="Calibri" w:cs="Times New Roman"/>
          <w:u w:val="single"/>
          <w:lang w:eastAsia="en-GB"/>
        </w:rPr>
        <w:t xml:space="preserve">[1959] AC 457 (PC) </w:t>
      </w:r>
    </w:p>
    <w:p w14:paraId="7EE025A2"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at 478-9, per Viscount Simonds:</w:t>
      </w:r>
    </w:p>
    <w:p w14:paraId="7810B98D"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
          <w:lang w:eastAsia="en-GB"/>
        </w:rPr>
      </w:pPr>
      <w:r w:rsidRPr="00F968DF">
        <w:rPr>
          <w:rFonts w:ascii="Calibri" w:eastAsia="Times New Roman" w:hAnsi="Calibri" w:cs="Times New Roman"/>
          <w:i/>
          <w:lang w:eastAsia="en-GB"/>
        </w:rPr>
        <w:t>‘A gift can be made to persons (including a corporation) but it cannot be made to a purpose or to an object: so also a trust may be created for the benefit of persons as cestuis que trust but not for a purpose or object unless the purpose or object be charitable. For a purpose or object cannot sue, but, if it be charitable, the Attorney- General can sue to enforce it.’</w:t>
      </w:r>
    </w:p>
    <w:p w14:paraId="34AB403F" w14:textId="77777777" w:rsidR="00F968DF" w:rsidRPr="00F968DF" w:rsidRDefault="00F968DF" w:rsidP="00F968DF">
      <w:pPr>
        <w:numPr>
          <w:ilvl w:val="0"/>
          <w:numId w:val="1"/>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 xml:space="preserve">The rationale for the beneficiary principle is that without a legal person who has an interest in seeing that the trust is carried out as it should be, it will be impossible to ensure proper administration of the trust by the trustees. </w:t>
      </w:r>
    </w:p>
    <w:p w14:paraId="28CC8BA0" w14:textId="77777777" w:rsidR="00F968DF" w:rsidRPr="00F968DF" w:rsidRDefault="00F968DF" w:rsidP="00F968DF">
      <w:pPr>
        <w:shd w:val="clear" w:color="auto" w:fill="FFFFFF"/>
        <w:spacing w:after="200" w:line="276" w:lineRule="auto"/>
        <w:jc w:val="both"/>
        <w:rPr>
          <w:rFonts w:ascii="Calibri" w:eastAsia="Times New Roman" w:hAnsi="Calibri" w:cs="Times New Roman"/>
          <w:i/>
          <w:u w:val="single"/>
          <w:lang w:eastAsia="en-GB"/>
        </w:rPr>
      </w:pPr>
    </w:p>
    <w:p w14:paraId="4A1551B1"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u w:val="single"/>
          <w:lang w:eastAsia="en-GB"/>
        </w:rPr>
      </w:pPr>
      <w:r w:rsidRPr="00F968DF">
        <w:rPr>
          <w:rFonts w:ascii="Calibri" w:eastAsia="Times New Roman" w:hAnsi="Calibri" w:cs="Times New Roman"/>
          <w:i/>
          <w:u w:val="single"/>
          <w:lang w:eastAsia="en-GB"/>
        </w:rPr>
        <w:t>Re Astor’s Settlement Trusts</w:t>
      </w:r>
      <w:r w:rsidRPr="00F968DF">
        <w:rPr>
          <w:rFonts w:ascii="Calibri" w:eastAsia="Times New Roman" w:hAnsi="Calibri" w:cs="Times New Roman"/>
          <w:u w:val="single"/>
          <w:lang w:eastAsia="en-GB"/>
        </w:rPr>
        <w:t xml:space="preserve"> [1952] Ch 534 (HC)</w:t>
      </w:r>
    </w:p>
    <w:p w14:paraId="2EEBC19A"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This case is a good example of the beneficiary principle in practice:</w:t>
      </w:r>
    </w:p>
    <w:p w14:paraId="256F03AB"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val="en-US" w:eastAsia="en-GB"/>
        </w:rPr>
      </w:pPr>
      <w:r w:rsidRPr="00F968DF">
        <w:rPr>
          <w:rFonts w:ascii="Calibri" w:eastAsia="Times New Roman" w:hAnsi="Calibri" w:cs="Times New Roman"/>
          <w:lang w:eastAsia="en-GB"/>
        </w:rPr>
        <w:lastRenderedPageBreak/>
        <w:t>Viscount Astor created a trust, the terms of which were that the income was to be applied for the ‘maintenance ... of good understanding ... between nations,’ ‘the preservation of the independence and integrity of newspapers,’ ‘the control publication ... financing or management of any newspapers,’ and ‘the protection of newspapers ... from being absorbed or controlled… [in ways] inconsistent with the highest integrity or independence.’</w:t>
      </w:r>
    </w:p>
    <w:p w14:paraId="2EEC7EFB"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It was accepted that these purposes were non-charitable. </w:t>
      </w:r>
    </w:p>
    <w:p w14:paraId="41D01E14"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Roxburgh J held:  the trust was invalid on two different grounds. </w:t>
      </w:r>
    </w:p>
    <w:p w14:paraId="681EB643"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Firstly, it violated the beneficiary principle. He explained the reasons for the beneficiary principle as follows (at 541-2):</w:t>
      </w:r>
    </w:p>
    <w:p w14:paraId="7D430FBD"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
          <w:lang w:eastAsia="en-GB"/>
        </w:rPr>
      </w:pPr>
      <w:r w:rsidRPr="00F968DF">
        <w:rPr>
          <w:rFonts w:ascii="Calibri" w:eastAsia="Times New Roman" w:hAnsi="Calibri" w:cs="Times New Roman"/>
          <w:i/>
          <w:lang w:eastAsia="en-GB"/>
        </w:rPr>
        <w:t xml:space="preserve">‘… if the purposes are not charitable, great difficulties arise both in theory and practice. In theory, because having regard to the historical origins of equity it is difficult to visualize the growth of equitable obligations which nobody can enforce, and in practice, because it is not possible to contemplate with equanimity the creation of large funds devoted to non-charitable purposes which no court and no department of state can control, or in the case of maladministration reform.’ </w:t>
      </w:r>
    </w:p>
    <w:p w14:paraId="10BFB8FA"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Secondly, the trust would, in any event, have failed on the grounds of uncertainty (at 547):</w:t>
      </w:r>
    </w:p>
    <w:p w14:paraId="26281747"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
          <w:lang w:eastAsia="en-GB"/>
        </w:rPr>
      </w:pPr>
      <w:r w:rsidRPr="00F968DF">
        <w:rPr>
          <w:rFonts w:ascii="Calibri" w:eastAsia="Times New Roman" w:hAnsi="Calibri" w:cs="Times New Roman"/>
          <w:i/>
          <w:lang w:eastAsia="en-GB"/>
        </w:rPr>
        <w:t xml:space="preserve">‘If (contrary to my view) an enumeration of purposes outside the realm of charities can take the place of an enumeration of beneficiaries, the purposes must, in my judgment, be stated in phrases which embody definite concepts and the means by which the trustees are to try to attain them must also be prescribed with a sufficient degree of certainty.’ </w:t>
      </w:r>
    </w:p>
    <w:p w14:paraId="6B11CB11"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He then concluded (at 549) by saying that both of these grounds had </w:t>
      </w:r>
    </w:p>
    <w:p w14:paraId="24A847EF"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
          <w:lang w:eastAsia="en-GB"/>
        </w:rPr>
      </w:pPr>
      <w:r w:rsidRPr="00F968DF">
        <w:rPr>
          <w:rFonts w:ascii="Calibri" w:eastAsia="Times New Roman" w:hAnsi="Calibri" w:cs="Times New Roman"/>
          <w:i/>
          <w:lang w:eastAsia="en-GB"/>
        </w:rPr>
        <w:t xml:space="preserve">‘their origin in a single principle, namely, that a court of equity does not recognize as valid a trust which it cannot both enforce and control. This seems to me to be good equity and good sense.’ </w:t>
      </w:r>
    </w:p>
    <w:p w14:paraId="66DC5FEF" w14:textId="77777777" w:rsidR="00F968DF" w:rsidRPr="00F968DF" w:rsidRDefault="00F968DF" w:rsidP="00F968DF">
      <w:pPr>
        <w:numPr>
          <w:ilvl w:val="2"/>
          <w:numId w:val="0"/>
        </w:numPr>
        <w:spacing w:before="200" w:after="0" w:line="271" w:lineRule="auto"/>
        <w:ind w:left="720" w:hanging="720"/>
        <w:jc w:val="both"/>
        <w:outlineLvl w:val="2"/>
        <w:rPr>
          <w:rFonts w:ascii="Cambria" w:eastAsia="Times New Roman" w:hAnsi="Cambria" w:cs="Times New Roman"/>
          <w:b/>
          <w:bCs/>
          <w:lang w:eastAsia="en-GB"/>
        </w:rPr>
      </w:pPr>
      <w:bookmarkStart w:id="4" w:name="_Toc402265300"/>
      <w:r w:rsidRPr="00F968DF">
        <w:rPr>
          <w:rFonts w:ascii="Cambria" w:eastAsia="Times New Roman" w:hAnsi="Cambria" w:cs="Times New Roman"/>
          <w:b/>
          <w:bCs/>
          <w:lang w:eastAsia="en-GB"/>
        </w:rPr>
        <w:t>Exceptions to the Beneficiary Principle</w:t>
      </w:r>
      <w:bookmarkEnd w:id="4"/>
    </w:p>
    <w:p w14:paraId="2F5931EF" w14:textId="77777777" w:rsidR="00F968DF" w:rsidRPr="00F968DF" w:rsidRDefault="00F968DF" w:rsidP="00F968DF">
      <w:pPr>
        <w:numPr>
          <w:ilvl w:val="0"/>
          <w:numId w:val="1"/>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 xml:space="preserve">The most significant exception to the beneficiary principle (alluded to above in Roxburgh J’s judgment in </w:t>
      </w:r>
      <w:r w:rsidRPr="00F968DF">
        <w:rPr>
          <w:rFonts w:ascii="Calibri" w:eastAsia="Times New Roman" w:hAnsi="Calibri" w:cs="Times New Roman"/>
          <w:i/>
          <w:u w:val="single"/>
          <w:lang w:eastAsia="en-GB"/>
        </w:rPr>
        <w:t>Re Astor’s Settlement Trusts</w:t>
      </w:r>
      <w:r w:rsidRPr="00F968DF">
        <w:rPr>
          <w:rFonts w:ascii="Calibri" w:eastAsia="Times New Roman" w:hAnsi="Calibri" w:cs="Times New Roman"/>
          <w:i/>
          <w:lang w:eastAsia="en-GB"/>
        </w:rPr>
        <w:t xml:space="preserve"> </w:t>
      </w:r>
      <w:r w:rsidRPr="00F968DF">
        <w:rPr>
          <w:rFonts w:ascii="Calibri" w:eastAsia="Times New Roman" w:hAnsi="Calibri" w:cs="Times New Roman"/>
          <w:lang w:eastAsia="en-GB"/>
        </w:rPr>
        <w:t xml:space="preserve">and Viscount Simonds in </w:t>
      </w:r>
      <w:r w:rsidRPr="00F968DF">
        <w:rPr>
          <w:rFonts w:ascii="Calibri" w:eastAsia="Times New Roman" w:hAnsi="Calibri" w:cs="Times New Roman"/>
          <w:i/>
          <w:u w:val="single"/>
          <w:lang w:eastAsia="en-GB"/>
        </w:rPr>
        <w:t>Leahy v AG for New South Wales</w:t>
      </w:r>
      <w:r w:rsidRPr="00F968DF">
        <w:rPr>
          <w:rFonts w:ascii="Calibri" w:eastAsia="Times New Roman" w:hAnsi="Calibri" w:cs="Times New Roman"/>
          <w:lang w:eastAsia="en-GB"/>
        </w:rPr>
        <w:t>) is the trust for charitable purposes. Charitable purpose trusts are often referred to as trusts for ‘public purposes’ as opposed to trusts for ‘private purposes.’ We will deal with trusts for charitable purposes over the next couple of lectures.</w:t>
      </w:r>
    </w:p>
    <w:p w14:paraId="0BDD7D10" w14:textId="77777777" w:rsidR="00F968DF" w:rsidRPr="00F968DF" w:rsidRDefault="00F968DF" w:rsidP="00F968DF">
      <w:pPr>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Exceptions to the beneficiary principle have also been made in a group of cases which were labelled ‘concessions to human weakness or sentiment’ by Underhill (approved by Roxburgh J in </w:t>
      </w:r>
      <w:r w:rsidRPr="00F968DF">
        <w:rPr>
          <w:rFonts w:ascii="Calibri" w:eastAsia="Times New Roman" w:hAnsi="Calibri" w:cs="Times New Roman"/>
          <w:i/>
          <w:u w:val="single"/>
          <w:lang w:eastAsia="en-GB"/>
        </w:rPr>
        <w:t>Re Astor’s Settlement Trusts</w:t>
      </w:r>
      <w:r w:rsidRPr="00F968DF">
        <w:rPr>
          <w:rFonts w:ascii="Calibri" w:eastAsia="Times New Roman" w:hAnsi="Calibri" w:cs="Times New Roman"/>
          <w:lang w:eastAsia="en-GB"/>
        </w:rPr>
        <w:t xml:space="preserve">). This label reflects the fact that there is no principled basis for upholding these trusts. For this </w:t>
      </w:r>
      <w:proofErr w:type="gramStart"/>
      <w:r w:rsidRPr="00F968DF">
        <w:rPr>
          <w:rFonts w:ascii="Calibri" w:eastAsia="Times New Roman" w:hAnsi="Calibri" w:cs="Times New Roman"/>
          <w:lang w:eastAsia="en-GB"/>
        </w:rPr>
        <w:t>reason</w:t>
      </w:r>
      <w:proofErr w:type="gramEnd"/>
      <w:r w:rsidRPr="00F968DF">
        <w:rPr>
          <w:rFonts w:ascii="Calibri" w:eastAsia="Times New Roman" w:hAnsi="Calibri" w:cs="Times New Roman"/>
          <w:lang w:eastAsia="en-GB"/>
        </w:rPr>
        <w:t xml:space="preserve"> they are also known as ‘anomalous exceptions’ to the beneficiary principle. </w:t>
      </w:r>
    </w:p>
    <w:p w14:paraId="4B137D1E" w14:textId="77777777" w:rsidR="00F968DF" w:rsidRPr="00F968DF" w:rsidRDefault="00F968DF" w:rsidP="00F968DF">
      <w:pPr>
        <w:spacing w:after="200" w:line="276" w:lineRule="auto"/>
        <w:rPr>
          <w:rFonts w:ascii="Cambria" w:eastAsia="Times New Roman" w:hAnsi="Cambria" w:cs="Times New Roman"/>
          <w:b/>
          <w:bCs/>
          <w:iCs/>
          <w:lang w:eastAsia="en-GB"/>
        </w:rPr>
      </w:pPr>
      <w:r w:rsidRPr="00F968DF">
        <w:rPr>
          <w:rFonts w:ascii="Calibri" w:eastAsia="Times New Roman" w:hAnsi="Calibri" w:cs="Times New Roman"/>
          <w:lang w:eastAsia="en-GB"/>
        </w:rPr>
        <w:br w:type="page"/>
      </w:r>
    </w:p>
    <w:p w14:paraId="45B3CB7A" w14:textId="77777777" w:rsidR="00F968DF" w:rsidRPr="00F968DF" w:rsidRDefault="00F968DF" w:rsidP="00F968DF">
      <w:pPr>
        <w:numPr>
          <w:ilvl w:val="3"/>
          <w:numId w:val="0"/>
        </w:numPr>
        <w:spacing w:before="200" w:after="0" w:line="276" w:lineRule="auto"/>
        <w:ind w:left="864" w:hanging="864"/>
        <w:jc w:val="both"/>
        <w:outlineLvl w:val="3"/>
        <w:rPr>
          <w:rFonts w:ascii="Cambria" w:eastAsia="Times New Roman" w:hAnsi="Cambria" w:cs="Times New Roman"/>
          <w:b/>
          <w:bCs/>
          <w:iCs/>
          <w:lang w:eastAsia="en-GB"/>
        </w:rPr>
      </w:pPr>
      <w:r w:rsidRPr="00F968DF">
        <w:rPr>
          <w:rFonts w:ascii="Cambria" w:eastAsia="Times New Roman" w:hAnsi="Cambria" w:cs="Times New Roman"/>
          <w:b/>
          <w:bCs/>
          <w:iCs/>
          <w:lang w:eastAsia="en-GB"/>
        </w:rPr>
        <w:lastRenderedPageBreak/>
        <w:t>‘Anomalous exceptions’ to the beneficiary principle – Trust of Imperfect Obligation</w:t>
      </w:r>
    </w:p>
    <w:p w14:paraId="1D91F086" w14:textId="77777777" w:rsidR="00F968DF" w:rsidRPr="00F968DF" w:rsidRDefault="00F968DF" w:rsidP="00F968DF">
      <w:pPr>
        <w:numPr>
          <w:ilvl w:val="2"/>
          <w:numId w:val="0"/>
        </w:numPr>
        <w:spacing w:before="200" w:after="0" w:line="271" w:lineRule="auto"/>
        <w:ind w:left="720" w:hanging="720"/>
        <w:jc w:val="both"/>
        <w:outlineLvl w:val="2"/>
        <w:rPr>
          <w:rFonts w:ascii="Cambria" w:eastAsia="Times New Roman" w:hAnsi="Cambria" w:cs="Times New Roman"/>
          <w:b/>
          <w:bCs/>
          <w:lang w:eastAsia="en-GB"/>
        </w:rPr>
      </w:pPr>
      <w:bookmarkStart w:id="5" w:name="_Toc402265301"/>
      <w:r w:rsidRPr="00F968DF">
        <w:rPr>
          <w:rFonts w:ascii="Cambria" w:eastAsia="Times New Roman" w:hAnsi="Cambria" w:cs="Times New Roman"/>
          <w:b/>
          <w:bCs/>
          <w:lang w:eastAsia="en-GB"/>
        </w:rPr>
        <w:t>The 4 trusts of imperfect obligation</w:t>
      </w:r>
      <w:bookmarkEnd w:id="5"/>
    </w:p>
    <w:p w14:paraId="02C4F90F" w14:textId="77777777" w:rsidR="00F968DF" w:rsidRPr="00F968DF" w:rsidRDefault="00F968DF" w:rsidP="00F968DF">
      <w:pPr>
        <w:numPr>
          <w:ilvl w:val="0"/>
          <w:numId w:val="3"/>
        </w:numPr>
        <w:spacing w:after="200" w:line="276" w:lineRule="auto"/>
        <w:contextualSpacing/>
        <w:jc w:val="both"/>
        <w:rPr>
          <w:rFonts w:ascii="Calibri" w:eastAsia="Times New Roman" w:hAnsi="Calibri" w:cs="Times New Roman"/>
          <w:b/>
          <w:lang w:eastAsia="en-GB"/>
        </w:rPr>
      </w:pPr>
      <w:r w:rsidRPr="00F968DF">
        <w:rPr>
          <w:rFonts w:ascii="Calibri" w:eastAsia="Times New Roman" w:hAnsi="Calibri" w:cs="Times New Roman"/>
          <w:b/>
          <w:lang w:eastAsia="en-GB"/>
        </w:rPr>
        <w:t>The Erection or Maintenance of Tombs, Graves or Monuments</w:t>
      </w:r>
    </w:p>
    <w:p w14:paraId="599366A6"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u w:val="single"/>
          <w:lang w:eastAsia="en-GB"/>
        </w:rPr>
      </w:pPr>
      <w:r w:rsidRPr="00F968DF">
        <w:rPr>
          <w:rFonts w:ascii="Calibri" w:eastAsia="Times New Roman" w:hAnsi="Calibri" w:cs="Times New Roman"/>
          <w:i/>
          <w:u w:val="single"/>
          <w:lang w:eastAsia="en-GB"/>
        </w:rPr>
        <w:t xml:space="preserve">Trimmer v Danby </w:t>
      </w:r>
      <w:r w:rsidRPr="00F968DF">
        <w:rPr>
          <w:rFonts w:ascii="Calibri" w:eastAsia="Times New Roman" w:hAnsi="Calibri" w:cs="Times New Roman"/>
          <w:u w:val="single"/>
          <w:lang w:eastAsia="en-GB"/>
        </w:rPr>
        <w:t>(1856) 25 LJ Ch 424</w:t>
      </w:r>
    </w:p>
    <w:p w14:paraId="06D5E2F9"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The testator bequeathed £1,000 for the erection of a monument to his memory in St Paul’s Cathedral. This was upheld as valid.</w:t>
      </w:r>
    </w:p>
    <w:p w14:paraId="56712DD1" w14:textId="77777777" w:rsidR="00F968DF" w:rsidRPr="00F968DF" w:rsidRDefault="00F968DF" w:rsidP="00F968DF">
      <w:pPr>
        <w:spacing w:after="200" w:line="276" w:lineRule="auto"/>
        <w:jc w:val="both"/>
        <w:rPr>
          <w:rFonts w:ascii="Calibri" w:eastAsia="Times New Roman" w:hAnsi="Calibri" w:cs="Times New Roman"/>
          <w:lang w:eastAsia="en-GB"/>
        </w:rPr>
      </w:pPr>
    </w:p>
    <w:p w14:paraId="4EF79014"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u w:val="single"/>
          <w:lang w:eastAsia="en-GB"/>
        </w:rPr>
      </w:pPr>
      <w:proofErr w:type="spellStart"/>
      <w:r w:rsidRPr="00F968DF">
        <w:rPr>
          <w:rFonts w:ascii="Calibri" w:eastAsia="Times New Roman" w:hAnsi="Calibri" w:cs="Times New Roman"/>
          <w:i/>
          <w:u w:val="single"/>
          <w:lang w:eastAsia="en-GB"/>
        </w:rPr>
        <w:t>Mussett</w:t>
      </w:r>
      <w:proofErr w:type="spellEnd"/>
      <w:r w:rsidRPr="00F968DF">
        <w:rPr>
          <w:rFonts w:ascii="Calibri" w:eastAsia="Times New Roman" w:hAnsi="Calibri" w:cs="Times New Roman"/>
          <w:i/>
          <w:u w:val="single"/>
          <w:lang w:eastAsia="en-GB"/>
        </w:rPr>
        <w:t xml:space="preserve"> v Bingle</w:t>
      </w:r>
      <w:r w:rsidRPr="00F968DF">
        <w:rPr>
          <w:rFonts w:ascii="Calibri" w:eastAsia="Times New Roman" w:hAnsi="Calibri" w:cs="Times New Roman"/>
          <w:u w:val="single"/>
          <w:lang w:eastAsia="en-GB"/>
        </w:rPr>
        <w:t xml:space="preserve"> [1876] WN 86</w:t>
      </w:r>
    </w:p>
    <w:p w14:paraId="0A5F315A"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The testator bequeathed £300 to erect a monument to his first wife’s husband and £200 to provide for its upkeep.</w:t>
      </w:r>
    </w:p>
    <w:p w14:paraId="00F4F442"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Held: the £300 to erect a monument to his first wife’s husband was upheld as a valid trust. However, the £200 for the upkeep of the monument could not be upheld as a valid trust because it violated the perpetuity period. </w:t>
      </w:r>
    </w:p>
    <w:p w14:paraId="504B420C" w14:textId="77777777" w:rsidR="00F968DF" w:rsidRPr="00F968DF" w:rsidRDefault="00F968DF" w:rsidP="00F968DF">
      <w:pPr>
        <w:spacing w:after="200" w:line="276" w:lineRule="auto"/>
        <w:jc w:val="both"/>
        <w:rPr>
          <w:rFonts w:ascii="Calibri" w:eastAsia="Times New Roman" w:hAnsi="Calibri" w:cs="Times New Roman"/>
          <w:i/>
          <w:lang w:eastAsia="en-GB"/>
        </w:rPr>
      </w:pPr>
    </w:p>
    <w:p w14:paraId="7231976E"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i/>
          <w:lang w:eastAsia="en-GB"/>
        </w:rPr>
        <w:t xml:space="preserve">Pirbright v </w:t>
      </w:r>
      <w:proofErr w:type="spellStart"/>
      <w:r w:rsidRPr="00F968DF">
        <w:rPr>
          <w:rFonts w:ascii="Calibri" w:eastAsia="Times New Roman" w:hAnsi="Calibri" w:cs="Times New Roman"/>
          <w:i/>
          <w:lang w:eastAsia="en-GB"/>
        </w:rPr>
        <w:t>Salwey</w:t>
      </w:r>
      <w:proofErr w:type="spellEnd"/>
      <w:r w:rsidRPr="00F968DF">
        <w:rPr>
          <w:rFonts w:ascii="Calibri" w:eastAsia="Times New Roman" w:hAnsi="Calibri" w:cs="Times New Roman"/>
          <w:lang w:eastAsia="en-GB"/>
        </w:rPr>
        <w:t xml:space="preserve"> [1896] WN 86</w:t>
      </w:r>
    </w:p>
    <w:p w14:paraId="738B50CB"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The testator bequeathed £800 for the upkeep of a burial enclosure of his child in a churchyard ‘for as long as the law permitted.’</w:t>
      </w:r>
    </w:p>
    <w:p w14:paraId="42A76313"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Held: The trust was valid for a period of 21 years from the testator’s death (the perpetuity period).</w:t>
      </w:r>
    </w:p>
    <w:p w14:paraId="2A9095F6" w14:textId="77777777" w:rsidR="00F968DF" w:rsidRPr="00F968DF" w:rsidRDefault="00F968DF" w:rsidP="00F968DF">
      <w:pPr>
        <w:spacing w:after="200" w:line="276" w:lineRule="auto"/>
        <w:jc w:val="both"/>
        <w:rPr>
          <w:rFonts w:ascii="Calibri" w:eastAsia="Times New Roman" w:hAnsi="Calibri" w:cs="Times New Roman"/>
          <w:i/>
          <w:lang w:eastAsia="en-GB"/>
        </w:rPr>
      </w:pPr>
    </w:p>
    <w:p w14:paraId="07D5D1D7"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i/>
          <w:lang w:eastAsia="en-GB"/>
        </w:rPr>
        <w:t>Re Hooper</w:t>
      </w:r>
      <w:r w:rsidRPr="00F968DF">
        <w:rPr>
          <w:rFonts w:ascii="Calibri" w:eastAsia="Times New Roman" w:hAnsi="Calibri" w:cs="Times New Roman"/>
          <w:lang w:eastAsia="en-GB"/>
        </w:rPr>
        <w:t xml:space="preserve"> [1932] 1 Ch 38 (HC)</w:t>
      </w:r>
    </w:p>
    <w:p w14:paraId="30DFE5EB"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The testator left £1000 to his executors to use ‘so far as they legally can do so’ for the upkeep of certain graves, a vault, certain monuments, in particular cemeteries and churchyards. </w:t>
      </w:r>
    </w:p>
    <w:p w14:paraId="188446C9"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Held: the trust was valid for a period of 21 years from the date of the testator’s death.</w:t>
      </w:r>
    </w:p>
    <w:p w14:paraId="259C3B67" w14:textId="77777777" w:rsidR="00F968DF" w:rsidRPr="00F968DF" w:rsidRDefault="00F968DF" w:rsidP="00F968DF">
      <w:pPr>
        <w:spacing w:after="200" w:line="276" w:lineRule="auto"/>
        <w:ind w:left="1080"/>
        <w:contextualSpacing/>
        <w:jc w:val="both"/>
        <w:rPr>
          <w:rFonts w:ascii="Calibri" w:eastAsia="Times New Roman" w:hAnsi="Calibri" w:cs="Times New Roman"/>
          <w:b/>
          <w:lang w:eastAsia="en-GB"/>
        </w:rPr>
      </w:pPr>
    </w:p>
    <w:p w14:paraId="759FA29A" w14:textId="77777777" w:rsidR="00F968DF" w:rsidRPr="00F968DF" w:rsidRDefault="00F968DF" w:rsidP="00F968DF">
      <w:pPr>
        <w:numPr>
          <w:ilvl w:val="0"/>
          <w:numId w:val="3"/>
        </w:numPr>
        <w:spacing w:after="200" w:line="276" w:lineRule="auto"/>
        <w:contextualSpacing/>
        <w:jc w:val="both"/>
        <w:rPr>
          <w:rFonts w:ascii="Calibri" w:eastAsia="Times New Roman" w:hAnsi="Calibri" w:cs="Times New Roman"/>
          <w:b/>
          <w:lang w:eastAsia="en-GB"/>
        </w:rPr>
      </w:pPr>
      <w:r w:rsidRPr="00F968DF">
        <w:rPr>
          <w:rFonts w:ascii="Calibri" w:eastAsia="Times New Roman" w:hAnsi="Calibri" w:cs="Times New Roman"/>
          <w:b/>
          <w:lang w:eastAsia="en-GB"/>
        </w:rPr>
        <w:t>The Care of Specific Animals</w:t>
      </w:r>
    </w:p>
    <w:p w14:paraId="082DD307" w14:textId="77777777" w:rsidR="00F968DF" w:rsidRPr="00F968DF" w:rsidRDefault="00F968DF" w:rsidP="00F968DF">
      <w:pPr>
        <w:numPr>
          <w:ilvl w:val="0"/>
          <w:numId w:val="1"/>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 xml:space="preserve">Trusts for the care of animals generally (rather than specific animals or specific groups of animals) are capable of being charitable. For an example of this see </w:t>
      </w:r>
      <w:r w:rsidRPr="00F968DF">
        <w:rPr>
          <w:rFonts w:ascii="Calibri" w:eastAsia="Times New Roman" w:hAnsi="Calibri" w:cs="Times New Roman"/>
          <w:i/>
          <w:lang w:eastAsia="en-GB"/>
        </w:rPr>
        <w:t>Re Wedgwood</w:t>
      </w:r>
      <w:r w:rsidRPr="00F968DF">
        <w:rPr>
          <w:rFonts w:ascii="Calibri" w:eastAsia="Times New Roman" w:hAnsi="Calibri" w:cs="Times New Roman"/>
          <w:lang w:eastAsia="en-GB"/>
        </w:rPr>
        <w:t xml:space="preserve"> [1915] 1 Ch 113 (see lecture on charities).</w:t>
      </w:r>
    </w:p>
    <w:p w14:paraId="6105685E" w14:textId="77777777" w:rsidR="00F968DF" w:rsidRPr="00F968DF" w:rsidRDefault="00F968DF" w:rsidP="00F968DF">
      <w:pPr>
        <w:numPr>
          <w:ilvl w:val="0"/>
          <w:numId w:val="1"/>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In this context we are concerned with trusts for the maintenance and care of specific animals or specific groups of animals.</w:t>
      </w:r>
    </w:p>
    <w:p w14:paraId="2781BA2A"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u w:val="single"/>
          <w:lang w:eastAsia="en-GB"/>
        </w:rPr>
      </w:pPr>
      <w:proofErr w:type="spellStart"/>
      <w:r w:rsidRPr="00F968DF">
        <w:rPr>
          <w:rFonts w:ascii="Calibri" w:eastAsia="Times New Roman" w:hAnsi="Calibri" w:cs="Times New Roman"/>
          <w:i/>
          <w:u w:val="single"/>
          <w:lang w:eastAsia="en-GB"/>
        </w:rPr>
        <w:t>Pettingall</w:t>
      </w:r>
      <w:proofErr w:type="spellEnd"/>
      <w:r w:rsidRPr="00F968DF">
        <w:rPr>
          <w:rFonts w:ascii="Calibri" w:eastAsia="Times New Roman" w:hAnsi="Calibri" w:cs="Times New Roman"/>
          <w:i/>
          <w:u w:val="single"/>
          <w:lang w:eastAsia="en-GB"/>
        </w:rPr>
        <w:t xml:space="preserve"> v </w:t>
      </w:r>
      <w:proofErr w:type="spellStart"/>
      <w:r w:rsidRPr="00F968DF">
        <w:rPr>
          <w:rFonts w:ascii="Calibri" w:eastAsia="Times New Roman" w:hAnsi="Calibri" w:cs="Times New Roman"/>
          <w:i/>
          <w:u w:val="single"/>
          <w:lang w:eastAsia="en-GB"/>
        </w:rPr>
        <w:t>Pettingall</w:t>
      </w:r>
      <w:proofErr w:type="spellEnd"/>
      <w:r w:rsidRPr="00F968DF">
        <w:rPr>
          <w:rFonts w:ascii="Calibri" w:eastAsia="Times New Roman" w:hAnsi="Calibri" w:cs="Times New Roman"/>
          <w:u w:val="single"/>
          <w:lang w:eastAsia="en-GB"/>
        </w:rPr>
        <w:t xml:space="preserve"> (1842) 11 LJ Ch 176</w:t>
      </w:r>
    </w:p>
    <w:p w14:paraId="36CF92D5"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A trust for the upkeep of the testator’s favourite black mare was upheld. </w:t>
      </w:r>
    </w:p>
    <w:p w14:paraId="5440CA59" w14:textId="77777777" w:rsidR="00F968DF" w:rsidRPr="00F968DF" w:rsidRDefault="00F968DF" w:rsidP="00F968DF">
      <w:pPr>
        <w:spacing w:after="200" w:line="276" w:lineRule="auto"/>
        <w:jc w:val="both"/>
        <w:rPr>
          <w:rFonts w:ascii="Calibri" w:eastAsia="Times New Roman" w:hAnsi="Calibri" w:cs="Times New Roman"/>
          <w:i/>
          <w:u w:val="single"/>
          <w:lang w:eastAsia="en-GB"/>
        </w:rPr>
      </w:pPr>
    </w:p>
    <w:p w14:paraId="549F916C"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u w:val="single"/>
          <w:lang w:eastAsia="en-GB"/>
        </w:rPr>
      </w:pPr>
      <w:r w:rsidRPr="00F968DF">
        <w:rPr>
          <w:rFonts w:ascii="Calibri" w:eastAsia="Times New Roman" w:hAnsi="Calibri" w:cs="Times New Roman"/>
          <w:i/>
          <w:u w:val="single"/>
          <w:lang w:eastAsia="en-GB"/>
        </w:rPr>
        <w:lastRenderedPageBreak/>
        <w:t>Mitford v Reynolds</w:t>
      </w:r>
      <w:r w:rsidRPr="00F968DF">
        <w:rPr>
          <w:rFonts w:ascii="Calibri" w:eastAsia="Times New Roman" w:hAnsi="Calibri" w:cs="Times New Roman"/>
          <w:u w:val="single"/>
          <w:lang w:eastAsia="en-GB"/>
        </w:rPr>
        <w:t xml:space="preserve"> (1848) 16 Sim 105</w:t>
      </w:r>
    </w:p>
    <w:p w14:paraId="089AB4F4"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By his will the testator bequeathed the remainder of his property to charity ‘after deducting the annual amount that will be requisite to defray the keep of my horses’. There is no discussion in the report of the case about this aspect of the case but the report tells us that ‘the order directed the costs of all parties to be taxed, and made provision for the maintenance of the testator’s horses.’</w:t>
      </w:r>
    </w:p>
    <w:p w14:paraId="321CAA84" w14:textId="77777777" w:rsidR="00F968DF" w:rsidRPr="00F968DF" w:rsidRDefault="00F968DF" w:rsidP="00F968DF">
      <w:pPr>
        <w:spacing w:after="200" w:line="276" w:lineRule="auto"/>
        <w:jc w:val="both"/>
        <w:rPr>
          <w:rFonts w:ascii="Calibri" w:eastAsia="Times New Roman" w:hAnsi="Calibri" w:cs="Times New Roman"/>
          <w:i/>
          <w:lang w:eastAsia="en-GB"/>
        </w:rPr>
      </w:pPr>
    </w:p>
    <w:p w14:paraId="10C6546F"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u w:val="single"/>
          <w:lang w:eastAsia="en-GB"/>
        </w:rPr>
      </w:pPr>
      <w:r w:rsidRPr="00F968DF">
        <w:rPr>
          <w:rFonts w:ascii="Calibri" w:eastAsia="Times New Roman" w:hAnsi="Calibri" w:cs="Times New Roman"/>
          <w:i/>
          <w:u w:val="single"/>
          <w:lang w:eastAsia="en-GB"/>
        </w:rPr>
        <w:t>Re Dean</w:t>
      </w:r>
      <w:r w:rsidRPr="00F968DF">
        <w:rPr>
          <w:rFonts w:ascii="Calibri" w:eastAsia="Times New Roman" w:hAnsi="Calibri" w:cs="Times New Roman"/>
          <w:u w:val="single"/>
          <w:lang w:eastAsia="en-GB"/>
        </w:rPr>
        <w:t xml:space="preserve"> (1889) 41 Ch D 552 (HC)</w:t>
      </w:r>
    </w:p>
    <w:p w14:paraId="23A1EEEF"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A testator gave his horses, ponies and hounds to his trustees and charged his freehold estates with an annual payment of £750 for a period of 50 years for the upkeep of the animals, should they live that long. </w:t>
      </w:r>
    </w:p>
    <w:p w14:paraId="1657FAAD"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North J upholding the trust for a period of fifty years if the animals should live that long, relying on both </w:t>
      </w:r>
      <w:r w:rsidRPr="00F968DF">
        <w:rPr>
          <w:rFonts w:ascii="Calibri" w:eastAsia="Times New Roman" w:hAnsi="Calibri" w:cs="Times New Roman"/>
          <w:i/>
          <w:lang w:eastAsia="en-GB"/>
        </w:rPr>
        <w:t>Mitford v Reynolds</w:t>
      </w:r>
      <w:r w:rsidRPr="00F968DF">
        <w:rPr>
          <w:rFonts w:ascii="Calibri" w:eastAsia="Times New Roman" w:hAnsi="Calibri" w:cs="Times New Roman"/>
          <w:lang w:eastAsia="en-GB"/>
        </w:rPr>
        <w:t xml:space="preserve"> and the monuments cases stated (pp556-7):</w:t>
      </w:r>
    </w:p>
    <w:p w14:paraId="48388CFF"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
          <w:lang w:eastAsia="en-GB"/>
        </w:rPr>
      </w:pPr>
      <w:r w:rsidRPr="00F968DF">
        <w:rPr>
          <w:rFonts w:ascii="Calibri" w:eastAsia="Times New Roman" w:hAnsi="Calibri" w:cs="Times New Roman"/>
          <w:i/>
          <w:lang w:eastAsia="en-GB"/>
        </w:rPr>
        <w:t xml:space="preserve">‘Then it is said, that there is no cestui que trust who can enforce the trust, and, that the Court will not recognise a trust unless it is capable of being enforced by someone. I do not assent to that view. There is not the least doubt that a man may if he pleases, give a legacy to trustees, upon trust to apply it in erecting a monument to himself, either in a church or in a churchyard, or even in </w:t>
      </w:r>
      <w:proofErr w:type="spellStart"/>
      <w:r w:rsidRPr="00F968DF">
        <w:rPr>
          <w:rFonts w:ascii="Calibri" w:eastAsia="Times New Roman" w:hAnsi="Calibri" w:cs="Times New Roman"/>
          <w:i/>
          <w:lang w:eastAsia="en-GB"/>
        </w:rPr>
        <w:t>unconsecrated</w:t>
      </w:r>
      <w:proofErr w:type="spellEnd"/>
      <w:r w:rsidRPr="00F968DF">
        <w:rPr>
          <w:rFonts w:ascii="Calibri" w:eastAsia="Times New Roman" w:hAnsi="Calibri" w:cs="Times New Roman"/>
          <w:i/>
          <w:lang w:eastAsia="en-GB"/>
        </w:rPr>
        <w:t xml:space="preserve"> ground…</w:t>
      </w:r>
    </w:p>
    <w:p w14:paraId="3C85FDC9"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i/>
          <w:lang w:eastAsia="en-GB"/>
        </w:rPr>
        <w:t>Is there then anything illegal or obnoxious to the law in the nature of the provision, that is, in the fact that it is not for human beings, but for horses and dogs? It is clearly settled by authority that a charity may be established for the benefit of horses and dogs, and, therefore, the making of a provision for horses and dogs, which is not a charity, cannot of itself be obnoxious to the law, provided, of course, that it is not to last for too long a period.’</w:t>
      </w:r>
    </w:p>
    <w:p w14:paraId="7B65D81D" w14:textId="77777777" w:rsidR="00F968DF" w:rsidRPr="00F968DF" w:rsidRDefault="00F968DF" w:rsidP="00F968DF">
      <w:pPr>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The case is seen as problematic in that North J appears to reject the beneficiary principle entirely. The drawing of an analogy with a charitable trust for animals is misleading because in the case of charitable trusts (‘public trusts’) the Attorney General has always had power to enforce them on behalf of the public. This case is also generally considered to be incorrectly decided to the extent that the trust was held to be valid for a </w:t>
      </w:r>
      <w:proofErr w:type="gramStart"/>
      <w:r w:rsidRPr="00F968DF">
        <w:rPr>
          <w:rFonts w:ascii="Calibri" w:eastAsia="Times New Roman" w:hAnsi="Calibri" w:cs="Times New Roman"/>
          <w:lang w:eastAsia="en-GB"/>
        </w:rPr>
        <w:t>50 year</w:t>
      </w:r>
      <w:proofErr w:type="gramEnd"/>
      <w:r w:rsidRPr="00F968DF">
        <w:rPr>
          <w:rFonts w:ascii="Calibri" w:eastAsia="Times New Roman" w:hAnsi="Calibri" w:cs="Times New Roman"/>
          <w:lang w:eastAsia="en-GB"/>
        </w:rPr>
        <w:t xml:space="preserve"> period (if the animals should live that long), and consequently offends the rule against perpetuities. The perpetuity rule requires that a non-charitable trust must not last beyond the period of ‘lives in being’ plus 21 years. The correct approach to the question of the perpetuity rule in this context was laid down in:</w:t>
      </w:r>
    </w:p>
    <w:p w14:paraId="0D20D769"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u w:val="single"/>
          <w:lang w:eastAsia="en-GB"/>
        </w:rPr>
      </w:pPr>
      <w:r w:rsidRPr="00F968DF">
        <w:rPr>
          <w:rFonts w:ascii="Calibri" w:eastAsia="Times New Roman" w:hAnsi="Calibri" w:cs="Times New Roman"/>
          <w:i/>
          <w:u w:val="single"/>
          <w:lang w:eastAsia="en-GB"/>
        </w:rPr>
        <w:t>Re Kelly</w:t>
      </w:r>
      <w:r w:rsidRPr="00F968DF">
        <w:rPr>
          <w:rFonts w:ascii="Calibri" w:eastAsia="Times New Roman" w:hAnsi="Calibri" w:cs="Times New Roman"/>
          <w:u w:val="single"/>
          <w:lang w:eastAsia="en-GB"/>
        </w:rPr>
        <w:t xml:space="preserve"> [1932] IR 255 (Irish Case)</w:t>
      </w:r>
    </w:p>
    <w:p w14:paraId="3FF488D3"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The testator left £100 sterling ‘to his executors and trustees for the purpose of expending £4 sterling on the support of each of my dogs per year’</w:t>
      </w:r>
    </w:p>
    <w:p w14:paraId="2331CA8A"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Held: there was a valid trust for 21 years succeeding the death of the testator, provided any of the dogs lived so long (not a trust for the life of the dogs). </w:t>
      </w:r>
    </w:p>
    <w:p w14:paraId="4833D956"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Meredith J dismissed the idea that the ‘measuring life’ could be that of an animal (which was a possible basis for the outcome in </w:t>
      </w:r>
      <w:r w:rsidRPr="00F968DF">
        <w:rPr>
          <w:rFonts w:ascii="Calibri" w:eastAsia="Times New Roman" w:hAnsi="Calibri" w:cs="Times New Roman"/>
          <w:i/>
          <w:lang w:eastAsia="en-GB"/>
        </w:rPr>
        <w:t>Re Dean</w:t>
      </w:r>
      <w:r w:rsidRPr="00F968DF">
        <w:rPr>
          <w:rFonts w:ascii="Calibri" w:eastAsia="Times New Roman" w:hAnsi="Calibri" w:cs="Times New Roman"/>
          <w:lang w:eastAsia="en-GB"/>
        </w:rPr>
        <w:t>):</w:t>
      </w:r>
    </w:p>
    <w:p w14:paraId="0825A3D8"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
          <w:lang w:eastAsia="en-GB"/>
        </w:rPr>
      </w:pPr>
      <w:r w:rsidRPr="00F968DF">
        <w:rPr>
          <w:rFonts w:ascii="Calibri" w:eastAsia="Times New Roman" w:hAnsi="Calibri" w:cs="Times New Roman"/>
          <w:i/>
          <w:lang w:eastAsia="en-GB"/>
        </w:rPr>
        <w:lastRenderedPageBreak/>
        <w:t>‘If the lives of the dogs or other animals could be taken into account in reckoning the maximum period of “lives in being and twenty-one years afterwards” any contingent or executor interest might be properly limited, so as only to vest within the lives of specified carp, or tortoises, or other animals that might live for over a hundred years, and for twenty-one years afterwards, which, of course, is absurd. “Lives” means human lives. It was suggested that the last of the dogs could in fact not outlive the testator by more than twenty-one years. I know nothing of that. The Court does not enter into the question of a dog’s expectation of life. In point of fact neighbours’ dogs and cats are unpleasantly long-lived; but I have no knowledge of their precise expectation of life …… there can be no doubt that “lives” means lives of human beings, not of animals or trees in California.’</w:t>
      </w:r>
    </w:p>
    <w:p w14:paraId="270B42A7"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Despite Meredith J’s reluctance to entertain the question of animals’ life expectancy, there have been cases where courts have taken judicial notice of an animal’s life expectancy (see e.g.: </w:t>
      </w:r>
      <w:r w:rsidRPr="00F968DF">
        <w:rPr>
          <w:rFonts w:ascii="Calibri" w:eastAsia="Times New Roman" w:hAnsi="Calibri" w:cs="Times New Roman"/>
          <w:i/>
          <w:lang w:eastAsia="en-GB"/>
        </w:rPr>
        <w:t>Re Haines (1952) The Times, 7 November</w:t>
      </w:r>
      <w:r w:rsidRPr="00F968DF">
        <w:rPr>
          <w:rFonts w:ascii="Calibri" w:eastAsia="Times New Roman" w:hAnsi="Calibri" w:cs="Times New Roman"/>
          <w:lang w:eastAsia="en-GB"/>
        </w:rPr>
        <w:t>)</w:t>
      </w:r>
    </w:p>
    <w:p w14:paraId="7608C872" w14:textId="77777777" w:rsidR="00F968DF" w:rsidRPr="00F968DF" w:rsidRDefault="00F968DF" w:rsidP="00F968DF">
      <w:pPr>
        <w:spacing w:after="200" w:line="276" w:lineRule="auto"/>
        <w:ind w:left="1080"/>
        <w:contextualSpacing/>
        <w:jc w:val="both"/>
        <w:rPr>
          <w:rFonts w:ascii="Calibri" w:eastAsia="Times New Roman" w:hAnsi="Calibri" w:cs="Times New Roman"/>
          <w:b/>
          <w:lang w:eastAsia="en-GB"/>
        </w:rPr>
      </w:pPr>
    </w:p>
    <w:p w14:paraId="49FEBE11" w14:textId="77777777" w:rsidR="00F968DF" w:rsidRPr="00F968DF" w:rsidRDefault="00F968DF" w:rsidP="00F968DF">
      <w:pPr>
        <w:numPr>
          <w:ilvl w:val="0"/>
          <w:numId w:val="3"/>
        </w:numPr>
        <w:spacing w:after="200" w:line="276" w:lineRule="auto"/>
        <w:contextualSpacing/>
        <w:jc w:val="both"/>
        <w:rPr>
          <w:rFonts w:ascii="Calibri" w:eastAsia="Times New Roman" w:hAnsi="Calibri" w:cs="Times New Roman"/>
          <w:b/>
          <w:lang w:eastAsia="en-GB"/>
        </w:rPr>
      </w:pPr>
      <w:r w:rsidRPr="00F968DF">
        <w:rPr>
          <w:rFonts w:ascii="Calibri" w:eastAsia="Times New Roman" w:hAnsi="Calibri" w:cs="Times New Roman"/>
          <w:b/>
          <w:lang w:eastAsia="en-GB"/>
        </w:rPr>
        <w:t>The Saying of Masses for the Dead</w:t>
      </w:r>
    </w:p>
    <w:p w14:paraId="4CCE675E" w14:textId="77777777" w:rsidR="00F968DF" w:rsidRPr="00F968DF" w:rsidRDefault="00F968DF" w:rsidP="00F968DF">
      <w:pPr>
        <w:numPr>
          <w:ilvl w:val="0"/>
          <w:numId w:val="4"/>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Until the early twentieth century trusts for the saying of masses for private individuals were held to be void on the basis that they were for ‘superstitious uses’ (contrary to the Statute of Chantries 1547). This position changed in:</w:t>
      </w:r>
    </w:p>
    <w:p w14:paraId="25606F25"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u w:val="single"/>
          <w:lang w:eastAsia="en-GB"/>
        </w:rPr>
      </w:pPr>
      <w:r w:rsidRPr="00F968DF">
        <w:rPr>
          <w:rFonts w:ascii="Calibri" w:eastAsia="Times New Roman" w:hAnsi="Calibri" w:cs="Times New Roman"/>
          <w:i/>
          <w:u w:val="single"/>
          <w:lang w:eastAsia="en-GB"/>
        </w:rPr>
        <w:t>Bourne v Keane</w:t>
      </w:r>
      <w:r w:rsidRPr="00F968DF">
        <w:rPr>
          <w:rFonts w:ascii="Calibri" w:eastAsia="Times New Roman" w:hAnsi="Calibri" w:cs="Times New Roman"/>
          <w:u w:val="single"/>
          <w:lang w:eastAsia="en-GB"/>
        </w:rPr>
        <w:t xml:space="preserve"> [1919] AC 815 (HL)</w:t>
      </w:r>
    </w:p>
    <w:p w14:paraId="7F94AACA"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It was held that such trusts were capable of being valid. The HL did not determine the question, though, whether such trusts were capable of being charitable (under the head of advancement of religion: see later lecture on charities).</w:t>
      </w:r>
    </w:p>
    <w:p w14:paraId="05690B1C" w14:textId="77777777" w:rsidR="00F968DF" w:rsidRPr="00F968DF" w:rsidRDefault="00F968DF" w:rsidP="00F968DF">
      <w:pPr>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It was finally settled in </w:t>
      </w:r>
      <w:r w:rsidRPr="00F968DF">
        <w:rPr>
          <w:rFonts w:ascii="Calibri" w:eastAsia="Times New Roman" w:hAnsi="Calibri" w:cs="Times New Roman"/>
          <w:i/>
          <w:lang w:eastAsia="en-GB"/>
        </w:rPr>
        <w:t>Re Hetherington</w:t>
      </w:r>
      <w:r w:rsidRPr="00F968DF">
        <w:rPr>
          <w:rFonts w:ascii="Calibri" w:eastAsia="Times New Roman" w:hAnsi="Calibri" w:cs="Times New Roman"/>
          <w:lang w:eastAsia="en-GB"/>
        </w:rPr>
        <w:t xml:space="preserve"> that such trusts could be charitable:</w:t>
      </w:r>
    </w:p>
    <w:p w14:paraId="29DBF13D"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u w:val="single"/>
          <w:lang w:eastAsia="en-GB"/>
        </w:rPr>
      </w:pPr>
      <w:r w:rsidRPr="00F968DF">
        <w:rPr>
          <w:rFonts w:ascii="Calibri" w:eastAsia="Times New Roman" w:hAnsi="Calibri" w:cs="Times New Roman"/>
          <w:i/>
          <w:u w:val="single"/>
          <w:lang w:eastAsia="en-GB"/>
        </w:rPr>
        <w:t>Re Hetherington</w:t>
      </w:r>
      <w:r w:rsidRPr="00F968DF">
        <w:rPr>
          <w:rFonts w:ascii="Calibri" w:eastAsia="Times New Roman" w:hAnsi="Calibri" w:cs="Times New Roman"/>
          <w:u w:val="single"/>
          <w:lang w:eastAsia="en-GB"/>
        </w:rPr>
        <w:t xml:space="preserve"> [1990] Ch 1(HC)</w:t>
      </w:r>
    </w:p>
    <w:p w14:paraId="75C2703F"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The testatrix, who was a devout Roman Catholic, left money for the saying of masses for the repose of the souls of herself and certain family members.</w:t>
      </w:r>
    </w:p>
    <w:p w14:paraId="3F591ED7"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Held: This would amount to a valid trust for a charitable purpose provided the masses were celebrated in public (see later lecture on charities). </w:t>
      </w:r>
    </w:p>
    <w:p w14:paraId="590104FB" w14:textId="77777777" w:rsidR="00F968DF" w:rsidRPr="00F968DF" w:rsidRDefault="00F968DF" w:rsidP="00F968DF">
      <w:pPr>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There are some suggestions that trusts for the saying of masses could be valid as anomalous exception purpose trusts. See, for example:</w:t>
      </w:r>
    </w:p>
    <w:p w14:paraId="1728FA16"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i/>
          <w:lang w:eastAsia="en-GB"/>
        </w:rPr>
        <w:t xml:space="preserve">Re Hetherington </w:t>
      </w:r>
      <w:r w:rsidRPr="00F968DF">
        <w:rPr>
          <w:rFonts w:ascii="Calibri" w:eastAsia="Times New Roman" w:hAnsi="Calibri" w:cs="Times New Roman"/>
          <w:lang w:eastAsia="en-GB"/>
        </w:rPr>
        <w:t xml:space="preserve">[1990] Ch 1 (HC), </w:t>
      </w:r>
    </w:p>
    <w:p w14:paraId="1A0EDCDC"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at 9, per Sir Nicholas Browne-Wilkinson VC:</w:t>
      </w:r>
    </w:p>
    <w:p w14:paraId="473BA69C"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
          <w:lang w:eastAsia="en-GB"/>
        </w:rPr>
      </w:pPr>
      <w:r w:rsidRPr="00F968DF">
        <w:rPr>
          <w:rFonts w:ascii="Calibri" w:eastAsia="Times New Roman" w:hAnsi="Calibri" w:cs="Times New Roman"/>
          <w:i/>
          <w:lang w:eastAsia="en-GB"/>
        </w:rPr>
        <w:t xml:space="preserve">‘There was considerable argument before me whether the decision in Bourne v. Keane binds me to hold that a trust for Masses is a valid trust. That conclusion might have been reached either on the basis that a trust for Masses is a valid charitable trust or on the basis that a trust for Masses is one of that anomalous class of cases where a trust for a non-charitable purpose is valid’ </w:t>
      </w:r>
    </w:p>
    <w:p w14:paraId="56737B79"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lastRenderedPageBreak/>
        <w:t>If that is correct, then a trust for the saying of masses in private could be valid even though it would not have charitable status because of the lack of ‘public benefit.’</w:t>
      </w:r>
    </w:p>
    <w:p w14:paraId="2754B1C4" w14:textId="77777777" w:rsidR="00F968DF" w:rsidRPr="00F968DF" w:rsidRDefault="00F968DF" w:rsidP="00F968DF">
      <w:pPr>
        <w:numPr>
          <w:ilvl w:val="0"/>
          <w:numId w:val="3"/>
        </w:numPr>
        <w:spacing w:after="200" w:line="276" w:lineRule="auto"/>
        <w:contextualSpacing/>
        <w:jc w:val="both"/>
        <w:rPr>
          <w:rFonts w:ascii="Calibri" w:eastAsia="Times New Roman" w:hAnsi="Calibri" w:cs="Times New Roman"/>
          <w:b/>
          <w:lang w:eastAsia="en-GB"/>
        </w:rPr>
      </w:pPr>
      <w:r w:rsidRPr="00F968DF">
        <w:rPr>
          <w:rFonts w:ascii="Calibri" w:eastAsia="Times New Roman" w:hAnsi="Calibri" w:cs="Times New Roman"/>
          <w:b/>
          <w:lang w:eastAsia="en-GB"/>
        </w:rPr>
        <w:t>Promotion and Furtherance of Fox-Hunting</w:t>
      </w:r>
    </w:p>
    <w:p w14:paraId="773479C0"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u w:val="single"/>
          <w:lang w:eastAsia="en-GB"/>
        </w:rPr>
      </w:pPr>
      <w:r w:rsidRPr="00F968DF">
        <w:rPr>
          <w:rFonts w:ascii="Calibri" w:eastAsia="Times New Roman" w:hAnsi="Calibri" w:cs="Times New Roman"/>
          <w:i/>
          <w:u w:val="single"/>
          <w:lang w:eastAsia="en-GB"/>
        </w:rPr>
        <w:t>Re Thompson</w:t>
      </w:r>
      <w:r w:rsidRPr="00F968DF">
        <w:rPr>
          <w:rFonts w:ascii="Calibri" w:eastAsia="Times New Roman" w:hAnsi="Calibri" w:cs="Times New Roman"/>
          <w:u w:val="single"/>
          <w:lang w:eastAsia="en-GB"/>
        </w:rPr>
        <w:t xml:space="preserve"> [1934] Ch 342 (HC)</w:t>
      </w:r>
    </w:p>
    <w:p w14:paraId="332FBAE1"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The testator had left money to his friend Lloyd to be applied by him in such manner as he should in his absolute discretion think fit towards the promotion and furtherance of fox-hunting. </w:t>
      </w:r>
    </w:p>
    <w:p w14:paraId="49211497"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This was upheld. Clauson J made a </w:t>
      </w:r>
      <w:proofErr w:type="spellStart"/>
      <w:r w:rsidRPr="00F968DF">
        <w:rPr>
          <w:rFonts w:ascii="Calibri" w:eastAsia="Times New Roman" w:hAnsi="Calibri" w:cs="Times New Roman"/>
          <w:lang w:eastAsia="en-GB"/>
        </w:rPr>
        <w:t>Pettingall</w:t>
      </w:r>
      <w:proofErr w:type="spellEnd"/>
      <w:r w:rsidRPr="00F968DF">
        <w:rPr>
          <w:rFonts w:ascii="Calibri" w:eastAsia="Times New Roman" w:hAnsi="Calibri" w:cs="Times New Roman"/>
          <w:lang w:eastAsia="en-GB"/>
        </w:rPr>
        <w:t xml:space="preserve"> order requiring Lloyd to give an undertaking to apply the money towards the object expressed in the testator’s will and, in case he should apply the money otherwise than for this object, giving the residuary legatees leave to apply to the court. </w:t>
      </w:r>
    </w:p>
    <w:p w14:paraId="151FD04E"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NB: Despite the ban introduced by the Hunting Act 2004, this last anomalous exception may still be of relevance as hunting is exempted from the statutory prohibition in certain defined circumstances (See Hunting Act 2004, Sch. 1). </w:t>
      </w:r>
    </w:p>
    <w:p w14:paraId="008705F3" w14:textId="77777777" w:rsidR="00F968DF" w:rsidRPr="00F968DF" w:rsidRDefault="00F968DF" w:rsidP="00F968DF">
      <w:pPr>
        <w:numPr>
          <w:ilvl w:val="0"/>
          <w:numId w:val="1"/>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 xml:space="preserve">These exceptions are a closed class, meaning they </w:t>
      </w:r>
      <w:r w:rsidRPr="00F968DF">
        <w:rPr>
          <w:rFonts w:ascii="Calibri" w:eastAsia="Times New Roman" w:hAnsi="Calibri" w:cs="Times New Roman"/>
          <w:b/>
          <w:u w:val="single"/>
          <w:lang w:eastAsia="en-GB"/>
        </w:rPr>
        <w:t>will not be extended</w:t>
      </w:r>
    </w:p>
    <w:p w14:paraId="56FBE4F0"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
          <w:u w:val="single"/>
          <w:lang w:eastAsia="en-GB"/>
        </w:rPr>
      </w:pPr>
      <w:r w:rsidRPr="00F968DF">
        <w:rPr>
          <w:rFonts w:ascii="Calibri" w:eastAsia="Times New Roman" w:hAnsi="Calibri" w:cs="Times New Roman"/>
          <w:i/>
          <w:u w:val="single"/>
          <w:lang w:eastAsia="en-GB"/>
        </w:rPr>
        <w:t xml:space="preserve">Re </w:t>
      </w:r>
      <w:proofErr w:type="spellStart"/>
      <w:r w:rsidRPr="00F968DF">
        <w:rPr>
          <w:rFonts w:ascii="Calibri" w:eastAsia="Times New Roman" w:hAnsi="Calibri" w:cs="Times New Roman"/>
          <w:i/>
          <w:u w:val="single"/>
          <w:lang w:eastAsia="en-GB"/>
        </w:rPr>
        <w:t>Endacott</w:t>
      </w:r>
      <w:proofErr w:type="spellEnd"/>
      <w:r w:rsidRPr="00F968DF">
        <w:rPr>
          <w:rFonts w:ascii="Calibri" w:eastAsia="Times New Roman" w:hAnsi="Calibri" w:cs="Times New Roman"/>
          <w:i/>
          <w:u w:val="single"/>
          <w:lang w:eastAsia="en-GB"/>
        </w:rPr>
        <w:t xml:space="preserve"> </w:t>
      </w:r>
      <w:r w:rsidRPr="00F968DF">
        <w:rPr>
          <w:rFonts w:ascii="Calibri" w:eastAsia="Times New Roman" w:hAnsi="Calibri" w:cs="Times New Roman"/>
          <w:u w:val="single"/>
          <w:lang w:eastAsia="en-GB"/>
        </w:rPr>
        <w:t>[1960] Ch 232 (CA)</w:t>
      </w:r>
    </w:p>
    <w:p w14:paraId="188AA4BB"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Both Lord Evershed MR and Harman LJ stressed that the scope of the anomalous exceptions cases ought not to be extended. </w:t>
      </w:r>
    </w:p>
    <w:p w14:paraId="19DE5B33"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According to Lord Evershed, at 246, to do so </w:t>
      </w:r>
    </w:p>
    <w:p w14:paraId="025D6F06"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
          <w:lang w:eastAsia="en-GB"/>
        </w:rPr>
      </w:pPr>
      <w:r w:rsidRPr="00F968DF">
        <w:rPr>
          <w:rFonts w:ascii="Calibri" w:eastAsia="Times New Roman" w:hAnsi="Calibri" w:cs="Times New Roman"/>
          <w:i/>
          <w:lang w:eastAsia="en-GB"/>
        </w:rPr>
        <w:t xml:space="preserve">‘would be to validate almost limitless heads of non-charitable trusts </w:t>
      </w:r>
      <w:proofErr w:type="gramStart"/>
      <w:r w:rsidRPr="00F968DF">
        <w:rPr>
          <w:rFonts w:ascii="Calibri" w:eastAsia="Times New Roman" w:hAnsi="Calibri" w:cs="Times New Roman"/>
          <w:i/>
          <w:lang w:eastAsia="en-GB"/>
        </w:rPr>
        <w:t>…..</w:t>
      </w:r>
      <w:proofErr w:type="gramEnd"/>
      <w:r w:rsidRPr="00F968DF">
        <w:rPr>
          <w:rFonts w:ascii="Calibri" w:eastAsia="Times New Roman" w:hAnsi="Calibri" w:cs="Times New Roman"/>
          <w:i/>
          <w:lang w:eastAsia="en-GB"/>
        </w:rPr>
        <w:t xml:space="preserve"> so long only as the question of perpetuities did not arise; and, in my judgment, that result would be out of harmony with the principles of our law.’</w:t>
      </w:r>
    </w:p>
    <w:p w14:paraId="5578F532"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Harman LJ explained, at 250-1, that the anomalous exceptions cases were:</w:t>
      </w:r>
    </w:p>
    <w:p w14:paraId="1C636BF7"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
          <w:lang w:eastAsia="en-GB"/>
        </w:rPr>
      </w:pPr>
      <w:r w:rsidRPr="00F968DF">
        <w:rPr>
          <w:rFonts w:ascii="Calibri" w:eastAsia="Times New Roman" w:hAnsi="Calibri" w:cs="Times New Roman"/>
          <w:i/>
          <w:lang w:eastAsia="en-GB"/>
        </w:rPr>
        <w:t>‘not really to be satisfactorily classified, but are perhaps merely occasions when Homer has nodded, at any rate these cases stand by themselves and ought not to be increased in number, nor indeed followed, except where the one is exactly like another. Whether it would be better that some authority now should say those cases were wrong, this is perhaps not the moment to consider.’</w:t>
      </w:r>
    </w:p>
    <w:p w14:paraId="2D31A352" w14:textId="77777777" w:rsidR="00F968DF" w:rsidRPr="00F968DF" w:rsidRDefault="00F968DF" w:rsidP="00F968DF">
      <w:pPr>
        <w:numPr>
          <w:ilvl w:val="0"/>
          <w:numId w:val="1"/>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contextualSpacing/>
        <w:jc w:val="both"/>
        <w:rPr>
          <w:rFonts w:ascii="Calibri" w:eastAsia="Times New Roman" w:hAnsi="Calibri" w:cs="Calibri"/>
          <w:iCs/>
          <w:lang w:eastAsia="en-GB"/>
        </w:rPr>
      </w:pPr>
      <w:r w:rsidRPr="00F968DF">
        <w:rPr>
          <w:rFonts w:ascii="Calibri" w:eastAsia="Times New Roman" w:hAnsi="Calibri" w:cs="Calibri"/>
          <w:iCs/>
          <w:lang w:eastAsia="en-GB"/>
        </w:rPr>
        <w:t>Some further examples of invalid purpose trusts include:</w:t>
      </w:r>
    </w:p>
    <w:p w14:paraId="64534A4B"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rPr>
          <w:rFonts w:ascii="Calibri" w:eastAsia="Times New Roman" w:hAnsi="Calibri" w:cs="Calibri"/>
          <w:lang w:eastAsia="en-GB"/>
        </w:rPr>
      </w:pPr>
      <w:r w:rsidRPr="00F968DF">
        <w:rPr>
          <w:rFonts w:ascii="Calibri" w:eastAsia="Times New Roman" w:hAnsi="Calibri" w:cs="Calibri"/>
          <w:i/>
          <w:iCs/>
          <w:u w:val="single"/>
          <w:lang w:eastAsia="en-GB"/>
        </w:rPr>
        <w:t>Re Astor's ST</w:t>
      </w:r>
      <w:r w:rsidRPr="00F968DF">
        <w:rPr>
          <w:rFonts w:ascii="Calibri" w:eastAsia="Times New Roman" w:hAnsi="Calibri" w:cs="Calibri"/>
          <w:u w:val="single"/>
          <w:lang w:eastAsia="en-GB"/>
        </w:rPr>
        <w:t xml:space="preserve"> [1952] Ch 534</w:t>
      </w:r>
      <w:r w:rsidRPr="00F968DF">
        <w:rPr>
          <w:rFonts w:ascii="Calibri" w:eastAsia="Times New Roman" w:hAnsi="Calibri" w:cs="Calibri"/>
          <w:lang w:eastAsia="en-GB"/>
        </w:rPr>
        <w:t xml:space="preserve">. </w:t>
      </w:r>
    </w:p>
    <w:p w14:paraId="6A56005A"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rPr>
          <w:rFonts w:ascii="Calibri" w:eastAsia="Times New Roman" w:hAnsi="Calibri" w:cs="Calibri"/>
          <w:lang w:eastAsia="en-GB"/>
        </w:rPr>
      </w:pPr>
      <w:r w:rsidRPr="00F968DF">
        <w:rPr>
          <w:rFonts w:ascii="Calibri" w:eastAsia="Times New Roman" w:hAnsi="Calibri" w:cs="Calibri"/>
          <w:lang w:eastAsia="en-GB"/>
        </w:rPr>
        <w:t xml:space="preserve">Trust: "... the maintenance of good understanding, sympathy and co-operation between nations, the preservation of the independence and integrity of </w:t>
      </w:r>
      <w:proofErr w:type="gramStart"/>
      <w:r w:rsidRPr="00F968DF">
        <w:rPr>
          <w:rFonts w:ascii="Calibri" w:eastAsia="Times New Roman" w:hAnsi="Calibri" w:cs="Calibri"/>
          <w:lang w:eastAsia="en-GB"/>
        </w:rPr>
        <w:t>newspapers;  the</w:t>
      </w:r>
      <w:proofErr w:type="gramEnd"/>
      <w:r w:rsidRPr="00F968DF">
        <w:rPr>
          <w:rFonts w:ascii="Calibri" w:eastAsia="Times New Roman" w:hAnsi="Calibri" w:cs="Calibri"/>
          <w:lang w:eastAsia="en-GB"/>
        </w:rPr>
        <w:t xml:space="preserve"> protection of newspapers from being absorbed by combines or being tied by finance or otherwise to special ... views". </w:t>
      </w:r>
    </w:p>
    <w:p w14:paraId="00586620"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rPr>
          <w:rFonts w:ascii="Calibri" w:eastAsia="Times New Roman" w:hAnsi="Calibri" w:cs="Times New Roman"/>
          <w:lang w:eastAsia="en-GB"/>
        </w:rPr>
      </w:pPr>
      <w:r w:rsidRPr="00F968DF">
        <w:rPr>
          <w:rFonts w:ascii="Calibri" w:eastAsia="Times New Roman" w:hAnsi="Calibri" w:cs="Times New Roman"/>
          <w:i/>
          <w:iCs/>
          <w:u w:val="single"/>
          <w:lang w:eastAsia="en-GB"/>
        </w:rPr>
        <w:t>Re Shaw</w:t>
      </w:r>
      <w:r w:rsidRPr="00F968DF">
        <w:rPr>
          <w:rFonts w:ascii="Calibri" w:eastAsia="Times New Roman" w:hAnsi="Calibri" w:cs="Times New Roman"/>
          <w:u w:val="single"/>
          <w:lang w:eastAsia="en-GB"/>
        </w:rPr>
        <w:t xml:space="preserve"> [1957] 1 WLR 729</w:t>
      </w:r>
      <w:r w:rsidRPr="00F968DF">
        <w:rPr>
          <w:rFonts w:ascii="Calibri" w:eastAsia="Times New Roman" w:hAnsi="Calibri" w:cs="Times New Roman"/>
          <w:lang w:eastAsia="en-GB"/>
        </w:rPr>
        <w:t xml:space="preserve">. </w:t>
      </w:r>
    </w:p>
    <w:p w14:paraId="5A527C8A"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George Bernard Shaw had left money on trust for 21 years for research into a 40 letter alphabet to replace our present alphabet and for the translation of a play into the new alphabet.</w:t>
      </w:r>
      <w:r w:rsidRPr="00F968DF">
        <w:rPr>
          <w:rFonts w:ascii="Calibri" w:eastAsia="Times New Roman" w:hAnsi="Calibri" w:cs="Times New Roman"/>
          <w:lang w:eastAsia="en-GB"/>
        </w:rPr>
        <w:tab/>
      </w:r>
      <w:r w:rsidRPr="00F968DF">
        <w:rPr>
          <w:rFonts w:ascii="Calibri" w:eastAsia="Times New Roman" w:hAnsi="Calibri" w:cs="Times New Roman"/>
          <w:b/>
          <w:bCs/>
          <w:lang w:eastAsia="en-GB"/>
        </w:rPr>
        <w:t xml:space="preserve"> </w:t>
      </w:r>
    </w:p>
    <w:p w14:paraId="2980ACB4"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Calibri"/>
          <w:u w:val="single"/>
          <w:lang w:eastAsia="en-GB"/>
        </w:rPr>
      </w:pPr>
      <w:r w:rsidRPr="00F968DF">
        <w:rPr>
          <w:rFonts w:ascii="Calibri" w:eastAsia="Times New Roman" w:hAnsi="Calibri" w:cs="Calibri"/>
          <w:i/>
          <w:iCs/>
          <w:u w:val="single"/>
          <w:lang w:eastAsia="en-GB"/>
        </w:rPr>
        <w:t xml:space="preserve">Re </w:t>
      </w:r>
      <w:proofErr w:type="spellStart"/>
      <w:r w:rsidRPr="00F968DF">
        <w:rPr>
          <w:rFonts w:ascii="Calibri" w:eastAsia="Times New Roman" w:hAnsi="Calibri" w:cs="Calibri"/>
          <w:i/>
          <w:iCs/>
          <w:u w:val="single"/>
          <w:lang w:eastAsia="en-GB"/>
        </w:rPr>
        <w:t>Endacott</w:t>
      </w:r>
      <w:proofErr w:type="spellEnd"/>
      <w:r w:rsidRPr="00F968DF">
        <w:rPr>
          <w:rFonts w:ascii="Calibri" w:eastAsia="Times New Roman" w:hAnsi="Calibri" w:cs="Calibri"/>
          <w:u w:val="single"/>
          <w:lang w:eastAsia="en-GB"/>
        </w:rPr>
        <w:t xml:space="preserve"> [1960] Ch 232, CA.  </w:t>
      </w:r>
    </w:p>
    <w:p w14:paraId="486E2CD6"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Calibri"/>
          <w:lang w:eastAsia="en-GB"/>
        </w:rPr>
        <w:lastRenderedPageBreak/>
        <w:t xml:space="preserve">T left approximately £2,000 to the North </w:t>
      </w:r>
      <w:proofErr w:type="spellStart"/>
      <w:r w:rsidRPr="00F968DF">
        <w:rPr>
          <w:rFonts w:ascii="Calibri" w:eastAsia="Times New Roman" w:hAnsi="Calibri" w:cs="Calibri"/>
          <w:lang w:eastAsia="en-GB"/>
        </w:rPr>
        <w:t>Tawton</w:t>
      </w:r>
      <w:proofErr w:type="spellEnd"/>
      <w:r w:rsidRPr="00F968DF">
        <w:rPr>
          <w:rFonts w:ascii="Calibri" w:eastAsia="Times New Roman" w:hAnsi="Calibri" w:cs="Calibri"/>
          <w:lang w:eastAsia="en-GB"/>
        </w:rPr>
        <w:t xml:space="preserve"> Devon Parish Council for the purpose of providing some “useful memorial to myself.”</w:t>
      </w:r>
    </w:p>
    <w:p w14:paraId="45BAF777" w14:textId="77777777" w:rsidR="00F968DF" w:rsidRPr="00F968DF" w:rsidRDefault="00F968DF" w:rsidP="00F968DF">
      <w:pPr>
        <w:numPr>
          <w:ilvl w:val="0"/>
          <w:numId w:val="1"/>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 xml:space="preserve">Juridical Status — The juridical status of this type of trust is peculiar. On the one hand, the trust is obviously valid. On the other hand, the lack of a beneficiary to enforce the trust means that the trust is unenforceable. These trusts are therefore called </w:t>
      </w:r>
      <w:r w:rsidRPr="00F968DF">
        <w:rPr>
          <w:rFonts w:ascii="Calibri" w:eastAsia="Times New Roman" w:hAnsi="Calibri" w:cs="Times New Roman"/>
          <w:u w:val="single"/>
          <w:lang w:eastAsia="en-GB"/>
        </w:rPr>
        <w:t>‘trusts of imperfect obligation.’</w:t>
      </w:r>
      <w:r w:rsidRPr="00F968DF">
        <w:rPr>
          <w:rFonts w:ascii="Calibri" w:eastAsia="Times New Roman" w:hAnsi="Calibri" w:cs="Times New Roman"/>
          <w:lang w:eastAsia="en-GB"/>
        </w:rPr>
        <w:t xml:space="preserve"> The result is that the trustees cannot be made to apply the fund for the stipulated purpose. The court can, however, prevent the trustees from misapplying the trust property by making a ‘</w:t>
      </w:r>
      <w:proofErr w:type="spellStart"/>
      <w:r w:rsidRPr="00F968DF">
        <w:rPr>
          <w:rFonts w:ascii="Calibri" w:eastAsia="Times New Roman" w:hAnsi="Calibri" w:cs="Times New Roman"/>
          <w:lang w:eastAsia="en-GB"/>
        </w:rPr>
        <w:t>Pettingall</w:t>
      </w:r>
      <w:proofErr w:type="spellEnd"/>
      <w:r w:rsidRPr="00F968DF">
        <w:rPr>
          <w:rFonts w:ascii="Calibri" w:eastAsia="Times New Roman" w:hAnsi="Calibri" w:cs="Times New Roman"/>
          <w:lang w:eastAsia="en-GB"/>
        </w:rPr>
        <w:t xml:space="preserve"> Order.’ This requires the trustees to give an undertaking to carry out the purpose and interested parties (those persons who would take the property if the trust were to fail or who would be entitled to any surplus after the purpose had been carried out) are given leave to apply to the court if the trustees apply the property outside of the stipulated purpose.</w:t>
      </w:r>
    </w:p>
    <w:p w14:paraId="30B47563" w14:textId="77777777" w:rsidR="00F968DF" w:rsidRPr="00F968DF" w:rsidRDefault="00F968DF" w:rsidP="00F968DF">
      <w:pPr>
        <w:numPr>
          <w:ilvl w:val="0"/>
          <w:numId w:val="1"/>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Anomalous Exceptions and the Rule against Perpetuities — Although trusts of imperfect obligation are exempt from the beneficiary principle, it is important to note that they remain subject to the rules against capriciousness and perpetuity.</w:t>
      </w:r>
    </w:p>
    <w:p w14:paraId="160812B0" w14:textId="77777777" w:rsidR="00F968DF" w:rsidRPr="00F968DF" w:rsidRDefault="00F968DF" w:rsidP="00F968DF">
      <w:pPr>
        <w:spacing w:after="200" w:line="276" w:lineRule="auto"/>
        <w:rPr>
          <w:rFonts w:ascii="Calibri" w:eastAsia="Times New Roman" w:hAnsi="Calibri" w:cs="Times New Roman"/>
          <w:lang w:eastAsia="en-GB"/>
        </w:rPr>
      </w:pPr>
      <w:r w:rsidRPr="00F968DF">
        <w:rPr>
          <w:rFonts w:ascii="Calibri" w:eastAsia="Times New Roman" w:hAnsi="Calibri" w:cs="Times New Roman"/>
          <w:lang w:eastAsia="en-GB"/>
        </w:rPr>
        <w:br w:type="page"/>
      </w:r>
    </w:p>
    <w:p w14:paraId="4EC1947F" w14:textId="77777777" w:rsidR="00F968DF" w:rsidRPr="00F968DF" w:rsidRDefault="00F968DF" w:rsidP="00F968DF">
      <w:pPr>
        <w:spacing w:before="480" w:after="0" w:line="276" w:lineRule="auto"/>
        <w:ind w:left="432" w:hanging="432"/>
        <w:contextualSpacing/>
        <w:jc w:val="both"/>
        <w:outlineLvl w:val="0"/>
        <w:rPr>
          <w:rFonts w:ascii="Cambria" w:eastAsia="Times New Roman" w:hAnsi="Cambria" w:cs="Times New Roman"/>
          <w:b/>
          <w:bCs/>
          <w:sz w:val="28"/>
          <w:szCs w:val="28"/>
          <w:u w:val="single"/>
          <w:lang w:eastAsia="en-GB"/>
        </w:rPr>
      </w:pPr>
      <w:bookmarkStart w:id="6" w:name="_Toc402265302"/>
      <w:r w:rsidRPr="00F968DF">
        <w:rPr>
          <w:rFonts w:ascii="Cambria" w:eastAsia="Times New Roman" w:hAnsi="Cambria" w:cs="Times New Roman"/>
          <w:b/>
          <w:bCs/>
          <w:sz w:val="28"/>
          <w:szCs w:val="28"/>
          <w:u w:val="single"/>
          <w:lang w:eastAsia="en-GB"/>
        </w:rPr>
        <w:lastRenderedPageBreak/>
        <w:t>Trusts for People / Trusts for Purposes</w:t>
      </w:r>
      <w:bookmarkEnd w:id="6"/>
    </w:p>
    <w:p w14:paraId="736AAC91" w14:textId="77777777" w:rsidR="00F968DF" w:rsidRPr="00F968DF" w:rsidRDefault="00F968DF" w:rsidP="00F968DF">
      <w:pPr>
        <w:numPr>
          <w:ilvl w:val="1"/>
          <w:numId w:val="0"/>
        </w:numPr>
        <w:spacing w:before="200" w:after="0" w:line="276" w:lineRule="auto"/>
        <w:ind w:left="1427" w:hanging="576"/>
        <w:jc w:val="both"/>
        <w:outlineLvl w:val="1"/>
        <w:rPr>
          <w:rFonts w:ascii="Cambria" w:eastAsia="Times New Roman" w:hAnsi="Cambria" w:cs="Times New Roman"/>
          <w:b/>
          <w:bCs/>
          <w:sz w:val="26"/>
          <w:szCs w:val="26"/>
          <w:lang w:eastAsia="en-GB"/>
        </w:rPr>
      </w:pPr>
      <w:bookmarkStart w:id="7" w:name="_Toc402265303"/>
      <w:r w:rsidRPr="00F968DF">
        <w:rPr>
          <w:rFonts w:ascii="Cambria" w:eastAsia="Times New Roman" w:hAnsi="Cambria" w:cs="Times New Roman"/>
          <w:b/>
          <w:bCs/>
          <w:sz w:val="26"/>
          <w:szCs w:val="26"/>
          <w:lang w:eastAsia="en-GB"/>
        </w:rPr>
        <w:t>A question of construction</w:t>
      </w:r>
      <w:bookmarkEnd w:id="7"/>
    </w:p>
    <w:p w14:paraId="5E6B2E1C" w14:textId="77777777" w:rsidR="00F968DF" w:rsidRPr="00F968DF" w:rsidRDefault="00F968DF" w:rsidP="00F968DF">
      <w:pPr>
        <w:numPr>
          <w:ilvl w:val="0"/>
          <w:numId w:val="5"/>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Trust for a purpose?</w:t>
      </w:r>
    </w:p>
    <w:p w14:paraId="50D4D6B1"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u w:val="single"/>
          <w:lang w:eastAsia="en-GB"/>
        </w:rPr>
      </w:pPr>
      <w:r w:rsidRPr="00F968DF">
        <w:rPr>
          <w:rFonts w:ascii="Calibri" w:eastAsia="Times New Roman" w:hAnsi="Calibri" w:cs="Times New Roman"/>
          <w:i/>
          <w:iCs/>
          <w:u w:val="single"/>
          <w:lang w:eastAsia="en-GB"/>
        </w:rPr>
        <w:t>Re The Trusts of the Abbott Fund</w:t>
      </w:r>
      <w:r w:rsidRPr="00F968DF">
        <w:rPr>
          <w:rFonts w:ascii="Calibri" w:eastAsia="Times New Roman" w:hAnsi="Calibri" w:cs="Times New Roman"/>
          <w:iCs/>
          <w:u w:val="single"/>
          <w:lang w:eastAsia="en-GB"/>
        </w:rPr>
        <w:t xml:space="preserve"> </w:t>
      </w:r>
      <w:r w:rsidRPr="00F968DF">
        <w:rPr>
          <w:rFonts w:ascii="Calibri" w:eastAsia="Times New Roman" w:hAnsi="Calibri" w:cs="Times New Roman"/>
          <w:u w:val="single"/>
          <w:lang w:eastAsia="en-GB"/>
        </w:rPr>
        <w:t>[1900] 2 Ch 326</w:t>
      </w:r>
    </w:p>
    <w:p w14:paraId="103D1B12"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A fund was raised for the maintenance and support of two deaf and dumb old ladies. The trust could have been understood as being an express private trust, with the beneficiaries being the two ladies. However, the trustees had a wide discretion as to how to use the money. Consequently, the court understood the trust as being for the purpose of benefitting the ladies, rather than for the ladies themselves. It was valid since they were in a position to enforce it.</w:t>
      </w:r>
    </w:p>
    <w:p w14:paraId="1344420E"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The case itself concerns the disposition of the remaining funds when the sisters died. On their death the purpose failed, and the money returned on resulting trust to the </w:t>
      </w:r>
      <w:proofErr w:type="spellStart"/>
      <w:r w:rsidRPr="00F968DF">
        <w:rPr>
          <w:rFonts w:ascii="Calibri" w:eastAsia="Times New Roman" w:hAnsi="Calibri" w:cs="Times New Roman"/>
          <w:lang w:eastAsia="en-GB"/>
        </w:rPr>
        <w:t>donees</w:t>
      </w:r>
      <w:proofErr w:type="spellEnd"/>
      <w:r w:rsidRPr="00F968DF">
        <w:rPr>
          <w:rFonts w:ascii="Calibri" w:eastAsia="Times New Roman" w:hAnsi="Calibri" w:cs="Times New Roman"/>
          <w:lang w:eastAsia="en-GB"/>
        </w:rPr>
        <w:t xml:space="preserve">. </w:t>
      </w:r>
    </w:p>
    <w:p w14:paraId="3CA6D59F" w14:textId="77777777" w:rsidR="00F968DF" w:rsidRPr="00F968DF" w:rsidRDefault="00F968DF" w:rsidP="00F968DF">
      <w:pPr>
        <w:numPr>
          <w:ilvl w:val="0"/>
          <w:numId w:val="5"/>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Trust for people?</w:t>
      </w:r>
    </w:p>
    <w:p w14:paraId="675E19FD"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i/>
          <w:iCs/>
          <w:u w:val="single"/>
          <w:lang w:eastAsia="en-GB"/>
        </w:rPr>
        <w:t>Re Andrew's Trusts</w:t>
      </w:r>
      <w:r w:rsidRPr="00F968DF">
        <w:rPr>
          <w:rFonts w:ascii="Calibri" w:eastAsia="Times New Roman" w:hAnsi="Calibri" w:cs="Times New Roman"/>
          <w:u w:val="single"/>
          <w:lang w:eastAsia="en-GB"/>
        </w:rPr>
        <w:t xml:space="preserve"> [1905] 2 Ch 48</w:t>
      </w:r>
      <w:r w:rsidRPr="00F968DF">
        <w:rPr>
          <w:rFonts w:ascii="Calibri" w:eastAsia="Times New Roman" w:hAnsi="Calibri" w:cs="Times New Roman"/>
          <w:lang w:eastAsia="en-GB"/>
        </w:rPr>
        <w:t xml:space="preserve"> </w:t>
      </w:r>
    </w:p>
    <w:p w14:paraId="2017E7F6"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A fund was established for the education of children of a deceased clergyman. An accompanying letter showed that the contributions were made “for or towards their education; ... as being necessary to defray the expenses of all, and that solely in the matter of education”. Once their education was complete, the question arose of the disposal of the surplus. </w:t>
      </w:r>
      <w:proofErr w:type="spellStart"/>
      <w:r w:rsidRPr="00F968DF">
        <w:rPr>
          <w:rFonts w:ascii="Calibri" w:eastAsia="Times New Roman" w:hAnsi="Calibri" w:cs="Times New Roman"/>
          <w:lang w:eastAsia="en-GB"/>
        </w:rPr>
        <w:t>Kekewich</w:t>
      </w:r>
      <w:proofErr w:type="spellEnd"/>
      <w:r w:rsidRPr="00F968DF">
        <w:rPr>
          <w:rFonts w:ascii="Calibri" w:eastAsia="Times New Roman" w:hAnsi="Calibri" w:cs="Times New Roman"/>
          <w:lang w:eastAsia="en-GB"/>
        </w:rPr>
        <w:t xml:space="preserve"> J. decided the children were entitled to equal shares.</w:t>
      </w:r>
    </w:p>
    <w:p w14:paraId="502A952B" w14:textId="77777777" w:rsidR="00F968DF" w:rsidRPr="00F968DF" w:rsidRDefault="00F968DF" w:rsidP="00F968DF">
      <w:pPr>
        <w:spacing w:after="200" w:line="276" w:lineRule="auto"/>
        <w:jc w:val="both"/>
        <w:rPr>
          <w:rFonts w:ascii="Calibri" w:eastAsia="Times New Roman" w:hAnsi="Calibri" w:cs="Times New Roman"/>
          <w:lang w:eastAsia="en-GB"/>
        </w:rPr>
      </w:pPr>
    </w:p>
    <w:p w14:paraId="0CA9736F"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u w:val="single"/>
          <w:lang w:eastAsia="en-GB"/>
        </w:rPr>
      </w:pPr>
      <w:r w:rsidRPr="00F968DF">
        <w:rPr>
          <w:rFonts w:ascii="Calibri" w:eastAsia="Times New Roman" w:hAnsi="Calibri" w:cs="Times New Roman"/>
          <w:i/>
          <w:u w:val="single"/>
          <w:lang w:eastAsia="en-GB"/>
        </w:rPr>
        <w:t xml:space="preserve">Re </w:t>
      </w:r>
      <w:proofErr w:type="spellStart"/>
      <w:r w:rsidRPr="00F968DF">
        <w:rPr>
          <w:rFonts w:ascii="Calibri" w:eastAsia="Times New Roman" w:hAnsi="Calibri" w:cs="Times New Roman"/>
          <w:i/>
          <w:u w:val="single"/>
          <w:lang w:eastAsia="en-GB"/>
        </w:rPr>
        <w:t>Osoba</w:t>
      </w:r>
      <w:proofErr w:type="spellEnd"/>
      <w:r w:rsidRPr="00F968DF">
        <w:rPr>
          <w:rFonts w:ascii="Calibri" w:eastAsia="Times New Roman" w:hAnsi="Calibri" w:cs="Times New Roman"/>
          <w:u w:val="single"/>
          <w:lang w:eastAsia="en-GB"/>
        </w:rPr>
        <w:t xml:space="preserve"> [1979] 2 All ER 393</w:t>
      </w:r>
    </w:p>
    <w:p w14:paraId="5BBE1083"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A testator left his residue “for the training of my daughter up to University grade.” When this university education was complete, the other children of the testator claimed the remaining money. The Court of Appeal found that the testator’s intention had been to make an absolute gift to his daughter, and the reference to education was merely an expression of motive. </w:t>
      </w:r>
      <w:proofErr w:type="gramStart"/>
      <w:r w:rsidRPr="00F968DF">
        <w:rPr>
          <w:rFonts w:ascii="Calibri" w:eastAsia="Times New Roman" w:hAnsi="Calibri" w:cs="Times New Roman"/>
          <w:lang w:eastAsia="en-GB"/>
        </w:rPr>
        <w:t>Therefore</w:t>
      </w:r>
      <w:proofErr w:type="gramEnd"/>
      <w:r w:rsidRPr="00F968DF">
        <w:rPr>
          <w:rFonts w:ascii="Calibri" w:eastAsia="Times New Roman" w:hAnsi="Calibri" w:cs="Times New Roman"/>
          <w:lang w:eastAsia="en-GB"/>
        </w:rPr>
        <w:t xml:space="preserve"> the daughter was entitled to the whole of the property, and would have been even if she had not gone to university. </w:t>
      </w:r>
    </w:p>
    <w:p w14:paraId="258C4B5B" w14:textId="77777777" w:rsidR="00F968DF" w:rsidRPr="00F968DF" w:rsidRDefault="00F968DF" w:rsidP="00F968DF">
      <w:pPr>
        <w:spacing w:after="200" w:line="276" w:lineRule="auto"/>
        <w:jc w:val="both"/>
        <w:rPr>
          <w:rFonts w:ascii="Calibri" w:eastAsia="Times New Roman" w:hAnsi="Calibri" w:cs="Times New Roman"/>
          <w:lang w:eastAsia="en-GB"/>
        </w:rPr>
      </w:pPr>
    </w:p>
    <w:p w14:paraId="1233ACC4"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i/>
          <w:iCs/>
          <w:u w:val="single"/>
          <w:lang w:eastAsia="en-GB"/>
        </w:rPr>
        <w:t>Re Bowes</w:t>
      </w:r>
      <w:r w:rsidRPr="00F968DF">
        <w:rPr>
          <w:rFonts w:ascii="Calibri" w:eastAsia="Times New Roman" w:hAnsi="Calibri" w:cs="Times New Roman"/>
          <w:iCs/>
          <w:u w:val="single"/>
          <w:lang w:eastAsia="en-GB"/>
        </w:rPr>
        <w:t xml:space="preserve"> </w:t>
      </w:r>
      <w:r w:rsidRPr="00F968DF">
        <w:rPr>
          <w:rFonts w:ascii="Calibri" w:eastAsia="Times New Roman" w:hAnsi="Calibri" w:cs="Times New Roman"/>
          <w:u w:val="single"/>
          <w:lang w:eastAsia="en-GB"/>
        </w:rPr>
        <w:t>[1896] 1 Ch. 507</w:t>
      </w:r>
      <w:r w:rsidRPr="00F968DF">
        <w:rPr>
          <w:rFonts w:ascii="Calibri" w:eastAsia="Times New Roman" w:hAnsi="Calibri" w:cs="Times New Roman"/>
          <w:lang w:eastAsia="en-GB"/>
        </w:rPr>
        <w:t xml:space="preserve"> </w:t>
      </w:r>
    </w:p>
    <w:p w14:paraId="63779259"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Trust to plant trees on a settled estate. The money belonged to the owners of the estate absolutely. </w:t>
      </w:r>
    </w:p>
    <w:p w14:paraId="7D36548B" w14:textId="77777777" w:rsidR="00F968DF" w:rsidRPr="00F968DF" w:rsidRDefault="00F968DF" w:rsidP="00F968DF">
      <w:pPr>
        <w:numPr>
          <w:ilvl w:val="0"/>
          <w:numId w:val="5"/>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A question of construction when broader purposes are specified or members of an association may benefit:</w:t>
      </w:r>
    </w:p>
    <w:p w14:paraId="28564E23" w14:textId="77777777" w:rsidR="00F968DF" w:rsidRPr="00F968DF" w:rsidRDefault="00F968DF" w:rsidP="00F968DF">
      <w:pPr>
        <w:spacing w:after="200" w:line="276" w:lineRule="auto"/>
        <w:ind w:left="720" w:firstLine="720"/>
        <w:jc w:val="both"/>
        <w:rPr>
          <w:rFonts w:ascii="Calibri" w:eastAsia="Times New Roman" w:hAnsi="Calibri" w:cs="Times New Roman"/>
          <w:lang w:eastAsia="en-GB"/>
        </w:rPr>
      </w:pPr>
      <w:r w:rsidRPr="00F968DF">
        <w:rPr>
          <w:rFonts w:ascii="Calibri" w:eastAsia="Times New Roman" w:hAnsi="Calibri" w:cs="Times New Roman"/>
          <w:lang w:eastAsia="en-GB"/>
        </w:rPr>
        <w:t>Trust for purposes:</w:t>
      </w:r>
    </w:p>
    <w:p w14:paraId="12004F16" w14:textId="77777777" w:rsidR="00F968DF" w:rsidRPr="00F968DF" w:rsidRDefault="00F968DF" w:rsidP="00F968DF">
      <w:pPr>
        <w:spacing w:after="200" w:line="276" w:lineRule="auto"/>
        <w:ind w:left="1440" w:firstLine="720"/>
        <w:jc w:val="both"/>
        <w:rPr>
          <w:rFonts w:ascii="Calibri" w:eastAsia="Times New Roman" w:hAnsi="Calibri" w:cs="Times New Roman"/>
          <w:lang w:eastAsia="en-GB"/>
        </w:rPr>
      </w:pPr>
      <w:r w:rsidRPr="00F968DF">
        <w:rPr>
          <w:rFonts w:ascii="Calibri" w:eastAsia="Times New Roman" w:hAnsi="Calibri" w:cs="Times New Roman"/>
          <w:iCs/>
          <w:lang w:eastAsia="en-GB"/>
        </w:rPr>
        <w:t>Re Astor's ST</w:t>
      </w:r>
      <w:r w:rsidRPr="00F968DF">
        <w:rPr>
          <w:rFonts w:ascii="Calibri" w:eastAsia="Times New Roman" w:hAnsi="Calibri" w:cs="Times New Roman"/>
          <w:lang w:eastAsia="en-GB"/>
        </w:rPr>
        <w:t xml:space="preserve"> [1952] Ch 534</w:t>
      </w:r>
    </w:p>
    <w:p w14:paraId="30E6C593" w14:textId="77777777" w:rsidR="00F968DF" w:rsidRPr="00F968DF" w:rsidRDefault="00F968DF" w:rsidP="00F968DF">
      <w:pPr>
        <w:spacing w:after="200" w:line="276" w:lineRule="auto"/>
        <w:ind w:left="1440" w:firstLine="720"/>
        <w:jc w:val="both"/>
        <w:rPr>
          <w:rFonts w:ascii="Calibri" w:eastAsia="Times New Roman" w:hAnsi="Calibri" w:cs="Times New Roman"/>
          <w:lang w:eastAsia="en-GB"/>
        </w:rPr>
      </w:pPr>
      <w:r w:rsidRPr="00F968DF">
        <w:rPr>
          <w:rFonts w:ascii="Calibri" w:eastAsia="Times New Roman" w:hAnsi="Calibri" w:cs="Times New Roman"/>
          <w:iCs/>
          <w:lang w:eastAsia="en-GB"/>
        </w:rPr>
        <w:t>Re Shaw</w:t>
      </w:r>
      <w:r w:rsidRPr="00F968DF">
        <w:rPr>
          <w:rFonts w:ascii="Calibri" w:eastAsia="Times New Roman" w:hAnsi="Calibri" w:cs="Times New Roman"/>
          <w:lang w:eastAsia="en-GB"/>
        </w:rPr>
        <w:t xml:space="preserve"> [1957] 1 WLR 729</w:t>
      </w:r>
    </w:p>
    <w:p w14:paraId="2036764A" w14:textId="77777777" w:rsidR="00F968DF" w:rsidRPr="00F968DF" w:rsidRDefault="00F968DF" w:rsidP="00F968DF">
      <w:pPr>
        <w:spacing w:after="200" w:line="276" w:lineRule="auto"/>
        <w:ind w:left="1440" w:firstLine="720"/>
        <w:jc w:val="both"/>
        <w:rPr>
          <w:rFonts w:ascii="Calibri" w:eastAsia="Times New Roman" w:hAnsi="Calibri" w:cs="Times New Roman"/>
          <w:lang w:eastAsia="en-GB"/>
        </w:rPr>
      </w:pPr>
      <w:r w:rsidRPr="00F968DF">
        <w:rPr>
          <w:rFonts w:ascii="Calibri" w:eastAsia="Times New Roman" w:hAnsi="Calibri" w:cs="Times New Roman"/>
          <w:iCs/>
          <w:lang w:eastAsia="en-GB"/>
        </w:rPr>
        <w:t xml:space="preserve">Re </w:t>
      </w:r>
      <w:proofErr w:type="spellStart"/>
      <w:r w:rsidRPr="00F968DF">
        <w:rPr>
          <w:rFonts w:ascii="Calibri" w:eastAsia="Times New Roman" w:hAnsi="Calibri" w:cs="Times New Roman"/>
          <w:iCs/>
          <w:lang w:eastAsia="en-GB"/>
        </w:rPr>
        <w:t>Endacott</w:t>
      </w:r>
      <w:proofErr w:type="spellEnd"/>
      <w:r w:rsidRPr="00F968DF">
        <w:rPr>
          <w:rFonts w:ascii="Calibri" w:eastAsia="Times New Roman" w:hAnsi="Calibri" w:cs="Times New Roman"/>
          <w:lang w:eastAsia="en-GB"/>
        </w:rPr>
        <w:t xml:space="preserve"> [1960] Ch 232</w:t>
      </w:r>
    </w:p>
    <w:p w14:paraId="6464BF36" w14:textId="77777777" w:rsidR="00F968DF" w:rsidRPr="00F968DF" w:rsidRDefault="00F968DF" w:rsidP="00F968DF">
      <w:pPr>
        <w:numPr>
          <w:ilvl w:val="1"/>
          <w:numId w:val="0"/>
        </w:numPr>
        <w:spacing w:before="200" w:after="0" w:line="276" w:lineRule="auto"/>
        <w:ind w:left="1427" w:hanging="576"/>
        <w:jc w:val="both"/>
        <w:outlineLvl w:val="1"/>
        <w:rPr>
          <w:rFonts w:ascii="Cambria" w:eastAsia="Times New Roman" w:hAnsi="Cambria" w:cs="Times New Roman"/>
          <w:b/>
          <w:bCs/>
          <w:sz w:val="26"/>
          <w:szCs w:val="26"/>
          <w:lang w:eastAsia="en-GB"/>
        </w:rPr>
      </w:pPr>
      <w:bookmarkStart w:id="8" w:name="_Toc402265304"/>
      <w:r w:rsidRPr="00F968DF">
        <w:rPr>
          <w:rFonts w:ascii="Cambria" w:eastAsia="Times New Roman" w:hAnsi="Cambria" w:cs="Times New Roman"/>
          <w:b/>
          <w:bCs/>
          <w:sz w:val="26"/>
          <w:szCs w:val="26"/>
          <w:lang w:eastAsia="en-GB"/>
        </w:rPr>
        <w:lastRenderedPageBreak/>
        <w:t>Trusts for people: direct or indirect benefit to individuals</w:t>
      </w:r>
      <w:bookmarkEnd w:id="8"/>
    </w:p>
    <w:p w14:paraId="08085BA7"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u w:val="single"/>
          <w:lang w:eastAsia="en-GB"/>
        </w:rPr>
      </w:pPr>
      <w:r w:rsidRPr="00F968DF">
        <w:rPr>
          <w:rFonts w:ascii="Calibri" w:eastAsia="Times New Roman" w:hAnsi="Calibri" w:cs="Times New Roman"/>
          <w:i/>
          <w:iCs/>
          <w:u w:val="single"/>
          <w:lang w:eastAsia="en-GB"/>
        </w:rPr>
        <w:t>Re Denley</w:t>
      </w:r>
      <w:r w:rsidRPr="00F968DF">
        <w:rPr>
          <w:rFonts w:ascii="Calibri" w:eastAsia="Times New Roman" w:hAnsi="Calibri" w:cs="Times New Roman"/>
          <w:i/>
          <w:u w:val="single"/>
          <w:lang w:eastAsia="en-GB"/>
        </w:rPr>
        <w:t xml:space="preserve"> </w:t>
      </w:r>
      <w:r w:rsidRPr="00F968DF">
        <w:rPr>
          <w:rFonts w:ascii="Calibri" w:eastAsia="Times New Roman" w:hAnsi="Calibri" w:cs="Times New Roman"/>
          <w:u w:val="single"/>
          <w:lang w:eastAsia="en-GB"/>
        </w:rPr>
        <w:t>[1969] 1 Ch 673</w:t>
      </w:r>
    </w:p>
    <w:p w14:paraId="43B0D1C3"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Land was given on trust to be used as a sports ground primarily for the benefit of employees of a named company for </w:t>
      </w:r>
      <w:proofErr w:type="gramStart"/>
      <w:r w:rsidRPr="00F968DF">
        <w:rPr>
          <w:rFonts w:ascii="Calibri" w:eastAsia="Times New Roman" w:hAnsi="Calibri" w:cs="Times New Roman"/>
          <w:lang w:eastAsia="en-GB"/>
        </w:rPr>
        <w:t>twenty one</w:t>
      </w:r>
      <w:proofErr w:type="gramEnd"/>
      <w:r w:rsidRPr="00F968DF">
        <w:rPr>
          <w:rFonts w:ascii="Calibri" w:eastAsia="Times New Roman" w:hAnsi="Calibri" w:cs="Times New Roman"/>
          <w:lang w:eastAsia="en-GB"/>
        </w:rPr>
        <w:t xml:space="preserve"> years from the death of the last survivor of a group of named individuals. The trustees also had the power to allow the facilities to be used by other people. Although the trust was for a purpose, the use and enjoyment, it directly or indirectly benefitted individuals so was valid. Such a trust would not fail for want of a beneficiary.  </w:t>
      </w:r>
    </w:p>
    <w:p w14:paraId="716BF33D"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Per Goff J at 383:</w:t>
      </w:r>
    </w:p>
    <w:p w14:paraId="555F5D5A"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i/>
          <w:lang w:eastAsia="en-GB"/>
        </w:rPr>
        <w:t>“I think there may be a purpose or object trust, the carrying out of which would benefit an individual or individuals, where the benefit is so indirect or intangible or which is otherwise so framed as not to give those persons any locus standi  to apply to the court to enforce the trust, in which case the beneficiary principle would, as it seems to me, apply to invalidate the trust, quite apart from any question of uncertainty or perpetuity. Such cases can be considered if and when they arise. The present is not, in my judgement, of that character, and it will be seen that ... the trust deed expressly states that, subject to any rules and regulations made by the trustees, the employees of the company shall be entitled to the use and enjoyment of the land. Apart from this possible exception, in my judgement the beneficiary principle ... is confined to purpose or object trusts which are abstract or impersonal. The objection is not that the trust is for a purpose or object per se, but that there is no beneficiary ... Where, then, the trust, although expressed as a purpose, is directly or indirectly for the benefit of an individual or individual, it seems to me that it is in general outside the mischief of the beneficiary principle.”</w:t>
      </w:r>
    </w:p>
    <w:p w14:paraId="468D18A4" w14:textId="77777777" w:rsidR="00F968DF" w:rsidRPr="00F968DF" w:rsidRDefault="00F968DF" w:rsidP="00F968DF">
      <w:pPr>
        <w:numPr>
          <w:ilvl w:val="0"/>
          <w:numId w:val="5"/>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iCs/>
          <w:lang w:eastAsia="en-GB"/>
        </w:rPr>
        <w:t xml:space="preserve">Note that under the </w:t>
      </w:r>
      <w:r w:rsidRPr="00F968DF">
        <w:rPr>
          <w:rFonts w:ascii="Calibri" w:eastAsia="Times New Roman" w:hAnsi="Calibri" w:cs="Times New Roman"/>
          <w:i/>
          <w:iCs/>
          <w:lang w:eastAsia="en-GB"/>
        </w:rPr>
        <w:t xml:space="preserve">Denley </w:t>
      </w:r>
      <w:r w:rsidRPr="00F968DF">
        <w:rPr>
          <w:rFonts w:ascii="Calibri" w:eastAsia="Times New Roman" w:hAnsi="Calibri" w:cs="Times New Roman"/>
          <w:iCs/>
          <w:lang w:eastAsia="en-GB"/>
        </w:rPr>
        <w:t xml:space="preserve">principle the trust is valid, and the trustees must uphold the purpose. </w:t>
      </w:r>
    </w:p>
    <w:p w14:paraId="2DF72857" w14:textId="77777777" w:rsidR="00F968DF" w:rsidRPr="00F968DF" w:rsidRDefault="00F968DF" w:rsidP="00F968DF">
      <w:pPr>
        <w:numPr>
          <w:ilvl w:val="0"/>
          <w:numId w:val="5"/>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 xml:space="preserve">The key point is that the court interpreted the trust as benefitting people, and so it was valid as there was somebody in whose favour the court could enforce the trust </w:t>
      </w:r>
    </w:p>
    <w:p w14:paraId="7DD3667F" w14:textId="77777777" w:rsidR="00F968DF" w:rsidRPr="00F968DF" w:rsidRDefault="00F968DF" w:rsidP="00F968DF">
      <w:pPr>
        <w:numPr>
          <w:ilvl w:val="2"/>
          <w:numId w:val="0"/>
        </w:numPr>
        <w:spacing w:before="200" w:after="0" w:line="271" w:lineRule="auto"/>
        <w:ind w:left="720" w:hanging="720"/>
        <w:jc w:val="both"/>
        <w:outlineLvl w:val="2"/>
        <w:rPr>
          <w:rFonts w:ascii="Cambria" w:eastAsia="Times New Roman" w:hAnsi="Cambria" w:cs="Times New Roman"/>
          <w:b/>
          <w:bCs/>
          <w:lang w:eastAsia="en-GB"/>
        </w:rPr>
      </w:pPr>
      <w:bookmarkStart w:id="9" w:name="_Toc402265305"/>
      <w:r w:rsidRPr="00F968DF">
        <w:rPr>
          <w:rFonts w:ascii="Cambria" w:eastAsia="Times New Roman" w:hAnsi="Cambria" w:cs="Times New Roman"/>
          <w:b/>
          <w:bCs/>
          <w:lang w:eastAsia="en-GB"/>
        </w:rPr>
        <w:t>Compliance with the rules against perpetuity</w:t>
      </w:r>
      <w:bookmarkEnd w:id="9"/>
    </w:p>
    <w:p w14:paraId="32100E9F" w14:textId="77777777" w:rsidR="00F968DF" w:rsidRPr="00F968DF" w:rsidRDefault="00F968DF" w:rsidP="00F968DF">
      <w:pPr>
        <w:numPr>
          <w:ilvl w:val="0"/>
          <w:numId w:val="6"/>
        </w:numPr>
        <w:spacing w:after="200" w:line="276" w:lineRule="auto"/>
        <w:contextualSpacing/>
        <w:jc w:val="both"/>
        <w:rPr>
          <w:rFonts w:ascii="Calibri" w:eastAsia="Times New Roman" w:hAnsi="Calibri" w:cs="Times New Roman"/>
          <w:iCs/>
          <w:lang w:eastAsia="en-GB"/>
        </w:rPr>
      </w:pPr>
      <w:r w:rsidRPr="00F968DF">
        <w:rPr>
          <w:rFonts w:ascii="Calibri" w:eastAsia="Times New Roman" w:hAnsi="Calibri" w:cs="Times New Roman"/>
          <w:iCs/>
          <w:lang w:eastAsia="en-GB"/>
        </w:rPr>
        <w:t xml:space="preserve">The rule against remoteness of vesting — </w:t>
      </w:r>
      <w:r w:rsidRPr="00F968DF">
        <w:rPr>
          <w:rFonts w:ascii="Calibri" w:eastAsia="Times New Roman" w:hAnsi="Calibri" w:cs="Times New Roman"/>
          <w:lang w:eastAsia="en-GB"/>
        </w:rPr>
        <w:t>This will not usually cause a purpose trust which benefits people to fail because the Perpetuities and Accumulations Act 2009 allows one to wait and see what happens and to close the class if necessary at the end of the perpetuity period (125 years).</w:t>
      </w:r>
    </w:p>
    <w:p w14:paraId="2D0DC699" w14:textId="77777777" w:rsidR="00F968DF" w:rsidRPr="00F968DF" w:rsidRDefault="00F968DF" w:rsidP="00F968DF">
      <w:pPr>
        <w:numPr>
          <w:ilvl w:val="0"/>
          <w:numId w:val="6"/>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iCs/>
          <w:lang w:eastAsia="en-GB"/>
        </w:rPr>
        <w:t xml:space="preserve">The rule against inalienability ("the rule against perpetual trusts") — </w:t>
      </w:r>
      <w:r w:rsidRPr="00F968DF">
        <w:rPr>
          <w:rFonts w:ascii="Calibri" w:eastAsia="Times New Roman" w:hAnsi="Calibri" w:cs="Times New Roman"/>
          <w:lang w:eastAsia="en-GB"/>
        </w:rPr>
        <w:t>A private trust will be void if the income is tied up for a purpose beyond the perpetuity period.  The Perpetuities and Accumulations Act 2009 cannot</w:t>
      </w:r>
      <w:r w:rsidRPr="00F968DF">
        <w:rPr>
          <w:rFonts w:ascii="Calibri" w:eastAsia="Times New Roman" w:hAnsi="Calibri" w:cs="Times New Roman"/>
          <w:iCs/>
          <w:lang w:eastAsia="en-GB"/>
        </w:rPr>
        <w:t xml:space="preserve"> </w:t>
      </w:r>
      <w:r w:rsidRPr="00F968DF">
        <w:rPr>
          <w:rFonts w:ascii="Calibri" w:eastAsia="Times New Roman" w:hAnsi="Calibri" w:cs="Times New Roman"/>
          <w:lang w:eastAsia="en-GB"/>
        </w:rPr>
        <w:t>be used to save a trust for a private</w:t>
      </w:r>
      <w:r w:rsidRPr="00F968DF">
        <w:rPr>
          <w:rFonts w:ascii="Calibri" w:eastAsia="Times New Roman" w:hAnsi="Calibri" w:cs="Times New Roman"/>
          <w:iCs/>
          <w:lang w:eastAsia="en-GB"/>
        </w:rPr>
        <w:t xml:space="preserve"> purpose</w:t>
      </w:r>
      <w:r w:rsidRPr="00F968DF">
        <w:rPr>
          <w:rFonts w:ascii="Calibri" w:eastAsia="Times New Roman" w:hAnsi="Calibri" w:cs="Times New Roman"/>
          <w:lang w:eastAsia="en-GB"/>
        </w:rPr>
        <w:t xml:space="preserve">.  </w:t>
      </w:r>
    </w:p>
    <w:p w14:paraId="0488B773" w14:textId="77777777" w:rsidR="00F968DF" w:rsidRPr="00F968DF" w:rsidRDefault="00F968DF" w:rsidP="00F968DF">
      <w:pPr>
        <w:numPr>
          <w:ilvl w:val="2"/>
          <w:numId w:val="0"/>
        </w:numPr>
        <w:spacing w:before="200" w:after="0" w:line="271" w:lineRule="auto"/>
        <w:ind w:left="720" w:hanging="720"/>
        <w:jc w:val="both"/>
        <w:outlineLvl w:val="2"/>
        <w:rPr>
          <w:rFonts w:ascii="Cambria" w:eastAsia="Times New Roman" w:hAnsi="Cambria" w:cs="Times New Roman"/>
          <w:b/>
          <w:bCs/>
          <w:lang w:eastAsia="en-GB"/>
        </w:rPr>
      </w:pPr>
      <w:bookmarkStart w:id="10" w:name="_Toc402265306"/>
      <w:r w:rsidRPr="00F968DF">
        <w:rPr>
          <w:rFonts w:ascii="Cambria" w:eastAsia="Times New Roman" w:hAnsi="Cambria" w:cs="Times New Roman"/>
          <w:b/>
          <w:bCs/>
          <w:lang w:eastAsia="en-GB"/>
        </w:rPr>
        <w:t>Certainty</w:t>
      </w:r>
      <w:bookmarkEnd w:id="10"/>
    </w:p>
    <w:p w14:paraId="0BF25E6B" w14:textId="77777777" w:rsidR="00F968DF" w:rsidRPr="00F968DF" w:rsidRDefault="00F968DF" w:rsidP="00F968DF">
      <w:pPr>
        <w:numPr>
          <w:ilvl w:val="0"/>
          <w:numId w:val="8"/>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iCs/>
          <w:lang w:eastAsia="en-GB"/>
        </w:rPr>
        <w:t xml:space="preserve">Morice v Bishop of </w:t>
      </w:r>
      <w:proofErr w:type="gramStart"/>
      <w:r w:rsidRPr="00F968DF">
        <w:rPr>
          <w:rFonts w:ascii="Calibri" w:eastAsia="Times New Roman" w:hAnsi="Calibri" w:cs="Times New Roman"/>
          <w:iCs/>
          <w:lang w:eastAsia="en-GB"/>
        </w:rPr>
        <w:t xml:space="preserve">Durham </w:t>
      </w:r>
      <w:r w:rsidRPr="00F968DF">
        <w:rPr>
          <w:rFonts w:ascii="Calibri" w:eastAsia="Times New Roman" w:hAnsi="Calibri" w:cs="Times New Roman"/>
          <w:lang w:eastAsia="en-GB"/>
        </w:rPr>
        <w:t xml:space="preserve"> [</w:t>
      </w:r>
      <w:proofErr w:type="gramEnd"/>
      <w:r w:rsidRPr="00F968DF">
        <w:rPr>
          <w:rFonts w:ascii="Calibri" w:eastAsia="Times New Roman" w:hAnsi="Calibri" w:cs="Times New Roman"/>
          <w:lang w:eastAsia="en-GB"/>
        </w:rPr>
        <w:t>1804] 9 Ves Jr 399</w:t>
      </w:r>
      <w:r w:rsidRPr="00F968DF">
        <w:rPr>
          <w:rFonts w:ascii="Calibri" w:eastAsia="Times New Roman" w:hAnsi="Calibri" w:cs="Times New Roman"/>
          <w:iCs/>
          <w:lang w:eastAsia="en-GB"/>
        </w:rPr>
        <w:t xml:space="preserve">. </w:t>
      </w:r>
      <w:r w:rsidRPr="00F968DF">
        <w:rPr>
          <w:rFonts w:ascii="Calibri" w:eastAsia="Times New Roman" w:hAnsi="Calibri" w:cs="Times New Roman"/>
          <w:lang w:eastAsia="en-GB"/>
        </w:rPr>
        <w:t xml:space="preserve"> </w:t>
      </w:r>
      <w:proofErr w:type="gramStart"/>
      <w:r w:rsidRPr="00F968DF">
        <w:rPr>
          <w:rFonts w:ascii="Calibri" w:eastAsia="Times New Roman" w:hAnsi="Calibri" w:cs="Times New Roman"/>
          <w:lang w:eastAsia="en-GB"/>
        </w:rPr>
        <w:t>C.A. :</w:t>
      </w:r>
      <w:proofErr w:type="gramEnd"/>
      <w:r w:rsidRPr="00F968DF">
        <w:rPr>
          <w:rFonts w:ascii="Calibri" w:eastAsia="Times New Roman" w:hAnsi="Calibri" w:cs="Times New Roman"/>
          <w:lang w:eastAsia="en-GB"/>
        </w:rPr>
        <w:t xml:space="preserve"> "benevolence"  "liberality" </w:t>
      </w:r>
    </w:p>
    <w:p w14:paraId="6C1CE5B7" w14:textId="77777777" w:rsidR="00F968DF" w:rsidRPr="00F968DF" w:rsidRDefault="00F968DF" w:rsidP="00F968DF">
      <w:pPr>
        <w:numPr>
          <w:ilvl w:val="0"/>
          <w:numId w:val="8"/>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iCs/>
          <w:lang w:eastAsia="en-GB"/>
        </w:rPr>
        <w:t>Re Astor's ST</w:t>
      </w:r>
      <w:r w:rsidRPr="00F968DF">
        <w:rPr>
          <w:rFonts w:ascii="Calibri" w:eastAsia="Times New Roman" w:hAnsi="Calibri" w:cs="Times New Roman"/>
          <w:lang w:eastAsia="en-GB"/>
        </w:rPr>
        <w:t xml:space="preserve"> [1952</w:t>
      </w:r>
      <w:proofErr w:type="gramStart"/>
      <w:r w:rsidRPr="00F968DF">
        <w:rPr>
          <w:rFonts w:ascii="Calibri" w:eastAsia="Times New Roman" w:hAnsi="Calibri" w:cs="Times New Roman"/>
          <w:lang w:eastAsia="en-GB"/>
        </w:rPr>
        <w:t>]  Ch</w:t>
      </w:r>
      <w:proofErr w:type="gramEnd"/>
      <w:r w:rsidRPr="00F968DF">
        <w:rPr>
          <w:rFonts w:ascii="Calibri" w:eastAsia="Times New Roman" w:hAnsi="Calibri" w:cs="Times New Roman"/>
          <w:lang w:eastAsia="en-GB"/>
        </w:rPr>
        <w:t xml:space="preserve"> 534. </w:t>
      </w:r>
      <w:proofErr w:type="spellStart"/>
      <w:proofErr w:type="gramStart"/>
      <w:r w:rsidRPr="00F968DF">
        <w:rPr>
          <w:rFonts w:ascii="Calibri" w:eastAsia="Times New Roman" w:hAnsi="Calibri" w:cs="Times New Roman"/>
          <w:lang w:eastAsia="en-GB"/>
        </w:rPr>
        <w:t>e.g</w:t>
      </w:r>
      <w:proofErr w:type="spellEnd"/>
      <w:r w:rsidRPr="00F968DF">
        <w:rPr>
          <w:rFonts w:ascii="Calibri" w:eastAsia="Times New Roman" w:hAnsi="Calibri" w:cs="Times New Roman"/>
          <w:lang w:eastAsia="en-GB"/>
        </w:rPr>
        <w:t xml:space="preserve">  "</w:t>
      </w:r>
      <w:proofErr w:type="gramEnd"/>
      <w:r w:rsidRPr="00F968DF">
        <w:rPr>
          <w:rFonts w:ascii="Calibri" w:eastAsia="Times New Roman" w:hAnsi="Calibri" w:cs="Times New Roman"/>
          <w:lang w:eastAsia="en-GB"/>
        </w:rPr>
        <w:t xml:space="preserve">integrity of the press"  </w:t>
      </w:r>
    </w:p>
    <w:p w14:paraId="2BA59C30" w14:textId="77777777" w:rsidR="00F968DF" w:rsidRPr="00F968DF" w:rsidRDefault="00F968DF" w:rsidP="00F968DF">
      <w:pPr>
        <w:numPr>
          <w:ilvl w:val="0"/>
          <w:numId w:val="8"/>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iCs/>
          <w:lang w:eastAsia="en-GB"/>
        </w:rPr>
        <w:t xml:space="preserve">Re </w:t>
      </w:r>
      <w:proofErr w:type="spellStart"/>
      <w:r w:rsidRPr="00F968DF">
        <w:rPr>
          <w:rFonts w:ascii="Calibri" w:eastAsia="Times New Roman" w:hAnsi="Calibri" w:cs="Times New Roman"/>
          <w:iCs/>
          <w:lang w:eastAsia="en-GB"/>
        </w:rPr>
        <w:t>Endacott</w:t>
      </w:r>
      <w:proofErr w:type="spellEnd"/>
      <w:r w:rsidRPr="00F968DF">
        <w:rPr>
          <w:rFonts w:ascii="Calibri" w:eastAsia="Times New Roman" w:hAnsi="Calibri" w:cs="Times New Roman"/>
          <w:lang w:eastAsia="en-GB"/>
        </w:rPr>
        <w:t xml:space="preserve"> [1960] Ch 232.  C.A. "useful" (memorial)</w:t>
      </w:r>
    </w:p>
    <w:p w14:paraId="0B6596E9" w14:textId="77777777" w:rsidR="00F968DF" w:rsidRPr="00F968DF" w:rsidRDefault="00F968DF" w:rsidP="00F968DF">
      <w:pPr>
        <w:spacing w:after="200" w:line="276" w:lineRule="auto"/>
        <w:jc w:val="both"/>
        <w:rPr>
          <w:rFonts w:ascii="Calibri" w:eastAsia="Times New Roman" w:hAnsi="Calibri" w:cs="Calibri"/>
          <w:iCs/>
          <w:lang w:eastAsia="en-GB"/>
        </w:rPr>
      </w:pPr>
    </w:p>
    <w:p w14:paraId="535B2855" w14:textId="77777777" w:rsidR="00F968DF" w:rsidRPr="00F968DF" w:rsidRDefault="00F968DF" w:rsidP="00F968DF">
      <w:pPr>
        <w:numPr>
          <w:ilvl w:val="2"/>
          <w:numId w:val="0"/>
        </w:numPr>
        <w:spacing w:before="200" w:after="0" w:line="271" w:lineRule="auto"/>
        <w:ind w:left="720" w:hanging="720"/>
        <w:jc w:val="both"/>
        <w:outlineLvl w:val="2"/>
        <w:rPr>
          <w:rFonts w:ascii="Cambria" w:eastAsia="Times New Roman" w:hAnsi="Cambria" w:cs="Times New Roman"/>
          <w:b/>
          <w:bCs/>
          <w:lang w:eastAsia="en-GB"/>
        </w:rPr>
      </w:pPr>
      <w:bookmarkStart w:id="11" w:name="_Toc402265307"/>
      <w:r w:rsidRPr="00F968DF">
        <w:rPr>
          <w:rFonts w:ascii="Cambria" w:eastAsia="Times New Roman" w:hAnsi="Cambria" w:cs="Times New Roman"/>
          <w:b/>
          <w:bCs/>
          <w:lang w:eastAsia="en-GB"/>
        </w:rPr>
        <w:t>“Social Experiments”</w:t>
      </w:r>
      <w:bookmarkEnd w:id="11"/>
    </w:p>
    <w:p w14:paraId="6B272DDA" w14:textId="4FF9F1C4" w:rsidR="00F968DF" w:rsidRPr="00F12773" w:rsidRDefault="00F968DF" w:rsidP="00F12773">
      <w:pPr>
        <w:pStyle w:val="NormalWeb"/>
        <w:numPr>
          <w:ilvl w:val="0"/>
          <w:numId w:val="19"/>
        </w:numPr>
        <w:rPr>
          <w:rFonts w:ascii="Calibri" w:eastAsia="Times New Roman" w:hAnsi="Calibri" w:cs="Calibri"/>
        </w:rPr>
      </w:pPr>
      <w:r w:rsidRPr="00F968DF">
        <w:rPr>
          <w:rFonts w:ascii="Calibri" w:eastAsia="Times New Roman" w:hAnsi="Calibri" w:cs="Calibri"/>
          <w:iCs/>
        </w:rPr>
        <w:lastRenderedPageBreak/>
        <w:t>Re Astor's ST</w:t>
      </w:r>
      <w:r w:rsidR="00F12773">
        <w:rPr>
          <w:rFonts w:ascii="Calibri" w:eastAsia="Times New Roman" w:hAnsi="Calibri" w:cs="Calibri"/>
        </w:rPr>
        <w:t xml:space="preserve"> [1952</w:t>
      </w:r>
      <w:proofErr w:type="gramStart"/>
      <w:r w:rsidR="00F12773">
        <w:rPr>
          <w:rFonts w:ascii="Calibri" w:eastAsia="Times New Roman" w:hAnsi="Calibri" w:cs="Calibri"/>
        </w:rPr>
        <w:t>]  Ch</w:t>
      </w:r>
      <w:proofErr w:type="gramEnd"/>
      <w:r w:rsidR="00F12773">
        <w:rPr>
          <w:rFonts w:ascii="Calibri" w:eastAsia="Times New Roman" w:hAnsi="Calibri" w:cs="Calibri"/>
        </w:rPr>
        <w:t xml:space="preserve"> 534 – </w:t>
      </w:r>
      <w:r w:rsidR="00F12773" w:rsidRPr="00F12773">
        <w:rPr>
          <w:rFonts w:ascii="Calibri" w:hAnsi="Calibri"/>
          <w:sz w:val="22"/>
          <w:szCs w:val="22"/>
        </w:rPr>
        <w:t>social experiments like the establishment, maintenance and improvement of good understanding sympathy and co-operation between nations, the ‘preservation of the independence and integrity of newspapers and the encouragement of the adoption and maintenance by newspapers of fearless educational and constructive policies,’ ‘promotion of the freedom independence and integrity of the press’</w:t>
      </w:r>
    </w:p>
    <w:p w14:paraId="5916F064" w14:textId="77777777" w:rsidR="00F968DF" w:rsidRPr="00F968DF" w:rsidRDefault="00F968DF" w:rsidP="00F968DF">
      <w:pPr>
        <w:numPr>
          <w:ilvl w:val="0"/>
          <w:numId w:val="9"/>
        </w:numPr>
        <w:spacing w:after="200" w:line="276" w:lineRule="auto"/>
        <w:contextualSpacing/>
        <w:jc w:val="both"/>
        <w:rPr>
          <w:rFonts w:ascii="Calibri" w:eastAsia="Times New Roman" w:hAnsi="Calibri" w:cs="Times New Roman"/>
          <w:iCs/>
          <w:lang w:eastAsia="en-GB"/>
        </w:rPr>
      </w:pPr>
      <w:r w:rsidRPr="00F968DF">
        <w:rPr>
          <w:rFonts w:ascii="Calibri" w:eastAsia="Times New Roman" w:hAnsi="Calibri" w:cs="Times New Roman"/>
          <w:iCs/>
          <w:lang w:eastAsia="en-GB"/>
        </w:rPr>
        <w:t>McCaig v University of Glasgow (No 2) 1906 SLT 600. — Trust to erect artistic towers and statues of relatives.</w:t>
      </w:r>
    </w:p>
    <w:p w14:paraId="60111141" w14:textId="77777777" w:rsidR="00F968DF" w:rsidRDefault="00F968DF" w:rsidP="00F968DF">
      <w:pPr>
        <w:numPr>
          <w:ilvl w:val="0"/>
          <w:numId w:val="9"/>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iCs/>
          <w:lang w:eastAsia="en-GB"/>
        </w:rPr>
        <w:t xml:space="preserve">McCaig's Trustees v. Kirk Session of United Free Church of Lismore </w:t>
      </w:r>
      <w:r w:rsidRPr="00F968DF">
        <w:rPr>
          <w:rFonts w:ascii="Calibri" w:eastAsia="Times New Roman" w:hAnsi="Calibri" w:cs="Times New Roman"/>
          <w:lang w:eastAsia="en-GB"/>
        </w:rPr>
        <w:t>1915 SLT 152. — Bronze statues of relatives and testatrix.</w:t>
      </w:r>
    </w:p>
    <w:p w14:paraId="461C45CA" w14:textId="77777777" w:rsidR="002F5280" w:rsidRPr="00F968DF" w:rsidRDefault="002F5280" w:rsidP="002F5280">
      <w:pPr>
        <w:spacing w:after="200" w:line="276" w:lineRule="auto"/>
        <w:ind w:left="360"/>
        <w:contextualSpacing/>
        <w:jc w:val="both"/>
        <w:rPr>
          <w:rFonts w:ascii="Calibri" w:eastAsia="Times New Roman" w:hAnsi="Calibri" w:cs="Times New Roman"/>
          <w:lang w:eastAsia="en-GB"/>
        </w:rPr>
      </w:pPr>
    </w:p>
    <w:p w14:paraId="09CFDE28" w14:textId="77777777" w:rsidR="00F968DF" w:rsidRPr="00F968DF" w:rsidRDefault="00F968DF" w:rsidP="00F968DF">
      <w:pPr>
        <w:spacing w:after="200" w:line="276" w:lineRule="auto"/>
        <w:jc w:val="both"/>
        <w:rPr>
          <w:rFonts w:ascii="Calibri" w:eastAsia="Times New Roman" w:hAnsi="Calibri" w:cs="Calibri"/>
          <w:lang w:eastAsia="en-GB"/>
        </w:rPr>
      </w:pPr>
      <w:r w:rsidRPr="00F968DF">
        <w:rPr>
          <w:rFonts w:ascii="Calibri" w:eastAsia="Times New Roman" w:hAnsi="Calibri" w:cs="Calibri"/>
          <w:lang w:eastAsia="en-GB"/>
        </w:rPr>
        <w:t xml:space="preserve">Is there a tension between “two competing aspects of public policy (the desire to avoid dispositions which have no useful purpose and the need to preserve the testator's freedom to dispose of his property as he wishes)”? </w:t>
      </w:r>
    </w:p>
    <w:p w14:paraId="068A5B75" w14:textId="77777777" w:rsidR="00F968DF" w:rsidRPr="00F968DF" w:rsidRDefault="00F968DF" w:rsidP="00F968DF">
      <w:pPr>
        <w:numPr>
          <w:ilvl w:val="0"/>
          <w:numId w:val="5"/>
        </w:numPr>
        <w:spacing w:after="200" w:line="276" w:lineRule="auto"/>
        <w:contextualSpacing/>
        <w:jc w:val="both"/>
        <w:rPr>
          <w:rFonts w:ascii="Calibri" w:eastAsia="Times New Roman" w:hAnsi="Calibri" w:cs="Times New Roman"/>
          <w:iCs/>
          <w:lang w:eastAsia="en-GB"/>
        </w:rPr>
      </w:pPr>
      <w:r w:rsidRPr="00F968DF">
        <w:rPr>
          <w:rFonts w:ascii="Calibri" w:eastAsia="Times New Roman" w:hAnsi="Calibri" w:cs="Calibri"/>
          <w:lang w:eastAsia="en-GB"/>
        </w:rPr>
        <w:t xml:space="preserve">See M. Pawlowski and J. Brown, “Testamentary Trusts and the Rule Against Capricious Purposes: </w:t>
      </w:r>
      <w:proofErr w:type="gramStart"/>
      <w:r w:rsidRPr="00F968DF">
        <w:rPr>
          <w:rFonts w:ascii="Calibri" w:eastAsia="Times New Roman" w:hAnsi="Calibri" w:cs="Calibri"/>
          <w:lang w:eastAsia="en-GB"/>
        </w:rPr>
        <w:t>an</w:t>
      </w:r>
      <w:proofErr w:type="gramEnd"/>
      <w:r w:rsidRPr="00F968DF">
        <w:rPr>
          <w:rFonts w:ascii="Calibri" w:eastAsia="Times New Roman" w:hAnsi="Calibri" w:cs="Calibri"/>
          <w:lang w:eastAsia="en-GB"/>
        </w:rPr>
        <w:t xml:space="preserve"> Underlying Rationale” [2012] Trust Law International 109.</w:t>
      </w:r>
    </w:p>
    <w:p w14:paraId="04E35074" w14:textId="77777777" w:rsidR="00F968DF" w:rsidRPr="00F968DF" w:rsidRDefault="00F968DF" w:rsidP="00F968DF">
      <w:pPr>
        <w:spacing w:after="200" w:line="276" w:lineRule="auto"/>
        <w:rPr>
          <w:rFonts w:ascii="Cambria" w:eastAsia="Times New Roman" w:hAnsi="Cambria" w:cs="Times New Roman"/>
          <w:b/>
          <w:bCs/>
          <w:lang w:eastAsia="en-GB"/>
        </w:rPr>
      </w:pPr>
      <w:r w:rsidRPr="00F968DF">
        <w:rPr>
          <w:rFonts w:ascii="Calibri" w:eastAsia="Times New Roman" w:hAnsi="Calibri" w:cs="Times New Roman"/>
          <w:lang w:eastAsia="en-GB"/>
        </w:rPr>
        <w:br w:type="page"/>
      </w:r>
    </w:p>
    <w:p w14:paraId="1F92276B" w14:textId="77777777" w:rsidR="00F968DF" w:rsidRPr="00F968DF" w:rsidRDefault="00F968DF" w:rsidP="00F968DF">
      <w:pPr>
        <w:spacing w:before="480" w:after="0" w:line="276" w:lineRule="auto"/>
        <w:ind w:left="432" w:hanging="432"/>
        <w:contextualSpacing/>
        <w:jc w:val="both"/>
        <w:outlineLvl w:val="0"/>
        <w:rPr>
          <w:rFonts w:ascii="Cambria" w:eastAsia="Times New Roman" w:hAnsi="Cambria" w:cs="Times New Roman"/>
          <w:b/>
          <w:bCs/>
          <w:sz w:val="28"/>
          <w:szCs w:val="28"/>
          <w:u w:val="single"/>
          <w:lang w:eastAsia="en-GB"/>
        </w:rPr>
      </w:pPr>
      <w:bookmarkStart w:id="12" w:name="_Toc402265308"/>
      <w:r w:rsidRPr="00F968DF">
        <w:rPr>
          <w:rFonts w:ascii="Cambria" w:eastAsia="Times New Roman" w:hAnsi="Cambria" w:cs="Times New Roman"/>
          <w:b/>
          <w:bCs/>
          <w:sz w:val="28"/>
          <w:szCs w:val="28"/>
          <w:u w:val="single"/>
          <w:lang w:eastAsia="en-GB"/>
        </w:rPr>
        <w:lastRenderedPageBreak/>
        <w:t>Gifts to Unincorporated Associations</w:t>
      </w:r>
      <w:bookmarkEnd w:id="12"/>
    </w:p>
    <w:p w14:paraId="44FEECF7" w14:textId="7855CCD9" w:rsidR="00F968DF" w:rsidRPr="00F968DF" w:rsidRDefault="00F968DF" w:rsidP="00F968DF">
      <w:pPr>
        <w:numPr>
          <w:ilvl w:val="0"/>
          <w:numId w:val="7"/>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Com</w:t>
      </w:r>
      <w:r w:rsidR="0013274A">
        <w:rPr>
          <w:rFonts w:ascii="Calibri" w:eastAsia="Times New Roman" w:hAnsi="Calibri" w:cs="Times New Roman"/>
          <w:lang w:eastAsia="en-GB"/>
        </w:rPr>
        <w:t>panies are legal persons, etc.</w:t>
      </w:r>
      <w:r w:rsidRPr="00F968DF">
        <w:rPr>
          <w:rFonts w:ascii="Calibri" w:eastAsia="Times New Roman" w:hAnsi="Calibri" w:cs="Times New Roman"/>
          <w:lang w:eastAsia="en-GB"/>
        </w:rPr>
        <w:t xml:space="preserve"> can hold property or be beneficiaries.</w:t>
      </w:r>
    </w:p>
    <w:p w14:paraId="02D5A94F" w14:textId="77777777" w:rsidR="00F968DF" w:rsidRPr="00F968DF" w:rsidRDefault="00F968DF" w:rsidP="00F968DF">
      <w:pPr>
        <w:numPr>
          <w:ilvl w:val="0"/>
          <w:numId w:val="7"/>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 xml:space="preserve">An unincorporated association however is generally a non-commercial club or society, like a sports club or book group. Such an association is not a person, it cannot hold property. </w:t>
      </w:r>
    </w:p>
    <w:p w14:paraId="59CCEC8D" w14:textId="77777777" w:rsidR="00F968DF" w:rsidRPr="00F968DF" w:rsidRDefault="00F968DF" w:rsidP="00F968DF">
      <w:pPr>
        <w:numPr>
          <w:ilvl w:val="0"/>
          <w:numId w:val="7"/>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 xml:space="preserve">Money given to such a group would not be owned by anybody. Equity may provide a remedy in holding the money on trust for members, but that would likely be a purpose. </w:t>
      </w:r>
    </w:p>
    <w:p w14:paraId="259BC78D" w14:textId="77777777" w:rsidR="00F968DF" w:rsidRPr="00F968DF" w:rsidRDefault="00F968DF" w:rsidP="00F968DF">
      <w:pPr>
        <w:numPr>
          <w:ilvl w:val="0"/>
          <w:numId w:val="7"/>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 xml:space="preserve">But this distinction is not always understood.  See </w:t>
      </w:r>
      <w:r w:rsidRPr="00F968DF">
        <w:rPr>
          <w:rFonts w:ascii="Calibri" w:eastAsia="Times New Roman" w:hAnsi="Calibri" w:cs="Times New Roman"/>
          <w:iCs/>
          <w:lang w:eastAsia="en-GB"/>
        </w:rPr>
        <w:t xml:space="preserve">Leahy v AG for New South Wales </w:t>
      </w:r>
      <w:r w:rsidRPr="00F968DF">
        <w:rPr>
          <w:rFonts w:ascii="Calibri" w:eastAsia="Times New Roman" w:hAnsi="Calibri" w:cs="Times New Roman"/>
          <w:lang w:eastAsia="en-GB"/>
        </w:rPr>
        <w:t>[1959] AC 457, PC,</w:t>
      </w:r>
      <w:r w:rsidRPr="00F968DF">
        <w:rPr>
          <w:rFonts w:ascii="Calibri" w:eastAsia="Times New Roman" w:hAnsi="Calibri" w:cs="Times New Roman"/>
          <w:iCs/>
          <w:lang w:eastAsia="en-GB"/>
        </w:rPr>
        <w:t xml:space="preserve"> Viscount Simonds observed that </w:t>
      </w:r>
      <w:r w:rsidRPr="00F968DF">
        <w:rPr>
          <w:rFonts w:ascii="Calibri" w:eastAsia="Times New Roman" w:hAnsi="Calibri" w:cs="Times New Roman"/>
          <w:lang w:eastAsia="en-GB"/>
        </w:rPr>
        <w:t>and people see clubs etc. as a “continuing entity and, however inaccurately, as something other than an aggregate of its members."</w:t>
      </w:r>
    </w:p>
    <w:p w14:paraId="64432D09" w14:textId="77777777" w:rsidR="00F968DF" w:rsidRPr="00F968DF" w:rsidRDefault="00F968DF" w:rsidP="00F968DF">
      <w:pPr>
        <w:numPr>
          <w:ilvl w:val="0"/>
          <w:numId w:val="7"/>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In determining whether a gift to an unincorporated association is valid, there are various constructions the court can use, as appropriate.</w:t>
      </w:r>
    </w:p>
    <w:p w14:paraId="002390AF" w14:textId="77777777" w:rsidR="00F968DF" w:rsidRPr="00F968DF" w:rsidRDefault="00F968DF" w:rsidP="00F968DF">
      <w:pPr>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Definition:</w:t>
      </w:r>
    </w:p>
    <w:p w14:paraId="6F7237F4"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u w:val="single"/>
          <w:lang w:eastAsia="en-GB"/>
        </w:rPr>
      </w:pPr>
      <w:r w:rsidRPr="00F968DF">
        <w:rPr>
          <w:rFonts w:ascii="Calibri" w:eastAsia="Times New Roman" w:hAnsi="Calibri" w:cs="Times New Roman"/>
          <w:i/>
          <w:u w:val="single"/>
          <w:lang w:eastAsia="en-GB"/>
        </w:rPr>
        <w:t xml:space="preserve">Conservative and Unionist Central Office v Burrell </w:t>
      </w:r>
      <w:r w:rsidRPr="00F968DF">
        <w:rPr>
          <w:rFonts w:ascii="Calibri" w:eastAsia="Times New Roman" w:hAnsi="Calibri" w:cs="Times New Roman"/>
          <w:u w:val="single"/>
          <w:lang w:eastAsia="en-GB"/>
        </w:rPr>
        <w:t>[1982] 1 WLR 522</w:t>
      </w:r>
    </w:p>
    <w:p w14:paraId="0BD97632"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Per Lawton LJ at 525:</w:t>
      </w:r>
    </w:p>
    <w:p w14:paraId="309802E7"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
          <w:lang w:eastAsia="en-GB"/>
        </w:rPr>
      </w:pPr>
      <w:r w:rsidRPr="00F968DF">
        <w:rPr>
          <w:rFonts w:ascii="Calibri" w:eastAsia="Times New Roman" w:hAnsi="Calibri" w:cs="Times New Roman"/>
          <w:i/>
          <w:lang w:eastAsia="en-GB"/>
        </w:rPr>
        <w:t>“two or more persons bound together for one or more common purposes, not being business purposes, by mutual undertakings each having mutual duties and obligations, in an organisation which has rules which identify in whom control of it and its funds rests and on what terms and which can be joined or left at will. The bond of union between the members of an unincorporated association has to be contractual”</w:t>
      </w:r>
    </w:p>
    <w:p w14:paraId="52B42E3C" w14:textId="77777777" w:rsidR="00F968DF" w:rsidRPr="00F968DF" w:rsidRDefault="00F968DF" w:rsidP="00F968DF">
      <w:pPr>
        <w:numPr>
          <w:ilvl w:val="1"/>
          <w:numId w:val="0"/>
        </w:numPr>
        <w:spacing w:before="200" w:after="0" w:line="276" w:lineRule="auto"/>
        <w:ind w:left="1427" w:hanging="576"/>
        <w:jc w:val="both"/>
        <w:outlineLvl w:val="1"/>
        <w:rPr>
          <w:rFonts w:ascii="Cambria" w:eastAsia="Times New Roman" w:hAnsi="Cambria" w:cs="Times New Roman"/>
          <w:b/>
          <w:bCs/>
          <w:sz w:val="26"/>
          <w:szCs w:val="26"/>
          <w:lang w:eastAsia="en-GB"/>
        </w:rPr>
      </w:pPr>
      <w:bookmarkStart w:id="13" w:name="_Toc402265309"/>
      <w:r w:rsidRPr="00F968DF">
        <w:rPr>
          <w:rFonts w:ascii="Cambria" w:eastAsia="Times New Roman" w:hAnsi="Cambria" w:cs="Times New Roman"/>
          <w:b/>
          <w:bCs/>
          <w:sz w:val="26"/>
          <w:szCs w:val="26"/>
          <w:lang w:eastAsia="en-GB"/>
        </w:rPr>
        <w:t>Five ways of property holding for unincorporated associations</w:t>
      </w:r>
      <w:bookmarkEnd w:id="13"/>
    </w:p>
    <w:p w14:paraId="655E973A"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u w:val="single"/>
          <w:lang w:eastAsia="en-GB"/>
        </w:rPr>
      </w:pPr>
      <w:r w:rsidRPr="00F968DF">
        <w:rPr>
          <w:rFonts w:ascii="Calibri" w:eastAsia="Times New Roman" w:hAnsi="Calibri" w:cs="Times New Roman"/>
          <w:i/>
          <w:u w:val="single"/>
          <w:lang w:eastAsia="en-GB"/>
        </w:rPr>
        <w:t xml:space="preserve">Neville Estates </w:t>
      </w:r>
      <w:proofErr w:type="spellStart"/>
      <w:r w:rsidRPr="00F968DF">
        <w:rPr>
          <w:rFonts w:ascii="Calibri" w:eastAsia="Times New Roman" w:hAnsi="Calibri" w:cs="Times New Roman"/>
          <w:i/>
          <w:u w:val="single"/>
          <w:lang w:eastAsia="en-GB"/>
        </w:rPr>
        <w:t>Lted</w:t>
      </w:r>
      <w:proofErr w:type="spellEnd"/>
      <w:r w:rsidRPr="00F968DF">
        <w:rPr>
          <w:rFonts w:ascii="Calibri" w:eastAsia="Times New Roman" w:hAnsi="Calibri" w:cs="Times New Roman"/>
          <w:i/>
          <w:u w:val="single"/>
          <w:lang w:eastAsia="en-GB"/>
        </w:rPr>
        <w:t xml:space="preserve"> v Madden</w:t>
      </w:r>
      <w:r w:rsidRPr="00F968DF">
        <w:rPr>
          <w:rFonts w:ascii="Calibri" w:eastAsia="Times New Roman" w:hAnsi="Calibri" w:cs="Times New Roman"/>
          <w:u w:val="single"/>
          <w:lang w:eastAsia="en-GB"/>
        </w:rPr>
        <w:t xml:space="preserve"> [1962] Ch 832</w:t>
      </w:r>
    </w:p>
    <w:p w14:paraId="78DC6754"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Per Cross J at 849:</w:t>
      </w:r>
    </w:p>
    <w:p w14:paraId="3A750ADC"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
          <w:lang w:eastAsia="en-GB"/>
        </w:rPr>
      </w:pPr>
      <w:r w:rsidRPr="00F968DF">
        <w:rPr>
          <w:rFonts w:ascii="Calibri" w:eastAsia="Times New Roman" w:hAnsi="Calibri" w:cs="Times New Roman"/>
          <w:i/>
          <w:lang w:eastAsia="en-GB"/>
        </w:rPr>
        <w:t xml:space="preserve">The question of construction and effect of gifts to or in trust for unincorporated associations was recently considered by the Privy Council in </w:t>
      </w:r>
      <w:r w:rsidRPr="00F968DF">
        <w:rPr>
          <w:rFonts w:ascii="Calibri" w:eastAsia="Times New Roman" w:hAnsi="Calibri" w:cs="Times New Roman"/>
          <w:lang w:eastAsia="en-GB"/>
        </w:rPr>
        <w:t>Leahy v A-G for New South Wales</w:t>
      </w:r>
      <w:r w:rsidRPr="00F968DF">
        <w:rPr>
          <w:rFonts w:ascii="Calibri" w:eastAsia="Times New Roman" w:hAnsi="Calibri" w:cs="Times New Roman"/>
          <w:i/>
          <w:lang w:eastAsia="en-GB"/>
        </w:rPr>
        <w:t xml:space="preserve">. The position, as I understand it, is as follows. Such a gift may take effect in one or other of three quite different ways. </w:t>
      </w:r>
    </w:p>
    <w:p w14:paraId="372E71D0"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
          <w:lang w:eastAsia="en-GB"/>
        </w:rPr>
      </w:pPr>
      <w:r w:rsidRPr="00F968DF">
        <w:rPr>
          <w:rFonts w:ascii="Calibri" w:eastAsia="Times New Roman" w:hAnsi="Calibri" w:cs="Times New Roman"/>
          <w:i/>
          <w:lang w:eastAsia="en-GB"/>
        </w:rPr>
        <w:t xml:space="preserve">In the first place, it may, on its true construction, be a gift to the members of the association at the relevant date as joint tenants, so that any member can sever his share and claim it whether or not he continues to be a member of the association. </w:t>
      </w:r>
    </w:p>
    <w:p w14:paraId="0BD114E1"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
          <w:lang w:eastAsia="en-GB"/>
        </w:rPr>
      </w:pPr>
      <w:r w:rsidRPr="00F968DF">
        <w:rPr>
          <w:rFonts w:ascii="Calibri" w:eastAsia="Times New Roman" w:hAnsi="Calibri" w:cs="Times New Roman"/>
          <w:i/>
          <w:lang w:eastAsia="en-GB"/>
        </w:rPr>
        <w:t>Secondly, it may be a gift to the existing members not as joint tenants, but subject to their respective contractual rights and liabilities towards one another as members of the association. In such a case a member cannot sever his share. It will accrue to the other members on his death or resignation, even though such members include persons who became members after the gift took effect. If this is the effect of the gift, it will not be open to objection on the score of perpetuity or uncertainty unless there is something in its terms or circumstances or in the rules of the association which precludes the members at any given time from dividing the subject of the gift between them on the footing that they are solely entitled to it in equity.</w:t>
      </w:r>
    </w:p>
    <w:p w14:paraId="6F1AA6D2" w14:textId="085174C6"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
          <w:lang w:eastAsia="en-GB"/>
        </w:rPr>
      </w:pPr>
      <w:r w:rsidRPr="00F968DF">
        <w:rPr>
          <w:rFonts w:ascii="Calibri" w:eastAsia="Times New Roman" w:hAnsi="Calibri" w:cs="Times New Roman"/>
          <w:i/>
          <w:lang w:eastAsia="en-GB"/>
        </w:rPr>
        <w:t xml:space="preserve">Thirdly, the terms or circumstances of the gift or the rules of the association may show that the property in question is not to be at the disposal of the members for the time being, but is to be held on </w:t>
      </w:r>
      <w:r w:rsidRPr="00F968DF">
        <w:rPr>
          <w:rFonts w:ascii="Calibri" w:eastAsia="Times New Roman" w:hAnsi="Calibri" w:cs="Times New Roman"/>
          <w:i/>
          <w:lang w:eastAsia="en-GB"/>
        </w:rPr>
        <w:lastRenderedPageBreak/>
        <w:t>trust for or applied for the purposes of the association as a quasi-corporate entity. In this case the gift will fail unless the association is a ch</w:t>
      </w:r>
      <w:r w:rsidR="00451451">
        <w:rPr>
          <w:rFonts w:ascii="Calibri" w:eastAsia="Times New Roman" w:hAnsi="Calibri" w:cs="Times New Roman"/>
          <w:i/>
          <w:lang w:eastAsia="en-GB"/>
        </w:rPr>
        <w:t>aritable body. If the gift is o</w:t>
      </w:r>
      <w:r w:rsidRPr="00F968DF">
        <w:rPr>
          <w:rFonts w:ascii="Calibri" w:eastAsia="Times New Roman" w:hAnsi="Calibri" w:cs="Times New Roman"/>
          <w:i/>
          <w:lang w:eastAsia="en-GB"/>
        </w:rPr>
        <w:t>f the second class, i.e., one which the members of the association for the time being are entitled to divide among themselves, then, even if the objects of the association themselves are charitable, the gift would not, I think, be a charitable gift. If, for example, a number of persons formed themselves into an association with a charitable object – say the relief of poverty in some district – but it was part of the contract between them that, if a majority of the members so desired, the association should be dissolved and its property divided between the members at the date of dissolution, a gift to the association as part of its general funds would not, I conceive, be a charitable gift”</w:t>
      </w:r>
    </w:p>
    <w:p w14:paraId="6C7EB122" w14:textId="77777777" w:rsidR="00F968DF" w:rsidRPr="00F968DF" w:rsidRDefault="00F968DF" w:rsidP="00F968DF">
      <w:pPr>
        <w:numPr>
          <w:ilvl w:val="0"/>
          <w:numId w:val="11"/>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Out of this, five distinct methods of property holding can be identified:</w:t>
      </w:r>
    </w:p>
    <w:p w14:paraId="535E6674" w14:textId="77777777" w:rsidR="00F968DF" w:rsidRPr="00F968DF" w:rsidRDefault="00F968DF" w:rsidP="00F968DF">
      <w:pPr>
        <w:numPr>
          <w:ilvl w:val="1"/>
          <w:numId w:val="12"/>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Charitable trust</w:t>
      </w:r>
    </w:p>
    <w:p w14:paraId="678D48C7" w14:textId="77777777" w:rsidR="00F968DF" w:rsidRPr="00F968DF" w:rsidRDefault="00F968DF" w:rsidP="00F968DF">
      <w:pPr>
        <w:numPr>
          <w:ilvl w:val="1"/>
          <w:numId w:val="12"/>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Non-charitable purpose trust</w:t>
      </w:r>
    </w:p>
    <w:p w14:paraId="322DF5ED" w14:textId="77777777" w:rsidR="00F968DF" w:rsidRPr="00F968DF" w:rsidRDefault="00F968DF" w:rsidP="00F968DF">
      <w:pPr>
        <w:numPr>
          <w:ilvl w:val="1"/>
          <w:numId w:val="12"/>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For members at the time of the transfer</w:t>
      </w:r>
    </w:p>
    <w:p w14:paraId="284053B3" w14:textId="77777777" w:rsidR="00F968DF" w:rsidRPr="00F968DF" w:rsidRDefault="00F968DF" w:rsidP="00F968DF">
      <w:pPr>
        <w:numPr>
          <w:ilvl w:val="1"/>
          <w:numId w:val="12"/>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On trust for present or future members</w:t>
      </w:r>
    </w:p>
    <w:p w14:paraId="46D7C242" w14:textId="77777777" w:rsidR="00F968DF" w:rsidRPr="00F968DF" w:rsidRDefault="00F968DF" w:rsidP="00F968DF">
      <w:pPr>
        <w:numPr>
          <w:ilvl w:val="1"/>
          <w:numId w:val="12"/>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For members subject to their existing contractual rights</w:t>
      </w:r>
    </w:p>
    <w:p w14:paraId="5E443BB6" w14:textId="77777777" w:rsidR="00F968DF" w:rsidRPr="00F968DF" w:rsidRDefault="00F968DF" w:rsidP="00F968DF">
      <w:pPr>
        <w:numPr>
          <w:ilvl w:val="2"/>
          <w:numId w:val="0"/>
        </w:numPr>
        <w:spacing w:before="200" w:after="0" w:line="271" w:lineRule="auto"/>
        <w:ind w:left="720" w:hanging="720"/>
        <w:jc w:val="both"/>
        <w:outlineLvl w:val="2"/>
        <w:rPr>
          <w:rFonts w:ascii="Cambria" w:eastAsia="Times New Roman" w:hAnsi="Cambria" w:cs="Times New Roman"/>
          <w:b/>
          <w:bCs/>
          <w:lang w:eastAsia="en-GB"/>
        </w:rPr>
      </w:pPr>
      <w:bookmarkStart w:id="14" w:name="_Toc402265310"/>
      <w:r w:rsidRPr="00F968DF">
        <w:rPr>
          <w:rFonts w:ascii="Cambria" w:eastAsia="Times New Roman" w:hAnsi="Cambria" w:cs="Times New Roman"/>
          <w:b/>
          <w:bCs/>
          <w:lang w:eastAsia="en-GB"/>
        </w:rPr>
        <w:t>Gift on trust for a charitable purpose</w:t>
      </w:r>
      <w:bookmarkEnd w:id="14"/>
      <w:r w:rsidRPr="00F968DF">
        <w:rPr>
          <w:rFonts w:ascii="Cambria" w:eastAsia="Times New Roman" w:hAnsi="Cambria" w:cs="Times New Roman"/>
          <w:b/>
          <w:bCs/>
          <w:lang w:eastAsia="en-GB"/>
        </w:rPr>
        <w:t xml:space="preserve">  </w:t>
      </w:r>
    </w:p>
    <w:p w14:paraId="7AB397DF" w14:textId="77777777" w:rsidR="00F968DF" w:rsidRPr="00F968DF" w:rsidRDefault="00F968DF" w:rsidP="00F968DF">
      <w:pPr>
        <w:numPr>
          <w:ilvl w:val="0"/>
          <w:numId w:val="10"/>
        </w:numPr>
        <w:spacing w:after="200" w:line="276" w:lineRule="auto"/>
        <w:contextualSpacing/>
        <w:jc w:val="both"/>
        <w:rPr>
          <w:rFonts w:ascii="Calibri" w:eastAsia="Times New Roman" w:hAnsi="Calibri" w:cs="Times New Roman"/>
          <w:iCs/>
          <w:lang w:eastAsia="en-GB"/>
        </w:rPr>
      </w:pPr>
      <w:r w:rsidRPr="00F968DF">
        <w:rPr>
          <w:rFonts w:ascii="Calibri" w:eastAsia="Times New Roman" w:hAnsi="Calibri" w:cs="Times New Roman"/>
          <w:iCs/>
          <w:lang w:eastAsia="en-GB"/>
        </w:rPr>
        <w:t>If the gift is for a charitable purpose, this will form a charitable trust</w:t>
      </w:r>
    </w:p>
    <w:p w14:paraId="56D62F49" w14:textId="77777777" w:rsidR="00F968DF" w:rsidRPr="00F968DF" w:rsidRDefault="00F968DF" w:rsidP="00F968DF">
      <w:pPr>
        <w:numPr>
          <w:ilvl w:val="2"/>
          <w:numId w:val="0"/>
        </w:numPr>
        <w:spacing w:before="200" w:after="0" w:line="271" w:lineRule="auto"/>
        <w:ind w:left="720" w:hanging="720"/>
        <w:jc w:val="both"/>
        <w:outlineLvl w:val="2"/>
        <w:rPr>
          <w:rFonts w:ascii="Cambria" w:eastAsia="Times New Roman" w:hAnsi="Cambria" w:cs="Times New Roman"/>
          <w:b/>
          <w:bCs/>
          <w:lang w:eastAsia="en-GB"/>
        </w:rPr>
      </w:pPr>
      <w:bookmarkStart w:id="15" w:name="_Toc402265311"/>
      <w:r w:rsidRPr="00F968DF">
        <w:rPr>
          <w:rFonts w:ascii="Cambria" w:eastAsia="Times New Roman" w:hAnsi="Cambria" w:cs="Times New Roman"/>
          <w:b/>
          <w:bCs/>
          <w:lang w:eastAsia="en-GB"/>
        </w:rPr>
        <w:t>Gifts on trust for a non-charitable purpose</w:t>
      </w:r>
      <w:bookmarkEnd w:id="15"/>
    </w:p>
    <w:p w14:paraId="71E0E54C" w14:textId="77777777" w:rsidR="00F968DF" w:rsidRPr="00F968DF" w:rsidRDefault="00F968DF" w:rsidP="00F968DF">
      <w:pPr>
        <w:numPr>
          <w:ilvl w:val="0"/>
          <w:numId w:val="10"/>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iCs/>
          <w:lang w:eastAsia="en-GB"/>
        </w:rPr>
        <w:t xml:space="preserve">Where the purpose is private: </w:t>
      </w:r>
      <w:r w:rsidRPr="00F968DF">
        <w:rPr>
          <w:rFonts w:ascii="Calibri" w:eastAsia="Times New Roman" w:hAnsi="Calibri" w:cs="Times New Roman"/>
          <w:lang w:eastAsia="en-GB"/>
        </w:rPr>
        <w:t xml:space="preserve">this type of trust is likely to be void because of the beneficiary principle, perpetuity or uncertainty.  e.g. </w:t>
      </w:r>
      <w:r w:rsidRPr="00F968DF">
        <w:rPr>
          <w:rFonts w:ascii="Calibri" w:eastAsia="Times New Roman" w:hAnsi="Calibri" w:cs="Times New Roman"/>
          <w:iCs/>
          <w:lang w:eastAsia="en-GB"/>
        </w:rPr>
        <w:t>Re Astor's ST</w:t>
      </w:r>
      <w:r w:rsidRPr="00F968DF">
        <w:rPr>
          <w:rFonts w:ascii="Calibri" w:eastAsia="Times New Roman" w:hAnsi="Calibri" w:cs="Times New Roman"/>
          <w:lang w:eastAsia="en-GB"/>
        </w:rPr>
        <w:t xml:space="preserve"> [1952</w:t>
      </w:r>
      <w:proofErr w:type="gramStart"/>
      <w:r w:rsidRPr="00F968DF">
        <w:rPr>
          <w:rFonts w:ascii="Calibri" w:eastAsia="Times New Roman" w:hAnsi="Calibri" w:cs="Times New Roman"/>
          <w:lang w:eastAsia="en-GB"/>
        </w:rPr>
        <w:t>]  Ch</w:t>
      </w:r>
      <w:proofErr w:type="gramEnd"/>
      <w:r w:rsidRPr="00F968DF">
        <w:rPr>
          <w:rFonts w:ascii="Calibri" w:eastAsia="Times New Roman" w:hAnsi="Calibri" w:cs="Times New Roman"/>
          <w:lang w:eastAsia="en-GB"/>
        </w:rPr>
        <w:t xml:space="preserve"> 534</w:t>
      </w:r>
    </w:p>
    <w:p w14:paraId="5BC99662"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u w:val="single"/>
          <w:lang w:eastAsia="en-GB"/>
        </w:rPr>
      </w:pPr>
      <w:r w:rsidRPr="00F968DF">
        <w:rPr>
          <w:rFonts w:ascii="Calibri" w:eastAsia="Times New Roman" w:hAnsi="Calibri" w:cs="Times New Roman"/>
          <w:i/>
          <w:iCs/>
          <w:u w:val="single"/>
          <w:lang w:eastAsia="en-GB"/>
        </w:rPr>
        <w:t>Leahy v AG for New South Wales</w:t>
      </w:r>
      <w:r w:rsidRPr="00F968DF">
        <w:rPr>
          <w:rFonts w:ascii="Calibri" w:eastAsia="Times New Roman" w:hAnsi="Calibri" w:cs="Times New Roman"/>
          <w:u w:val="single"/>
          <w:lang w:eastAsia="en-GB"/>
        </w:rPr>
        <w:t xml:space="preserve"> [1959] AC 457, PC </w:t>
      </w:r>
    </w:p>
    <w:p w14:paraId="5F9B1E84"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An Australian testator provided in his will that his property, known as </w:t>
      </w:r>
      <w:proofErr w:type="spellStart"/>
      <w:r w:rsidRPr="00F968DF">
        <w:rPr>
          <w:rFonts w:ascii="Calibri" w:eastAsia="Times New Roman" w:hAnsi="Calibri" w:cs="Times New Roman"/>
          <w:lang w:eastAsia="en-GB"/>
        </w:rPr>
        <w:t>Elmslea</w:t>
      </w:r>
      <w:proofErr w:type="spellEnd"/>
      <w:r w:rsidRPr="00F968DF">
        <w:rPr>
          <w:rFonts w:ascii="Calibri" w:eastAsia="Times New Roman" w:hAnsi="Calibri" w:cs="Times New Roman"/>
          <w:lang w:eastAsia="en-GB"/>
        </w:rPr>
        <w:t xml:space="preserve">, should be held upon trust for an Order of Catholic nuns. This was held not to be charitable, or for identifiable individuals as the Order was dispersed all over the world and the property was one house. The trust was void. </w:t>
      </w:r>
    </w:p>
    <w:p w14:paraId="5CEEA3E4" w14:textId="77777777" w:rsidR="00F968DF" w:rsidRDefault="00F968DF" w:rsidP="004E497F">
      <w:p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 xml:space="preserve">Although </w:t>
      </w:r>
      <w:r w:rsidRPr="00F968DF">
        <w:rPr>
          <w:rFonts w:ascii="Calibri" w:eastAsia="Times New Roman" w:hAnsi="Calibri" w:cs="Times New Roman"/>
          <w:i/>
          <w:lang w:eastAsia="en-GB"/>
        </w:rPr>
        <w:t xml:space="preserve">Re Denley </w:t>
      </w:r>
      <w:r w:rsidRPr="00F968DF">
        <w:rPr>
          <w:rFonts w:ascii="Calibri" w:eastAsia="Times New Roman" w:hAnsi="Calibri" w:cs="Times New Roman"/>
          <w:lang w:eastAsia="en-GB"/>
        </w:rPr>
        <w:t>did not involve an unincorporated association, there is no reason it could not be applied to save a gift in such a situation.</w:t>
      </w:r>
    </w:p>
    <w:p w14:paraId="424737FF" w14:textId="77777777" w:rsidR="0089161E" w:rsidRPr="00F968DF" w:rsidRDefault="0089161E" w:rsidP="0089161E">
      <w:pPr>
        <w:spacing w:after="200" w:line="276" w:lineRule="auto"/>
        <w:ind w:left="720"/>
        <w:contextualSpacing/>
        <w:jc w:val="both"/>
        <w:rPr>
          <w:rFonts w:ascii="Calibri" w:eastAsia="Times New Roman" w:hAnsi="Calibri" w:cs="Times New Roman"/>
          <w:lang w:eastAsia="en-GB"/>
        </w:rPr>
      </w:pPr>
    </w:p>
    <w:p w14:paraId="4A1237EC" w14:textId="77777777" w:rsidR="00F968DF" w:rsidRPr="00F968DF" w:rsidRDefault="00F968DF" w:rsidP="00F968DF">
      <w:pPr>
        <w:numPr>
          <w:ilvl w:val="2"/>
          <w:numId w:val="0"/>
        </w:numPr>
        <w:spacing w:before="200" w:after="0" w:line="271" w:lineRule="auto"/>
        <w:ind w:left="720" w:hanging="720"/>
        <w:jc w:val="both"/>
        <w:outlineLvl w:val="2"/>
        <w:rPr>
          <w:rFonts w:ascii="Cambria" w:eastAsia="Times New Roman" w:hAnsi="Cambria" w:cs="Times New Roman"/>
          <w:b/>
          <w:bCs/>
          <w:lang w:eastAsia="en-GB"/>
        </w:rPr>
      </w:pPr>
      <w:bookmarkStart w:id="16" w:name="_Toc402265312"/>
      <w:r w:rsidRPr="00F968DF">
        <w:rPr>
          <w:rFonts w:ascii="Cambria" w:eastAsia="Times New Roman" w:hAnsi="Cambria" w:cs="Times New Roman"/>
          <w:b/>
          <w:bCs/>
          <w:lang w:eastAsia="en-GB"/>
        </w:rPr>
        <w:t>For members at the time of transfer</w:t>
      </w:r>
      <w:bookmarkEnd w:id="16"/>
    </w:p>
    <w:p w14:paraId="37F82743" w14:textId="77777777" w:rsidR="00F968DF" w:rsidRPr="00F968DF" w:rsidRDefault="00F968DF" w:rsidP="00F968DF">
      <w:pPr>
        <w:numPr>
          <w:ilvl w:val="0"/>
          <w:numId w:val="10"/>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 xml:space="preserve">In this situation, the members at the time of transfer are joint tenants, either taking absolutely or as beneficiaries. </w:t>
      </w:r>
    </w:p>
    <w:p w14:paraId="4606F69A" w14:textId="77777777" w:rsidR="00F968DF" w:rsidRPr="00F968DF" w:rsidRDefault="00F968DF" w:rsidP="00F968DF">
      <w:pPr>
        <w:numPr>
          <w:ilvl w:val="0"/>
          <w:numId w:val="10"/>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They can sever their share at any time, and it is not dependant on them continuing to be members.</w:t>
      </w:r>
    </w:p>
    <w:p w14:paraId="142F53CE" w14:textId="77777777" w:rsidR="00F968DF" w:rsidRPr="00F968DF" w:rsidRDefault="00F968DF" w:rsidP="00F968DF">
      <w:pPr>
        <w:numPr>
          <w:ilvl w:val="0"/>
          <w:numId w:val="10"/>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There is no problem of lack of beneficiaries or of perpetuity.</w:t>
      </w:r>
    </w:p>
    <w:p w14:paraId="76AEC1DA" w14:textId="77777777" w:rsidR="00F968DF" w:rsidRPr="00F968DF" w:rsidRDefault="00F968DF" w:rsidP="00F968DF">
      <w:pPr>
        <w:numPr>
          <w:ilvl w:val="0"/>
          <w:numId w:val="10"/>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However, this is unlikely to be what a settlor intended, and occurrences of this sort are rare. It is most applicable where the settlor has used the association as short hand for naming all the members, and most applicable in cases of small groups, such as a book club.</w:t>
      </w:r>
    </w:p>
    <w:p w14:paraId="294FB4FE" w14:textId="77777777" w:rsidR="00F968DF" w:rsidRPr="00F968DF" w:rsidRDefault="00F968DF" w:rsidP="00F968DF">
      <w:pPr>
        <w:numPr>
          <w:ilvl w:val="0"/>
          <w:numId w:val="10"/>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Any rule of association which prevents members severing their share would make this analysis unsuitable.</w:t>
      </w:r>
    </w:p>
    <w:p w14:paraId="71DF4438"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As </w:t>
      </w:r>
      <w:proofErr w:type="spellStart"/>
      <w:r w:rsidRPr="00F968DF">
        <w:rPr>
          <w:rFonts w:ascii="Calibri" w:eastAsia="Times New Roman" w:hAnsi="Calibri" w:cs="Times New Roman"/>
          <w:lang w:eastAsia="en-GB"/>
        </w:rPr>
        <w:t>Vinelott</w:t>
      </w:r>
      <w:proofErr w:type="spellEnd"/>
      <w:r w:rsidRPr="00F968DF">
        <w:rPr>
          <w:rFonts w:ascii="Calibri" w:eastAsia="Times New Roman" w:hAnsi="Calibri" w:cs="Times New Roman"/>
          <w:lang w:eastAsia="en-GB"/>
        </w:rPr>
        <w:t xml:space="preserve"> J observed </w:t>
      </w:r>
      <w:r w:rsidRPr="00F968DF">
        <w:rPr>
          <w:rFonts w:ascii="Calibri" w:eastAsia="Times New Roman" w:hAnsi="Calibri" w:cs="Times New Roman"/>
          <w:i/>
          <w:u w:val="single"/>
          <w:lang w:eastAsia="en-GB"/>
        </w:rPr>
        <w:t xml:space="preserve">in </w:t>
      </w:r>
      <w:r w:rsidRPr="00F968DF">
        <w:rPr>
          <w:rFonts w:ascii="Calibri" w:eastAsia="Times New Roman" w:hAnsi="Calibri" w:cs="Times New Roman"/>
          <w:i/>
          <w:iCs/>
          <w:u w:val="single"/>
          <w:lang w:eastAsia="en-GB"/>
        </w:rPr>
        <w:t>Re Grant's WT</w:t>
      </w:r>
      <w:r w:rsidRPr="00F968DF">
        <w:rPr>
          <w:rFonts w:ascii="Calibri" w:eastAsia="Times New Roman" w:hAnsi="Calibri" w:cs="Times New Roman"/>
          <w:lang w:eastAsia="en-GB"/>
        </w:rPr>
        <w:t>, this construction is used where:</w:t>
      </w:r>
    </w:p>
    <w:p w14:paraId="1D491148"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 "... the association is used in effect as a convenient label … of the class which it is intended to take …  So, for instance, a testator might give a … share of residue to a … social club of which he had been a member … Cases within this category are relatively uncommon."</w:t>
      </w:r>
    </w:p>
    <w:p w14:paraId="1728B13A" w14:textId="77777777" w:rsidR="00F968DF" w:rsidRPr="00F968DF" w:rsidRDefault="00F968DF" w:rsidP="00F968DF">
      <w:pPr>
        <w:numPr>
          <w:ilvl w:val="2"/>
          <w:numId w:val="0"/>
        </w:numPr>
        <w:spacing w:before="200" w:after="0" w:line="271" w:lineRule="auto"/>
        <w:ind w:left="720" w:hanging="720"/>
        <w:jc w:val="both"/>
        <w:outlineLvl w:val="2"/>
        <w:rPr>
          <w:rFonts w:ascii="Cambria" w:eastAsia="Times New Roman" w:hAnsi="Cambria" w:cs="Times New Roman"/>
          <w:b/>
          <w:bCs/>
          <w:lang w:eastAsia="en-GB"/>
        </w:rPr>
      </w:pPr>
      <w:bookmarkStart w:id="17" w:name="_Toc402265313"/>
      <w:r w:rsidRPr="00F968DF">
        <w:rPr>
          <w:rFonts w:ascii="Cambria" w:eastAsia="Times New Roman" w:hAnsi="Cambria" w:cs="Times New Roman"/>
          <w:b/>
          <w:bCs/>
          <w:lang w:eastAsia="en-GB"/>
        </w:rPr>
        <w:lastRenderedPageBreak/>
        <w:t>On trust for present and future members</w:t>
      </w:r>
      <w:bookmarkEnd w:id="17"/>
    </w:p>
    <w:p w14:paraId="0F23CF25" w14:textId="77777777" w:rsidR="00F968DF" w:rsidRPr="00F968DF" w:rsidRDefault="00F968DF" w:rsidP="00F968DF">
      <w:pPr>
        <w:numPr>
          <w:ilvl w:val="0"/>
          <w:numId w:val="13"/>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To avoid the present members of an association being able to take their share absolutely at the time of transfer, a gift may be specified as to present and future members.</w:t>
      </w:r>
    </w:p>
    <w:p w14:paraId="6BCE8672" w14:textId="77777777" w:rsidR="00F968DF" w:rsidRPr="00F968DF" w:rsidRDefault="00F968DF" w:rsidP="00F968DF">
      <w:pPr>
        <w:numPr>
          <w:ilvl w:val="0"/>
          <w:numId w:val="13"/>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This has traditionally infringed the perpetuity rule, but may not after the Perpetuities and Accumulations Act 2009</w:t>
      </w:r>
    </w:p>
    <w:p w14:paraId="6D08B29B" w14:textId="77777777" w:rsidR="00F968DF" w:rsidRPr="00F968DF" w:rsidRDefault="00F968DF" w:rsidP="00F968DF">
      <w:pPr>
        <w:numPr>
          <w:ilvl w:val="0"/>
          <w:numId w:val="13"/>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Such a trust would still suffer the limitation that each member would retain an interest even if they ceased to be a member, and this is unlikely to be what the settlor intended.</w:t>
      </w:r>
    </w:p>
    <w:p w14:paraId="01B8D36E" w14:textId="77777777" w:rsidR="00F968DF" w:rsidRPr="00F968DF" w:rsidRDefault="00F968DF" w:rsidP="00F968DF">
      <w:pPr>
        <w:numPr>
          <w:ilvl w:val="2"/>
          <w:numId w:val="0"/>
        </w:numPr>
        <w:spacing w:before="200" w:after="0" w:line="271" w:lineRule="auto"/>
        <w:ind w:left="720" w:hanging="720"/>
        <w:jc w:val="both"/>
        <w:outlineLvl w:val="2"/>
        <w:rPr>
          <w:rFonts w:ascii="Cambria" w:eastAsia="Times New Roman" w:hAnsi="Cambria" w:cs="Times New Roman"/>
          <w:b/>
          <w:bCs/>
          <w:lang w:eastAsia="en-GB"/>
        </w:rPr>
      </w:pPr>
      <w:bookmarkStart w:id="18" w:name="_Toc402265314"/>
      <w:r w:rsidRPr="00F968DF">
        <w:rPr>
          <w:rFonts w:ascii="Cambria" w:eastAsia="Times New Roman" w:hAnsi="Cambria" w:cs="Times New Roman"/>
          <w:b/>
          <w:bCs/>
          <w:lang w:eastAsia="en-GB"/>
        </w:rPr>
        <w:t>For members subject to their existing contractual rights</w:t>
      </w:r>
      <w:bookmarkEnd w:id="18"/>
    </w:p>
    <w:p w14:paraId="2A93E4D3" w14:textId="77777777" w:rsidR="00F968DF" w:rsidRPr="00F968DF" w:rsidRDefault="00F968DF" w:rsidP="00F968DF">
      <w:pPr>
        <w:numPr>
          <w:ilvl w:val="0"/>
          <w:numId w:val="14"/>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This is the preferred construction, sometimes referred to as the ‘contract holding theory’.</w:t>
      </w:r>
    </w:p>
    <w:p w14:paraId="06BE3F89" w14:textId="77777777" w:rsidR="00F968DF" w:rsidRPr="00F968DF" w:rsidRDefault="00F968DF" w:rsidP="00F968DF">
      <w:pPr>
        <w:numPr>
          <w:ilvl w:val="0"/>
          <w:numId w:val="14"/>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Under this construction the gift is held according to the rules of the association.</w:t>
      </w:r>
    </w:p>
    <w:p w14:paraId="4B981CD2" w14:textId="77777777" w:rsidR="00F968DF" w:rsidRPr="00F968DF" w:rsidRDefault="00F968DF" w:rsidP="00F968DF">
      <w:pPr>
        <w:numPr>
          <w:ilvl w:val="0"/>
          <w:numId w:val="14"/>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 xml:space="preserve">This requires something that looks like a contract, such as a constitution. </w:t>
      </w:r>
    </w:p>
    <w:p w14:paraId="25968B05" w14:textId="77777777" w:rsidR="00F968DF" w:rsidRPr="00F968DF" w:rsidRDefault="00F968DF" w:rsidP="00F968DF">
      <w:pPr>
        <w:numPr>
          <w:ilvl w:val="0"/>
          <w:numId w:val="14"/>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This means the property is available to all members, including future members.</w:t>
      </w:r>
    </w:p>
    <w:p w14:paraId="1B5FF36B" w14:textId="77777777" w:rsidR="00F968DF" w:rsidRPr="00F968DF" w:rsidRDefault="00F968DF" w:rsidP="00F968DF">
      <w:pPr>
        <w:numPr>
          <w:ilvl w:val="0"/>
          <w:numId w:val="14"/>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 xml:space="preserve">The members cannot sever their interest at will, and members who leave will lose their interest. New members will gain an interest. </w:t>
      </w:r>
    </w:p>
    <w:p w14:paraId="4B0A16FA"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i/>
          <w:iCs/>
          <w:u w:val="single"/>
          <w:lang w:eastAsia="en-GB"/>
        </w:rPr>
        <w:t xml:space="preserve">Neville Estates v Madden </w:t>
      </w:r>
      <w:r w:rsidRPr="00F968DF">
        <w:rPr>
          <w:rFonts w:ascii="Calibri" w:eastAsia="Times New Roman" w:hAnsi="Calibri" w:cs="Times New Roman"/>
          <w:u w:val="single"/>
          <w:lang w:eastAsia="en-GB"/>
        </w:rPr>
        <w:t>[1962] Ch. 832</w:t>
      </w:r>
      <w:r w:rsidRPr="00F968DF">
        <w:rPr>
          <w:rFonts w:ascii="Calibri" w:eastAsia="Times New Roman" w:hAnsi="Calibri" w:cs="Times New Roman"/>
          <w:lang w:eastAsia="en-GB"/>
        </w:rPr>
        <w:t xml:space="preserve"> </w:t>
      </w:r>
    </w:p>
    <w:p w14:paraId="5D205D1E"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Per Cross J at 849: </w:t>
      </w:r>
    </w:p>
    <w:p w14:paraId="3DA1421B"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
          <w:lang w:eastAsia="en-GB"/>
        </w:rPr>
      </w:pPr>
      <w:r w:rsidRPr="00F968DF">
        <w:rPr>
          <w:rFonts w:ascii="Calibri" w:eastAsia="Times New Roman" w:hAnsi="Calibri" w:cs="Times New Roman"/>
          <w:i/>
          <w:lang w:eastAsia="en-GB"/>
        </w:rPr>
        <w:t>“it may be a gift to the existing members not as joint tenants, but subject to their respective contractual rights and liabilities towards one another as members of the association. In such a case a member cannot sever his share. It will accrue to the other members on his death or resignation, even though such members include persons who became members after the gift took effect.”</w:t>
      </w:r>
    </w:p>
    <w:p w14:paraId="6E71E976" w14:textId="77777777" w:rsidR="00F968DF" w:rsidRPr="00F968DF" w:rsidRDefault="00F968DF" w:rsidP="00F968DF">
      <w:pPr>
        <w:spacing w:after="200" w:line="276" w:lineRule="auto"/>
        <w:jc w:val="both"/>
        <w:rPr>
          <w:rFonts w:ascii="Calibri" w:eastAsia="Times New Roman" w:hAnsi="Calibri" w:cs="Times New Roman"/>
          <w:lang w:eastAsia="en-GB"/>
        </w:rPr>
      </w:pPr>
    </w:p>
    <w:p w14:paraId="23164409"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u w:val="single"/>
          <w:lang w:eastAsia="en-GB"/>
        </w:rPr>
      </w:pPr>
      <w:r w:rsidRPr="00F968DF">
        <w:rPr>
          <w:rFonts w:ascii="Calibri" w:eastAsia="Times New Roman" w:hAnsi="Calibri" w:cs="Times New Roman"/>
          <w:i/>
          <w:iCs/>
          <w:u w:val="single"/>
          <w:lang w:eastAsia="en-GB"/>
        </w:rPr>
        <w:t>Re Lipinski</w:t>
      </w:r>
      <w:r w:rsidRPr="00F968DF">
        <w:rPr>
          <w:rFonts w:ascii="Calibri" w:eastAsia="Times New Roman" w:hAnsi="Calibri" w:cs="Times New Roman"/>
          <w:u w:val="single"/>
          <w:lang w:eastAsia="en-GB"/>
        </w:rPr>
        <w:t xml:space="preserve"> [1977] 1 All ER 33</w:t>
      </w:r>
    </w:p>
    <w:p w14:paraId="283CE3F7"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Property left on trust for a sports and social club for the Hull Judeans (Maccabi) Association, an unincorporated association for Jewish children. But was it a trust for a purpose because the testator stated that the trust was in memory of his late wife and that the money was to be used solely for constructing or improving club buildings? This was held to be a valid trust for the members of the association.</w:t>
      </w:r>
    </w:p>
    <w:p w14:paraId="43023447"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Per Oliver J at 246:</w:t>
      </w:r>
    </w:p>
    <w:p w14:paraId="469C4E73"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
          <w:lang w:eastAsia="en-GB"/>
        </w:rPr>
      </w:pPr>
      <w:r w:rsidRPr="00F968DF">
        <w:rPr>
          <w:rFonts w:ascii="Calibri" w:eastAsia="Times New Roman" w:hAnsi="Calibri" w:cs="Times New Roman"/>
          <w:i/>
          <w:lang w:eastAsia="en-GB"/>
        </w:rPr>
        <w:t xml:space="preserve">“At first sight ... there appears to be a difficulty in arguing that the gift is to members of the association subject to their contractual right inter </w:t>
      </w:r>
      <w:proofErr w:type="gramStart"/>
      <w:r w:rsidRPr="00F968DF">
        <w:rPr>
          <w:rFonts w:ascii="Calibri" w:eastAsia="Times New Roman" w:hAnsi="Calibri" w:cs="Times New Roman"/>
          <w:i/>
          <w:lang w:eastAsia="en-GB"/>
        </w:rPr>
        <w:t>se  when</w:t>
      </w:r>
      <w:proofErr w:type="gramEnd"/>
      <w:r w:rsidRPr="00F968DF">
        <w:rPr>
          <w:rFonts w:ascii="Calibri" w:eastAsia="Times New Roman" w:hAnsi="Calibri" w:cs="Times New Roman"/>
          <w:i/>
          <w:lang w:eastAsia="en-GB"/>
        </w:rPr>
        <w:t xml:space="preserve"> there is a specific direction or limitation sought to be imposed upon these contractual rights as to the manner in which </w:t>
      </w:r>
      <w:proofErr w:type="spellStart"/>
      <w:r w:rsidRPr="00F968DF">
        <w:rPr>
          <w:rFonts w:ascii="Calibri" w:eastAsia="Times New Roman" w:hAnsi="Calibri" w:cs="Times New Roman"/>
          <w:i/>
          <w:lang w:eastAsia="en-GB"/>
        </w:rPr>
        <w:t>trhe</w:t>
      </w:r>
      <w:proofErr w:type="spellEnd"/>
      <w:r w:rsidRPr="00F968DF">
        <w:rPr>
          <w:rFonts w:ascii="Calibri" w:eastAsia="Times New Roman" w:hAnsi="Calibri" w:cs="Times New Roman"/>
          <w:i/>
          <w:lang w:eastAsia="en-GB"/>
        </w:rPr>
        <w:t xml:space="preserve"> subject matter of the gift is to be dealt with. This, says counsel, is a ‘pure purpose trust’ and is invalid on that ground, quite apart from any question of perpetuity. I am not sure, however, that it is sufficient merely to demonstrate that a trust is a ‘purpose’ trust ...</w:t>
      </w:r>
    </w:p>
    <w:p w14:paraId="757A76A1"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
          <w:lang w:eastAsia="en-GB"/>
        </w:rPr>
      </w:pPr>
      <w:r w:rsidRPr="00F968DF">
        <w:rPr>
          <w:rFonts w:ascii="Calibri" w:eastAsia="Times New Roman" w:hAnsi="Calibri" w:cs="Times New Roman"/>
          <w:i/>
          <w:lang w:eastAsia="en-GB"/>
        </w:rPr>
        <w:t xml:space="preserve">If a valid gift may be made to an unincorporated body as a simple accretion to the funds which are the subject matter of the </w:t>
      </w:r>
      <w:proofErr w:type="spellStart"/>
      <w:r w:rsidRPr="00F968DF">
        <w:rPr>
          <w:rFonts w:ascii="Calibri" w:eastAsia="Times New Roman" w:hAnsi="Calibri" w:cs="Times New Roman"/>
          <w:i/>
          <w:lang w:eastAsia="en-GB"/>
        </w:rPr>
        <w:t>contrasct</w:t>
      </w:r>
      <w:proofErr w:type="spellEnd"/>
      <w:r w:rsidRPr="00F968DF">
        <w:rPr>
          <w:rFonts w:ascii="Calibri" w:eastAsia="Times New Roman" w:hAnsi="Calibri" w:cs="Times New Roman"/>
          <w:i/>
          <w:lang w:eastAsia="en-GB"/>
        </w:rPr>
        <w:t xml:space="preserve"> which the members made inter se ... I do not really see why such a gift, which specifies a purpose which is within the powers of the association and of which the members of the association are the beneficiaries, should fail. Why are not the beneficiaries able to enforce the trust or, </w:t>
      </w:r>
      <w:proofErr w:type="spellStart"/>
      <w:r w:rsidRPr="00F968DF">
        <w:rPr>
          <w:rFonts w:ascii="Calibri" w:eastAsia="Times New Roman" w:hAnsi="Calibri" w:cs="Times New Roman"/>
          <w:i/>
          <w:lang w:eastAsia="en-GB"/>
        </w:rPr>
        <w:t>indedd</w:t>
      </w:r>
      <w:proofErr w:type="spellEnd"/>
      <w:r w:rsidRPr="00F968DF">
        <w:rPr>
          <w:rFonts w:ascii="Calibri" w:eastAsia="Times New Roman" w:hAnsi="Calibri" w:cs="Times New Roman"/>
          <w:i/>
          <w:lang w:eastAsia="en-GB"/>
        </w:rPr>
        <w:t xml:space="preserve">, in the exercise of their contractual rights, to terminate the trust for their own benefit? </w:t>
      </w:r>
      <w:r w:rsidRPr="00F968DF">
        <w:rPr>
          <w:rFonts w:ascii="Calibri" w:eastAsia="Times New Roman" w:hAnsi="Calibri" w:cs="Times New Roman"/>
          <w:i/>
          <w:lang w:eastAsia="en-GB"/>
        </w:rPr>
        <w:lastRenderedPageBreak/>
        <w:t>Where the done association is itself the beneficiary of the prescribed purpose, there seems to me to be the strongest argument in common sense for saying that the gift should be construed as an absolute one within the second category – the more so where, if the purpose is carried out, the members can by appropriate action vest the resulting property in themselves, for here the trustees and the beneficiaries are the same persons.”</w:t>
      </w:r>
    </w:p>
    <w:p w14:paraId="7625EB0E" w14:textId="77777777" w:rsidR="00F968DF" w:rsidRPr="00F968DF" w:rsidRDefault="00F968DF" w:rsidP="00F968DF">
      <w:pPr>
        <w:numPr>
          <w:ilvl w:val="0"/>
          <w:numId w:val="15"/>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However, in order to use the contractual analysis, it is necessary that the rules allow the members to deal with the property (or that the rules can be amended to allow the members to deal with the property).</w:t>
      </w:r>
    </w:p>
    <w:p w14:paraId="27B77FEF"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u w:val="single"/>
          <w:lang w:eastAsia="en-GB"/>
        </w:rPr>
      </w:pPr>
      <w:r w:rsidRPr="00F968DF">
        <w:rPr>
          <w:rFonts w:ascii="Calibri" w:eastAsia="Times New Roman" w:hAnsi="Calibri" w:cs="Times New Roman"/>
          <w:i/>
          <w:iCs/>
          <w:u w:val="single"/>
          <w:lang w:eastAsia="en-GB"/>
        </w:rPr>
        <w:t>Re Grant's WT</w:t>
      </w:r>
      <w:r w:rsidRPr="00F968DF">
        <w:rPr>
          <w:rFonts w:ascii="Calibri" w:eastAsia="Times New Roman" w:hAnsi="Calibri" w:cs="Times New Roman"/>
          <w:u w:val="single"/>
          <w:lang w:eastAsia="en-GB"/>
        </w:rPr>
        <w:t xml:space="preserve"> [1979] 3 All ER 359 </w:t>
      </w:r>
    </w:p>
    <w:p w14:paraId="45B3B370"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T left all his property to a local Labour party committee for the benefit of a named local constituency party.  </w:t>
      </w:r>
    </w:p>
    <w:p w14:paraId="19F7B1B2"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The rules of the local constituency party stated that they were subject to alteration if changes were agreed at the Labour Conference or by the National Executive Committee. Any property belonging to the constituency party could not be dealt with without obtaining the approval of the National Executive Committee. </w:t>
      </w:r>
    </w:p>
    <w:p w14:paraId="4E68C39E" w14:textId="77777777" w:rsidR="00F968DF" w:rsidRPr="00F968DF" w:rsidRDefault="00F968DF" w:rsidP="00F968DF">
      <w:pPr>
        <w:spacing w:after="200" w:line="276" w:lineRule="auto"/>
        <w:jc w:val="both"/>
        <w:rPr>
          <w:rFonts w:ascii="Calibri" w:eastAsia="Times New Roman" w:hAnsi="Calibri" w:cs="Times New Roman"/>
          <w:iCs/>
          <w:lang w:eastAsia="en-GB"/>
        </w:rPr>
      </w:pPr>
    </w:p>
    <w:p w14:paraId="242568F4"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iCs/>
          <w:lang w:eastAsia="en-GB"/>
        </w:rPr>
      </w:pPr>
      <w:r w:rsidRPr="00F968DF">
        <w:rPr>
          <w:rFonts w:ascii="Calibri" w:eastAsia="Times New Roman" w:hAnsi="Calibri" w:cs="Times New Roman"/>
          <w:iCs/>
          <w:lang w:eastAsia="en-GB"/>
        </w:rPr>
        <w:t>St. Andrews (Cheam) Lawn Tennis Club Trust [2012] EWHC 1040, at para. [62]</w:t>
      </w:r>
    </w:p>
    <w:p w14:paraId="4A382957"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 xml:space="preserve">Lawn tennis club for churchgoers. The rules prevented the members of the club from dividing the land (or sale proceeds if sold) between them and the members could not amend those rules without the consent of the Church. </w:t>
      </w:r>
    </w:p>
    <w:p w14:paraId="6796BA22" w14:textId="77777777" w:rsidR="00F968DF" w:rsidRPr="00F968DF" w:rsidRDefault="00F968DF" w:rsidP="00F968DF">
      <w:pPr>
        <w:spacing w:after="200" w:line="276" w:lineRule="auto"/>
        <w:jc w:val="both"/>
        <w:rPr>
          <w:rFonts w:ascii="Calibri" w:eastAsia="Times New Roman" w:hAnsi="Calibri" w:cs="Times New Roman"/>
          <w:lang w:eastAsia="en-GB"/>
        </w:rPr>
      </w:pPr>
      <w:r w:rsidRPr="00F968DF">
        <w:rPr>
          <w:rFonts w:ascii="Calibri" w:eastAsia="Times New Roman" w:hAnsi="Calibri" w:cs="Times New Roman"/>
          <w:lang w:eastAsia="en-GB"/>
        </w:rPr>
        <w:t>But note:</w:t>
      </w:r>
    </w:p>
    <w:p w14:paraId="1C6F87CA"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u w:val="single"/>
          <w:lang w:eastAsia="en-GB"/>
        </w:rPr>
      </w:pPr>
      <w:r w:rsidRPr="00F968DF">
        <w:rPr>
          <w:rFonts w:ascii="Calibri" w:eastAsia="Times New Roman" w:hAnsi="Calibri" w:cs="Times New Roman"/>
          <w:i/>
          <w:u w:val="single"/>
          <w:lang w:eastAsia="en-GB"/>
        </w:rPr>
        <w:t>In the matter of the Horley Town Football Club</w:t>
      </w:r>
      <w:r w:rsidRPr="00F968DF">
        <w:rPr>
          <w:rFonts w:ascii="Calibri" w:eastAsia="Times New Roman" w:hAnsi="Calibri" w:cs="Times New Roman"/>
          <w:u w:val="single"/>
          <w:lang w:eastAsia="en-GB"/>
        </w:rPr>
        <w:t xml:space="preserve"> [2006] EWHC 2386</w:t>
      </w:r>
    </w:p>
    <w:p w14:paraId="7DB91743" w14:textId="77777777" w:rsidR="00F968DF" w:rsidRPr="00F968DF" w:rsidRDefault="00F968DF" w:rsidP="00F968DF">
      <w:pPr>
        <w:pBdr>
          <w:top w:val="single" w:sz="4" w:space="1" w:color="auto"/>
          <w:left w:val="single" w:sz="4" w:space="4" w:color="auto"/>
          <w:bottom w:val="single" w:sz="4" w:space="1" w:color="auto"/>
          <w:right w:val="single" w:sz="4" w:space="4" w:color="auto"/>
        </w:pBdr>
        <w:shd w:val="clear" w:color="auto" w:fill="D9D9D9"/>
        <w:spacing w:after="200" w:line="276" w:lineRule="auto"/>
        <w:jc w:val="both"/>
        <w:rPr>
          <w:rFonts w:ascii="Calibri" w:eastAsia="Times New Roman" w:hAnsi="Calibri" w:cs="Times New Roman"/>
          <w:lang w:eastAsia="en-GB"/>
        </w:rPr>
      </w:pPr>
      <w:r w:rsidRPr="00F968DF">
        <w:rPr>
          <w:rFonts w:ascii="Calibri" w:eastAsia="Times New Roman" w:hAnsi="Calibri" w:cs="Calibri"/>
          <w:lang w:eastAsia="en-GB"/>
        </w:rPr>
        <w:t>The club had been existence for many years but, s</w:t>
      </w:r>
      <w:r w:rsidRPr="00F968DF">
        <w:rPr>
          <w:rFonts w:ascii="Calibri" w:eastAsia="Times New Roman" w:hAnsi="Calibri" w:cs="Times New Roman"/>
          <w:lang w:eastAsia="en-GB"/>
        </w:rPr>
        <w:t>ince 1990, membership had been extended to include temporary members (visiting teams, friends and supporters).</w:t>
      </w:r>
    </w:p>
    <w:p w14:paraId="40BE5F19" w14:textId="77777777" w:rsidR="00F968DF" w:rsidRPr="00F968DF" w:rsidRDefault="00F968DF" w:rsidP="00F968DF">
      <w:pPr>
        <w:numPr>
          <w:ilvl w:val="2"/>
          <w:numId w:val="0"/>
        </w:numPr>
        <w:spacing w:before="200" w:after="0" w:line="271" w:lineRule="auto"/>
        <w:ind w:left="720" w:hanging="720"/>
        <w:jc w:val="both"/>
        <w:outlineLvl w:val="2"/>
        <w:rPr>
          <w:rFonts w:ascii="Cambria" w:eastAsia="Times New Roman" w:hAnsi="Cambria" w:cs="Times New Roman"/>
          <w:b/>
          <w:bCs/>
          <w:lang w:eastAsia="en-GB"/>
        </w:rPr>
      </w:pPr>
      <w:bookmarkStart w:id="19" w:name="_Toc402265315"/>
      <w:r w:rsidRPr="00F968DF">
        <w:rPr>
          <w:rFonts w:ascii="Cambria" w:eastAsia="Times New Roman" w:hAnsi="Cambria" w:cs="Times New Roman"/>
          <w:b/>
          <w:bCs/>
          <w:lang w:eastAsia="en-GB"/>
        </w:rPr>
        <w:t>Other possible constructions</w:t>
      </w:r>
      <w:bookmarkEnd w:id="19"/>
    </w:p>
    <w:p w14:paraId="6253225D" w14:textId="77777777" w:rsidR="00F968DF" w:rsidRPr="00F968DF" w:rsidRDefault="00F968DF" w:rsidP="00F968DF">
      <w:pPr>
        <w:numPr>
          <w:ilvl w:val="0"/>
          <w:numId w:val="15"/>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 xml:space="preserve">An inter </w:t>
      </w:r>
      <w:proofErr w:type="spellStart"/>
      <w:r w:rsidRPr="00F968DF">
        <w:rPr>
          <w:rFonts w:ascii="Calibri" w:eastAsia="Times New Roman" w:hAnsi="Calibri" w:cs="Times New Roman"/>
          <w:lang w:eastAsia="en-GB"/>
        </w:rPr>
        <w:t>vivos</w:t>
      </w:r>
      <w:proofErr w:type="spellEnd"/>
      <w:r w:rsidRPr="00F968DF">
        <w:rPr>
          <w:rFonts w:ascii="Calibri" w:eastAsia="Times New Roman" w:hAnsi="Calibri" w:cs="Times New Roman"/>
          <w:lang w:eastAsia="en-GB"/>
        </w:rPr>
        <w:t xml:space="preserve"> gift may be construed as a transfer of property to an agent:  see </w:t>
      </w:r>
      <w:r w:rsidRPr="00F968DF">
        <w:rPr>
          <w:rFonts w:ascii="Calibri" w:eastAsia="Times New Roman" w:hAnsi="Calibri" w:cs="Times New Roman"/>
          <w:iCs/>
          <w:lang w:eastAsia="en-GB"/>
        </w:rPr>
        <w:t>Conservative and Unionist Central Office v Burrell</w:t>
      </w:r>
      <w:r w:rsidRPr="00F968DF">
        <w:rPr>
          <w:rFonts w:ascii="Calibri" w:eastAsia="Times New Roman" w:hAnsi="Calibri" w:cs="Times New Roman"/>
          <w:lang w:eastAsia="en-GB"/>
        </w:rPr>
        <w:t> [1982] 2 All ER 1;</w:t>
      </w:r>
    </w:p>
    <w:p w14:paraId="2A5A3349" w14:textId="77777777" w:rsidR="00F968DF" w:rsidRPr="00F968DF" w:rsidRDefault="00F968DF" w:rsidP="00F968DF">
      <w:pPr>
        <w:numPr>
          <w:ilvl w:val="0"/>
          <w:numId w:val="15"/>
        </w:numPr>
        <w:spacing w:after="200" w:line="276" w:lineRule="auto"/>
        <w:contextualSpacing/>
        <w:jc w:val="both"/>
        <w:rPr>
          <w:rFonts w:ascii="Calibri" w:eastAsia="Times New Roman" w:hAnsi="Calibri" w:cs="Times New Roman"/>
          <w:lang w:eastAsia="en-GB"/>
        </w:rPr>
      </w:pPr>
      <w:r w:rsidRPr="00F968DF">
        <w:rPr>
          <w:rFonts w:ascii="Calibri" w:eastAsia="Times New Roman" w:hAnsi="Calibri" w:cs="Times New Roman"/>
          <w:lang w:eastAsia="en-GB"/>
        </w:rPr>
        <w:t xml:space="preserve">There may be a power (rather than a trust) to appoint for a purpose. This is valid if it is sufficiently certain and limited to the perpetuity period:  there is no need for beneficiaries as those entitled in default can sue. </w:t>
      </w:r>
      <w:proofErr w:type="gramStart"/>
      <w:r w:rsidRPr="00F968DF">
        <w:rPr>
          <w:rFonts w:ascii="Calibri" w:eastAsia="Times New Roman" w:hAnsi="Calibri" w:cs="Times New Roman"/>
          <w:lang w:eastAsia="en-GB"/>
        </w:rPr>
        <w:t>However</w:t>
      </w:r>
      <w:proofErr w:type="gramEnd"/>
      <w:r w:rsidRPr="00F968DF">
        <w:rPr>
          <w:rFonts w:ascii="Calibri" w:eastAsia="Times New Roman" w:hAnsi="Calibri" w:cs="Times New Roman"/>
          <w:lang w:eastAsia="en-GB"/>
        </w:rPr>
        <w:t xml:space="preserve"> courts have refused to treat trusts as powers in order to get round the beneficiary principle:  see </w:t>
      </w:r>
      <w:r w:rsidRPr="00F968DF">
        <w:rPr>
          <w:rFonts w:ascii="Calibri" w:eastAsia="Times New Roman" w:hAnsi="Calibri" w:cs="Times New Roman"/>
          <w:iCs/>
          <w:lang w:eastAsia="en-GB"/>
        </w:rPr>
        <w:t xml:space="preserve">Re Shaw </w:t>
      </w:r>
      <w:r w:rsidRPr="00F968DF">
        <w:rPr>
          <w:rFonts w:ascii="Calibri" w:eastAsia="Times New Roman" w:hAnsi="Calibri" w:cs="Times New Roman"/>
          <w:lang w:eastAsia="en-GB"/>
        </w:rPr>
        <w:t xml:space="preserve">and </w:t>
      </w:r>
      <w:r w:rsidRPr="00F968DF">
        <w:rPr>
          <w:rFonts w:ascii="Calibri" w:eastAsia="Times New Roman" w:hAnsi="Calibri" w:cs="Times New Roman"/>
          <w:iCs/>
          <w:lang w:eastAsia="en-GB"/>
        </w:rPr>
        <w:t xml:space="preserve">Re </w:t>
      </w:r>
      <w:proofErr w:type="spellStart"/>
      <w:r w:rsidRPr="00F968DF">
        <w:rPr>
          <w:rFonts w:ascii="Calibri" w:eastAsia="Times New Roman" w:hAnsi="Calibri" w:cs="Times New Roman"/>
          <w:iCs/>
          <w:lang w:eastAsia="en-GB"/>
        </w:rPr>
        <w:t>Endacott</w:t>
      </w:r>
      <w:proofErr w:type="spellEnd"/>
      <w:r w:rsidRPr="00F968DF">
        <w:rPr>
          <w:rFonts w:ascii="Calibri" w:eastAsia="Times New Roman" w:hAnsi="Calibri" w:cs="Times New Roman"/>
          <w:lang w:eastAsia="en-GB"/>
        </w:rPr>
        <w:t>.</w:t>
      </w:r>
    </w:p>
    <w:p w14:paraId="616E47C4" w14:textId="5D644F62" w:rsidR="00F968DF" w:rsidRPr="00F968DF" w:rsidRDefault="00F968DF" w:rsidP="00F968DF">
      <w:pPr>
        <w:spacing w:after="200" w:line="276" w:lineRule="auto"/>
        <w:rPr>
          <w:rFonts w:ascii="Calibri" w:eastAsia="Times New Roman" w:hAnsi="Calibri" w:cs="Times New Roman"/>
          <w:lang w:eastAsia="en-GB"/>
        </w:rPr>
      </w:pPr>
    </w:p>
    <w:p w14:paraId="633A6C79" w14:textId="77777777" w:rsidR="00F554A8" w:rsidRDefault="00F554A8"/>
    <w:sectPr w:rsidR="00F554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06342"/>
    <w:multiLevelType w:val="hybridMultilevel"/>
    <w:tmpl w:val="4920B4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0020C3"/>
    <w:multiLevelType w:val="hybridMultilevel"/>
    <w:tmpl w:val="11009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3E247D"/>
    <w:multiLevelType w:val="hybridMultilevel"/>
    <w:tmpl w:val="05200C00"/>
    <w:lvl w:ilvl="0" w:tplc="5CD2765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44702"/>
    <w:multiLevelType w:val="hybridMultilevel"/>
    <w:tmpl w:val="DA7C8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EB5ABA"/>
    <w:multiLevelType w:val="hybridMultilevel"/>
    <w:tmpl w:val="1BCCB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55020F"/>
    <w:multiLevelType w:val="hybridMultilevel"/>
    <w:tmpl w:val="0524B19C"/>
    <w:lvl w:ilvl="0" w:tplc="DD7A261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8003DFF"/>
    <w:multiLevelType w:val="hybridMultilevel"/>
    <w:tmpl w:val="3FE488A6"/>
    <w:lvl w:ilvl="0" w:tplc="08090001">
      <w:start w:val="1"/>
      <w:numFmt w:val="bullet"/>
      <w:lvlText w:val=""/>
      <w:lvlJc w:val="left"/>
      <w:pPr>
        <w:ind w:left="720" w:hanging="360"/>
      </w:pPr>
      <w:rPr>
        <w:rFonts w:ascii="Symbol" w:hAnsi="Symbol" w:hint="default"/>
      </w:rPr>
    </w:lvl>
    <w:lvl w:ilvl="1" w:tplc="14240D16">
      <w:start w:val="1"/>
      <w:numFmt w:val="lowerRoman"/>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4D627F"/>
    <w:multiLevelType w:val="hybridMultilevel"/>
    <w:tmpl w:val="091CCC46"/>
    <w:lvl w:ilvl="0" w:tplc="08090001">
      <w:start w:val="1"/>
      <w:numFmt w:val="bullet"/>
      <w:lvlText w:val=""/>
      <w:lvlJc w:val="left"/>
      <w:pPr>
        <w:ind w:left="720" w:hanging="360"/>
      </w:pPr>
      <w:rPr>
        <w:rFonts w:ascii="Symbol" w:hAnsi="Symbol" w:hint="default"/>
      </w:rPr>
    </w:lvl>
    <w:lvl w:ilvl="1" w:tplc="0809001B">
      <w:start w:val="1"/>
      <w:numFmt w:val="lowerRoman"/>
      <w:lvlText w:val="%2."/>
      <w:lvlJc w:val="righ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844B28"/>
    <w:multiLevelType w:val="hybridMultilevel"/>
    <w:tmpl w:val="D1424C3A"/>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B251ADE"/>
    <w:multiLevelType w:val="hybridMultilevel"/>
    <w:tmpl w:val="62E0C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B77555"/>
    <w:multiLevelType w:val="hybridMultilevel"/>
    <w:tmpl w:val="7410F074"/>
    <w:lvl w:ilvl="0" w:tplc="14240D1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947402B"/>
    <w:multiLevelType w:val="hybridMultilevel"/>
    <w:tmpl w:val="D3A4F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2D1411"/>
    <w:multiLevelType w:val="hybridMultilevel"/>
    <w:tmpl w:val="121880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5F661AA"/>
    <w:multiLevelType w:val="hybridMultilevel"/>
    <w:tmpl w:val="FCB0B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76A1C1B"/>
    <w:multiLevelType w:val="hybridMultilevel"/>
    <w:tmpl w:val="CB0AFD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8240085"/>
    <w:multiLevelType w:val="hybridMultilevel"/>
    <w:tmpl w:val="36E0BF9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6" w15:restartNumberingAfterBreak="0">
    <w:nsid w:val="6C1817FC"/>
    <w:multiLevelType w:val="hybridMultilevel"/>
    <w:tmpl w:val="FA1CA2D4"/>
    <w:lvl w:ilvl="0" w:tplc="417A5F2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3B83D1E"/>
    <w:multiLevelType w:val="hybridMultilevel"/>
    <w:tmpl w:val="B0C283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F2A3B62"/>
    <w:multiLevelType w:val="hybridMultilevel"/>
    <w:tmpl w:val="22766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4577443">
    <w:abstractNumId w:val="13"/>
  </w:num>
  <w:num w:numId="2" w16cid:durableId="1847479078">
    <w:abstractNumId w:val="8"/>
  </w:num>
  <w:num w:numId="3" w16cid:durableId="2137289368">
    <w:abstractNumId w:val="10"/>
  </w:num>
  <w:num w:numId="4" w16cid:durableId="480922982">
    <w:abstractNumId w:val="17"/>
  </w:num>
  <w:num w:numId="5" w16cid:durableId="442697329">
    <w:abstractNumId w:val="4"/>
  </w:num>
  <w:num w:numId="6" w16cid:durableId="679430935">
    <w:abstractNumId w:val="2"/>
  </w:num>
  <w:num w:numId="7" w16cid:durableId="1417559977">
    <w:abstractNumId w:val="1"/>
  </w:num>
  <w:num w:numId="8" w16cid:durableId="170687716">
    <w:abstractNumId w:val="3"/>
  </w:num>
  <w:num w:numId="9" w16cid:durableId="1781951185">
    <w:abstractNumId w:val="9"/>
  </w:num>
  <w:num w:numId="10" w16cid:durableId="1465200078">
    <w:abstractNumId w:val="18"/>
  </w:num>
  <w:num w:numId="11" w16cid:durableId="811093057">
    <w:abstractNumId w:val="7"/>
  </w:num>
  <w:num w:numId="12" w16cid:durableId="49152257">
    <w:abstractNumId w:val="6"/>
  </w:num>
  <w:num w:numId="13" w16cid:durableId="808282574">
    <w:abstractNumId w:val="14"/>
  </w:num>
  <w:num w:numId="14" w16cid:durableId="995765573">
    <w:abstractNumId w:val="11"/>
  </w:num>
  <w:num w:numId="15" w16cid:durableId="629701750">
    <w:abstractNumId w:val="0"/>
  </w:num>
  <w:num w:numId="16" w16cid:durableId="1035471410">
    <w:abstractNumId w:val="5"/>
  </w:num>
  <w:num w:numId="17" w16cid:durableId="436994688">
    <w:abstractNumId w:val="15"/>
  </w:num>
  <w:num w:numId="18" w16cid:durableId="466360589">
    <w:abstractNumId w:val="16"/>
  </w:num>
  <w:num w:numId="19" w16cid:durableId="21078008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5C2"/>
    <w:rsid w:val="00000D66"/>
    <w:rsid w:val="00054041"/>
    <w:rsid w:val="001240BE"/>
    <w:rsid w:val="0013274A"/>
    <w:rsid w:val="00193E1E"/>
    <w:rsid w:val="001E307E"/>
    <w:rsid w:val="00233C91"/>
    <w:rsid w:val="00247BCC"/>
    <w:rsid w:val="002B250D"/>
    <w:rsid w:val="002F5280"/>
    <w:rsid w:val="002F7D6A"/>
    <w:rsid w:val="003450F8"/>
    <w:rsid w:val="003852C6"/>
    <w:rsid w:val="00435A5A"/>
    <w:rsid w:val="00451451"/>
    <w:rsid w:val="004E497F"/>
    <w:rsid w:val="005A01F6"/>
    <w:rsid w:val="005C4D9D"/>
    <w:rsid w:val="006107DF"/>
    <w:rsid w:val="006B43E6"/>
    <w:rsid w:val="006C0ACA"/>
    <w:rsid w:val="006C3BC6"/>
    <w:rsid w:val="007A7BAF"/>
    <w:rsid w:val="0089161E"/>
    <w:rsid w:val="00893AC4"/>
    <w:rsid w:val="00897765"/>
    <w:rsid w:val="008D25AF"/>
    <w:rsid w:val="009B0D2D"/>
    <w:rsid w:val="009F3F97"/>
    <w:rsid w:val="00A800CA"/>
    <w:rsid w:val="00A85A65"/>
    <w:rsid w:val="00B922A7"/>
    <w:rsid w:val="00C644F1"/>
    <w:rsid w:val="00D025C2"/>
    <w:rsid w:val="00D4674C"/>
    <w:rsid w:val="00D60E77"/>
    <w:rsid w:val="00DC0F27"/>
    <w:rsid w:val="00DE1E5C"/>
    <w:rsid w:val="00E052B3"/>
    <w:rsid w:val="00E274BB"/>
    <w:rsid w:val="00EA5D82"/>
    <w:rsid w:val="00F12773"/>
    <w:rsid w:val="00F554A8"/>
    <w:rsid w:val="00F968D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3EFE9"/>
  <w15:chartTrackingRefBased/>
  <w15:docId w15:val="{C3AAA2B0-C48C-4ACF-AA14-68894C70E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968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8DF"/>
    <w:rPr>
      <w:rFonts w:asciiTheme="majorHAnsi" w:eastAsiaTheme="majorEastAsia" w:hAnsiTheme="majorHAnsi" w:cstheme="majorBidi"/>
      <w:color w:val="2F5496" w:themeColor="accent1" w:themeShade="BF"/>
      <w:sz w:val="32"/>
      <w:szCs w:val="32"/>
    </w:rPr>
  </w:style>
  <w:style w:type="character" w:customStyle="1" w:styleId="ff3">
    <w:name w:val="ff3"/>
    <w:basedOn w:val="DefaultParagraphFont"/>
    <w:rsid w:val="003852C6"/>
  </w:style>
  <w:style w:type="character" w:customStyle="1" w:styleId="ff2">
    <w:name w:val="ff2"/>
    <w:basedOn w:val="DefaultParagraphFont"/>
    <w:rsid w:val="003852C6"/>
  </w:style>
  <w:style w:type="character" w:customStyle="1" w:styleId="reference-text">
    <w:name w:val="reference-text"/>
    <w:basedOn w:val="DefaultParagraphFont"/>
    <w:rsid w:val="00D4674C"/>
  </w:style>
  <w:style w:type="paragraph" w:styleId="ListParagraph">
    <w:name w:val="List Paragraph"/>
    <w:basedOn w:val="Normal"/>
    <w:uiPriority w:val="34"/>
    <w:qFormat/>
    <w:rsid w:val="00DC0F27"/>
    <w:pPr>
      <w:ind w:left="720"/>
      <w:contextualSpacing/>
    </w:pPr>
  </w:style>
  <w:style w:type="paragraph" w:styleId="NormalWeb">
    <w:name w:val="Normal (Web)"/>
    <w:basedOn w:val="Normal"/>
    <w:uiPriority w:val="99"/>
    <w:unhideWhenUsed/>
    <w:rsid w:val="00F12773"/>
    <w:pPr>
      <w:spacing w:before="100" w:beforeAutospacing="1" w:after="100" w:afterAutospacing="1" w:line="240" w:lineRule="auto"/>
    </w:pPr>
    <w:rPr>
      <w:rFonts w:ascii="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40266">
      <w:bodyDiv w:val="1"/>
      <w:marLeft w:val="0"/>
      <w:marRight w:val="0"/>
      <w:marTop w:val="0"/>
      <w:marBottom w:val="0"/>
      <w:divBdr>
        <w:top w:val="none" w:sz="0" w:space="0" w:color="auto"/>
        <w:left w:val="none" w:sz="0" w:space="0" w:color="auto"/>
        <w:bottom w:val="none" w:sz="0" w:space="0" w:color="auto"/>
        <w:right w:val="none" w:sz="0" w:space="0" w:color="auto"/>
      </w:divBdr>
    </w:div>
    <w:div w:id="1117332628">
      <w:bodyDiv w:val="1"/>
      <w:marLeft w:val="0"/>
      <w:marRight w:val="0"/>
      <w:marTop w:val="0"/>
      <w:marBottom w:val="0"/>
      <w:divBdr>
        <w:top w:val="none" w:sz="0" w:space="0" w:color="auto"/>
        <w:left w:val="none" w:sz="0" w:space="0" w:color="auto"/>
        <w:bottom w:val="none" w:sz="0" w:space="0" w:color="auto"/>
        <w:right w:val="none" w:sz="0" w:space="0" w:color="auto"/>
      </w:divBdr>
    </w:div>
    <w:div w:id="1316227425">
      <w:bodyDiv w:val="1"/>
      <w:marLeft w:val="0"/>
      <w:marRight w:val="0"/>
      <w:marTop w:val="0"/>
      <w:marBottom w:val="0"/>
      <w:divBdr>
        <w:top w:val="none" w:sz="0" w:space="0" w:color="auto"/>
        <w:left w:val="none" w:sz="0" w:space="0" w:color="auto"/>
        <w:bottom w:val="none" w:sz="0" w:space="0" w:color="auto"/>
        <w:right w:val="none" w:sz="0" w:space="0" w:color="auto"/>
      </w:divBdr>
    </w:div>
    <w:div w:id="2094425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8573</TotalTime>
  <Pages>15</Pages>
  <Words>5070</Words>
  <Characters>28900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Jones</dc:creator>
  <cp:keywords/>
  <dc:description/>
  <cp:lastModifiedBy>TSANG, AGNES H.L. (Student)</cp:lastModifiedBy>
  <cp:revision>32</cp:revision>
  <dcterms:created xsi:type="dcterms:W3CDTF">2020-11-04T13:29:00Z</dcterms:created>
  <dcterms:modified xsi:type="dcterms:W3CDTF">2025-03-11T12:29:00Z</dcterms:modified>
</cp:coreProperties>
</file>