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12.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before="0" w:after="60" w:line="340" w:lineRule="atLeast"/>
        <w:ind w:left="120" w:right="0" w:firstLine="0"/>
        <w:jc w:val="center"/>
      </w:pPr>
      <w:r>
        <w:br/>
      </w:r>
      <w:r>
        <w:rPr>
          <w:rFonts w:ascii="arial" w:eastAsia="arial" w:hAnsi="arial" w:cs="arial"/>
          <w:b/>
          <w:i w:val="0"/>
          <w:strike w:val="0"/>
          <w:noProof w:val="0"/>
          <w:color w:val="000000"/>
          <w:position w:val="0"/>
          <w:sz w:val="28"/>
          <w:u w:val="none"/>
          <w:vertAlign w:val="baseline"/>
        </w:rPr>
        <w:t xml:space="preserve">Information law—key developments of </w:t>
      </w:r>
      <w:r>
        <w:rPr>
          <w:rFonts w:ascii="arial" w:eastAsia="arial" w:hAnsi="arial" w:cs="arial"/>
          <w:b/>
          <w:i w:val="0"/>
          <w:strike w:val="0"/>
          <w:noProof w:val="0"/>
          <w:color w:val="000000"/>
          <w:position w:val="0"/>
          <w:sz w:val="28"/>
          <w:u w:val="none"/>
          <w:vertAlign w:val="baseline"/>
        </w:rPr>
        <w:t>2024</w:t>
      </w:r>
      <w:r>
        <w:rPr>
          <w:rFonts w:ascii="arial" w:eastAsia="arial" w:hAnsi="arial" w:cs="arial"/>
          <w:b/>
          <w:i w:val="0"/>
          <w:strike w:val="0"/>
          <w:noProof w:val="0"/>
          <w:color w:val="000000"/>
          <w:position w:val="0"/>
          <w:sz w:val="28"/>
          <w:u w:val="none"/>
          <w:vertAlign w:val="baseline"/>
        </w:rPr>
        <w:t xml:space="preserve"> and what to look out for in 2025</w:t>
      </w:r>
    </w:p>
    <w:p/>
    <w:p>
      <w:pPr>
        <w:keepNext w:val="0"/>
        <w:spacing w:before="12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Jump to section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Legislation—UK</w:t>
      </w:r>
      <w:r>
        <w:t xml:space="preserve"> </w:t>
      </w:r>
      <w:r>
        <w:t xml:space="preserve"> </w:t>
      </w:r>
      <w:r>
        <w:t xml:space="preserve"> </w:t>
      </w:r>
      <w:r>
        <w:rPr>
          <w:rFonts w:ascii="arial" w:eastAsia="arial" w:hAnsi="arial" w:cs="arial"/>
          <w:b w:val="0"/>
          <w:i w:val="0"/>
          <w:strike w:val="0"/>
          <w:noProof w:val="0"/>
          <w:color w:val="BCBEC0"/>
          <w:position w:val="0"/>
          <w:sz w:val="20"/>
          <w:u w:val="none"/>
          <w:vertAlign w:val="baseline"/>
        </w:rPr>
        <w:t>|</w:t>
      </w:r>
      <w:r>
        <w:t xml:space="preserve"> </w:t>
      </w:r>
      <w:r>
        <w:t xml:space="preserve"> </w:t>
      </w:r>
      <w:r>
        <w:t xml:space="preserve"> </w:t>
      </w:r>
      <w:r>
        <w:rPr>
          <w:rFonts w:ascii="arial" w:eastAsia="arial" w:hAnsi="arial" w:cs="arial"/>
          <w:b w:val="0"/>
          <w:i w:val="0"/>
          <w:strike w:val="0"/>
          <w:noProof w:val="0"/>
          <w:color w:val="000000"/>
          <w:position w:val="0"/>
          <w:sz w:val="20"/>
          <w:u w:val="none"/>
          <w:vertAlign w:val="baseline"/>
        </w:rPr>
        <w:t>Legislation—EU</w:t>
      </w:r>
      <w:r>
        <w:t xml:space="preserve"> </w:t>
      </w:r>
      <w:r>
        <w:t xml:space="preserve"> </w:t>
      </w:r>
      <w:r>
        <w:t xml:space="preserve"> </w:t>
      </w:r>
      <w:r>
        <w:rPr>
          <w:rFonts w:ascii="arial" w:eastAsia="arial" w:hAnsi="arial" w:cs="arial"/>
          <w:b w:val="0"/>
          <w:i w:val="0"/>
          <w:strike w:val="0"/>
          <w:noProof w:val="0"/>
          <w:color w:val="BCBEC0"/>
          <w:position w:val="0"/>
          <w:sz w:val="20"/>
          <w:u w:val="none"/>
          <w:vertAlign w:val="baseline"/>
        </w:rPr>
        <w:t>|</w:t>
      </w:r>
      <w:r>
        <w:t xml:space="preserve"> </w:t>
      </w:r>
      <w:r>
        <w:t xml:space="preserve"> </w:t>
      </w:r>
      <w:r>
        <w:t xml:space="preserve"> </w:t>
      </w:r>
      <w:r>
        <w:rPr>
          <w:rFonts w:ascii="arial" w:eastAsia="arial" w:hAnsi="arial" w:cs="arial"/>
          <w:b w:val="0"/>
          <w:i w:val="0"/>
          <w:strike w:val="0"/>
          <w:noProof w:val="0"/>
          <w:color w:val="000000"/>
          <w:position w:val="0"/>
          <w:sz w:val="20"/>
          <w:u w:val="none"/>
          <w:vertAlign w:val="baseline"/>
        </w:rPr>
        <w:t>Guidance and consultations—UK</w:t>
      </w:r>
      <w:r>
        <w:t xml:space="preserve"> </w:t>
      </w:r>
      <w:r>
        <w:t xml:space="preserve"> </w:t>
      </w:r>
      <w:r>
        <w:t xml:space="preserve"> </w:t>
      </w:r>
      <w:r>
        <w:rPr>
          <w:rFonts w:ascii="arial" w:eastAsia="arial" w:hAnsi="arial" w:cs="arial"/>
          <w:b w:val="0"/>
          <w:i w:val="0"/>
          <w:strike w:val="0"/>
          <w:noProof w:val="0"/>
          <w:color w:val="BCBEC0"/>
          <w:position w:val="0"/>
          <w:sz w:val="20"/>
          <w:u w:val="none"/>
          <w:vertAlign w:val="baseline"/>
        </w:rPr>
        <w:t>|</w:t>
      </w:r>
      <w:r>
        <w:t xml:space="preserve"> </w:t>
      </w:r>
      <w:r>
        <w:t xml:space="preserve"> </w:t>
      </w:r>
      <w:r>
        <w:t xml:space="preserve"> </w:t>
      </w:r>
      <w:r>
        <w:rPr>
          <w:rFonts w:ascii="arial" w:eastAsia="arial" w:hAnsi="arial" w:cs="arial"/>
          <w:b w:val="0"/>
          <w:i w:val="0"/>
          <w:strike w:val="0"/>
          <w:noProof w:val="0"/>
          <w:color w:val="000000"/>
          <w:position w:val="0"/>
          <w:sz w:val="20"/>
          <w:u w:val="none"/>
          <w:vertAlign w:val="baseline"/>
        </w:rPr>
        <w:t>Guidance and consultations—EU</w:t>
      </w:r>
      <w:r>
        <w:t xml:space="preserve"> </w:t>
      </w:r>
      <w:r>
        <w:t xml:space="preserve"> </w:t>
      </w:r>
      <w:r>
        <w:t xml:space="preserve"> </w:t>
      </w:r>
      <w:r>
        <w:rPr>
          <w:rFonts w:ascii="arial" w:eastAsia="arial" w:hAnsi="arial" w:cs="arial"/>
          <w:b w:val="0"/>
          <w:i w:val="0"/>
          <w:strike w:val="0"/>
          <w:noProof w:val="0"/>
          <w:color w:val="BCBEC0"/>
          <w:position w:val="0"/>
          <w:sz w:val="20"/>
          <w:u w:val="none"/>
          <w:vertAlign w:val="baseline"/>
        </w:rPr>
        <w:t>|</w:t>
      </w:r>
      <w:r>
        <w:t xml:space="preserve"> </w:t>
      </w:r>
      <w:r>
        <w:t xml:space="preserve"> </w:t>
      </w:r>
      <w:r>
        <w:t xml:space="preserve"> </w:t>
      </w:r>
      <w:r>
        <w:rPr>
          <w:rFonts w:ascii="arial" w:eastAsia="arial" w:hAnsi="arial" w:cs="arial"/>
          <w:b w:val="0"/>
          <w:i w:val="0"/>
          <w:strike w:val="0"/>
          <w:noProof w:val="0"/>
          <w:color w:val="000000"/>
          <w:position w:val="0"/>
          <w:sz w:val="20"/>
          <w:u w:val="none"/>
          <w:vertAlign w:val="baseline"/>
        </w:rPr>
        <w:t>Cases</w:t>
      </w:r>
      <w:r>
        <w:rPr>
          <w:rFonts w:ascii="arial" w:eastAsia="arial" w:hAnsi="arial" w:cs="arial"/>
          <w:b w:val="0"/>
          <w:i w:val="0"/>
          <w:strike w:val="0"/>
          <w:noProof w:val="0"/>
          <w:color w:val="000000"/>
          <w:position w:val="0"/>
          <w:sz w:val="20"/>
          <w:u w:val="none"/>
          <w:vertAlign w:val="baseline"/>
        </w:rPr>
        <w:t xml:space="preserve"> and enforcement—UK</w:t>
      </w:r>
      <w:r>
        <w:t xml:space="preserve"> </w:t>
      </w:r>
      <w:r>
        <w:t xml:space="preserve"> </w:t>
      </w:r>
      <w:r>
        <w:t xml:space="preserve"> </w:t>
      </w:r>
      <w:r>
        <w:rPr>
          <w:rFonts w:ascii="arial" w:eastAsia="arial" w:hAnsi="arial" w:cs="arial"/>
          <w:b w:val="0"/>
          <w:i w:val="0"/>
          <w:strike w:val="0"/>
          <w:noProof w:val="0"/>
          <w:color w:val="BCBEC0"/>
          <w:position w:val="0"/>
          <w:sz w:val="20"/>
          <w:u w:val="none"/>
          <w:vertAlign w:val="baseline"/>
        </w:rPr>
        <w:t>|</w:t>
      </w:r>
      <w:r>
        <w:t xml:space="preserve"> </w:t>
      </w:r>
      <w:r>
        <w:t xml:space="preserve"> </w:t>
      </w:r>
      <w:r>
        <w:t xml:space="preserve"> </w:t>
      </w:r>
      <w:r>
        <w:rPr>
          <w:rFonts w:ascii="arial" w:eastAsia="arial" w:hAnsi="arial" w:cs="arial"/>
          <w:b w:val="0"/>
          <w:i w:val="0"/>
          <w:strike w:val="0"/>
          <w:noProof w:val="0"/>
          <w:color w:val="000000"/>
          <w:position w:val="0"/>
          <w:sz w:val="20"/>
          <w:u w:val="none"/>
          <w:vertAlign w:val="baseline"/>
        </w:rPr>
        <w:t>Cases</w:t>
      </w:r>
      <w:r>
        <w:rPr>
          <w:rFonts w:ascii="arial" w:eastAsia="arial" w:hAnsi="arial" w:cs="arial"/>
          <w:b w:val="0"/>
          <w:i w:val="0"/>
          <w:strike w:val="0"/>
          <w:noProof w:val="0"/>
          <w:color w:val="000000"/>
          <w:position w:val="0"/>
          <w:sz w:val="20"/>
          <w:u w:val="none"/>
          <w:vertAlign w:val="baseline"/>
        </w:rPr>
        <w:t xml:space="preserve"> and enforcement—EU</w:t>
      </w:r>
      <w:r>
        <w:t xml:space="preserve"> </w:t>
      </w:r>
      <w:r>
        <w:t xml:space="preserve"> </w:t>
      </w:r>
      <w:r>
        <w:t xml:space="preserve"> </w:t>
      </w:r>
      <w:r>
        <w:rPr>
          <w:rFonts w:ascii="arial" w:eastAsia="arial" w:hAnsi="arial" w:cs="arial"/>
          <w:b w:val="0"/>
          <w:i w:val="0"/>
          <w:strike w:val="0"/>
          <w:noProof w:val="0"/>
          <w:color w:val="BCBEC0"/>
          <w:position w:val="0"/>
          <w:sz w:val="20"/>
          <w:u w:val="none"/>
          <w:vertAlign w:val="baseline"/>
        </w:rPr>
        <w:t>|</w:t>
      </w:r>
      <w:r>
        <w:t xml:space="preserve"> </w:t>
      </w:r>
      <w:r>
        <w:t xml:space="preserve"> </w:t>
      </w:r>
      <w:r>
        <w:t xml:space="preserve"> </w:t>
      </w:r>
      <w:r>
        <w:rPr>
          <w:rFonts w:ascii="arial" w:eastAsia="arial" w:hAnsi="arial" w:cs="arial"/>
          <w:b w:val="0"/>
          <w:i w:val="0"/>
          <w:strike w:val="0"/>
          <w:noProof w:val="0"/>
          <w:color w:val="000000"/>
          <w:position w:val="0"/>
          <w:sz w:val="20"/>
          <w:u w:val="none"/>
          <w:vertAlign w:val="baseline"/>
        </w:rPr>
        <w:t>What to keep an eye out for in 2025?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9 Jan 2025</w:t>
      </w:r>
    </w:p>
    <w:tbl>
      <w:tblPr>
        <w:tblW w:w="102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220"/>
      </w:tblGrid>
      <w:tr>
        <w:tblPrEx>
          <w:tblW w:w="10240" w:type="dxa"/>
          <w:tblInd w:w="120" w:type="dxa"/>
        </w:tblPrEx>
        <w:tc>
          <w:tcPr>
            <w:tcBorders>
              <w:top w:val="single" w:sz="8" w:space="0" w:color="CFD5EB"/>
              <w:left w:val="single" w:sz="8" w:space="0" w:color="CFD5EB"/>
              <w:bottom w:val="single" w:sz="8" w:space="0" w:color="CFD5EB"/>
              <w:right w:val="single" w:sz="8" w:space="0" w:color="CFD5EB"/>
              <w:tl2br w:val="none" w:sz="0" w:space="0" w:color="auto"/>
              <w:tr2bl w:val="none" w:sz="0" w:space="0" w:color="auto"/>
            </w:tcBorders>
            <w:shd w:val="clear" w:color="auto" w:fill="F2F4FA"/>
            <w:tcMar>
              <w:top w:w="120" w:type="dxa"/>
              <w:left w:w="120" w:type="dxa"/>
              <w:bottom w:w="120" w:type="dxa"/>
              <w:right w:w="120" w:type="dxa"/>
            </w:tcMar>
            <w:vAlign w:val="center"/>
          </w:tcPr>
          <w:p>
            <w:pPr>
              <w:spacing w:before="0" w:after="0" w:line="240" w:lineRule="atLeast"/>
              <w:ind w:left="0"/>
              <w:jc w:val="both"/>
            </w:pPr>
            <w:r>
              <w:br/>
            </w:r>
            <w:r>
              <w:rPr>
                <w:rFonts w:ascii="arial" w:eastAsia="arial" w:hAnsi="arial" w:cs="arial"/>
                <w:b w:val="0"/>
                <w:i w:val="0"/>
                <w:strike w:val="0"/>
                <w:noProof w:val="0"/>
                <w:color w:val="000000"/>
                <w:position w:val="0"/>
                <w:sz w:val="18"/>
                <w:u w:val="none"/>
                <w:vertAlign w:val="baseline"/>
              </w:rPr>
              <w:t xml:space="preserve">Welcome to the Information Law yearly highlights for </w:t>
            </w:r>
            <w:r>
              <w:rPr>
                <w:rFonts w:ascii="arial" w:eastAsia="arial" w:hAnsi="arial" w:cs="arial"/>
                <w:b w:val="0"/>
                <w:i w:val="0"/>
                <w:strike w:val="0"/>
                <w:noProof w:val="0"/>
                <w:color w:val="000000"/>
                <w:position w:val="0"/>
                <w:sz w:val="18"/>
                <w:u w:val="none"/>
                <w:vertAlign w:val="baseline"/>
              </w:rPr>
              <w:t>2024</w:t>
            </w:r>
            <w:r>
              <w:rPr>
                <w:rFonts w:ascii="arial" w:eastAsia="arial" w:hAnsi="arial" w:cs="arial"/>
                <w:b w:val="0"/>
                <w:i w:val="0"/>
                <w:strike w:val="0"/>
                <w:noProof w:val="0"/>
                <w:color w:val="000000"/>
                <w:position w:val="0"/>
                <w:sz w:val="18"/>
                <w:u w:val="none"/>
                <w:vertAlign w:val="baseline"/>
              </w:rPr>
              <w:t>: a hand-picked chronological summary of major news analysis and updates related to laws governing the use and dissemination of information and personal data. These highlights look back on developments in key topics such as data protection, ePrivacy, cybersecurity, breach of confidence, misuse of private information, and defamation. Key areas to watch for 2025 are also explored.</w:t>
            </w:r>
            <w:r>
              <w:t>
</w:t>
            </w:r>
          </w:p>
          <w:p/>
        </w:tc>
      </w:tr>
    </w:tbl>
    <w:p>
      <w:pPr>
        <w:keepNext/>
        <w:spacing w:before="12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Legislation—UK</w:t>
      </w:r>
    </w:p>
    <w:p>
      <w:pPr>
        <w:spacing w:line="60" w:lineRule="exact"/>
      </w:pPr>
      <w:r>
        <w:pict>
          <v:line id="_x0000_s1026" style="position:absolute;z-index:251658240" from="0,2pt" to="512pt,2pt" strokecolor="#009ddb" strokeweight="2pt">
            <v:stroke linestyle="single"/>
          </v:line>
        </w:pict>
      </w:r>
    </w:p>
    <w:p>
      <w:pPr>
        <w:spacing w:line="240" w:lineRule="exact"/>
      </w:pP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New regulations protecting consumers from cyber attacks come into force</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Regulations enforcing consumer protections against hacking and cyber attacks came into effect from 29 April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The new regulations mandate that manufacturers of internet-connected smart devices should meet minimum-security standards and ban easily guessable default passwords to deter cyber criminals. The new regulations form part of the Product Security and Telecommunications Infrastructure regime.</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LNB News 29/04/</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16.</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Data Protection and Digital Information Bill lost in outgoing Parliament wash-up period and expansive Data (Use and Access) Bill introduced to newly-elected Parliament</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The Data Protection and Digital Information Bill was lost in the wash-up period that preceded the prorogation of Parliament on Friday, 24 May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and its dissolution on 30 May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for the purposes of the UK general election held on 4 July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as any unfinished business is lost at dissolution. The Bill would have introduced significant data reform. On 23 October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the Data (Use and Access) Bill was introduced to Parliament in the House of Lords. There are many areas where the Data (Use and Access) Bill reflects provisions from the previous government’s Data Protection and Digital Information Bill. However, there are certain key differences, which are discussed by Victoria Horden, partner at Taylor Wessing LLP in News Analysis: A closer look at the Data (Use and Access) Bill of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That News Analysis also discusses who will be impacted by the new Bill, and key takeaways for data protection and privacy practitioners.</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LNB News 29/05/</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66, LNB News 24/10/</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63, LNB News 31/10/</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54 and News Analysis: A closer look at the Data (Use and Access) Bill of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w:t>
      </w:r>
      <w:r>
        <w:t>
</w:t>
      </w:r>
    </w:p>
    <w:p>
      <w:pPr>
        <w:keepNext/>
        <w:spacing w:before="240" w:after="0" w:line="340" w:lineRule="atLeast"/>
        <w:ind w:left="0" w:right="0" w:firstLine="0"/>
        <w:jc w:val="left"/>
      </w:pPr>
      <w:bookmarkStart w:id="0" w:name="Legislation—EU"/>
      <w:bookmarkEnd w:id="0"/>
      <w:r>
        <w:rPr>
          <w:rFonts w:ascii="arial" w:eastAsia="arial" w:hAnsi="arial" w:cs="arial"/>
          <w:b/>
          <w:i w:val="0"/>
          <w:strike w:val="0"/>
          <w:noProof w:val="0"/>
          <w:color w:val="000000"/>
          <w:position w:val="0"/>
          <w:sz w:val="28"/>
          <w:u w:val="none"/>
          <w:vertAlign w:val="baseline"/>
        </w:rPr>
        <w:t>Legislation—EU</w:t>
      </w:r>
    </w:p>
    <w:p>
      <w:pPr>
        <w:spacing w:line="60" w:lineRule="exact"/>
      </w:pPr>
      <w:r>
        <w:pict>
          <v:line id="_x0000_s1027" style="position:absolute;z-index:251659264" from="0,2pt" to="512pt,2pt" strokecolor="#009ddb" strokeweight="2pt">
            <v:stroke linestyle="single"/>
          </v:line>
        </w:pict>
      </w:r>
    </w:p>
    <w:p>
      <w:pPr>
        <w:spacing w:line="240" w:lineRule="exact"/>
      </w:pP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The anti-SLAPP Directive has legal effect</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Demonstrations, blockades, and climate actions have increased over the past years. As companies are prone to be targeted by these actions, sometimes as a response, legal proceedings against ‘activists’ have been initiated. However, litigation against, for example journalists, NGOs and human rights defenders could effectively silence them. To prevent this, the EU adopted Directive (EU)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/1069, the anti-SLAPP Directive. Branda Katan and Daniel Stein, partner and senior associate of Stibbe, analyse the purpose and procedural safeguards of the anti-SLAPP Directive. The anti-SLAPP Directive was published in the Official Journal on 16 April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and took legal effect on 6 May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Member States have two years to implement it into their national laws.</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News Analysis: The anti-SLAPP Directive has legal effect.</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EU AI Act comes into force</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The European Artificial Intelligence Act (EU AI Act) came into force on 1 August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The EU AI Act is designed to ensure that AI is developed and used in a way that safeguards people’s fundamental rights. The majority of rules in the EU AI Act will start applying on 2 August 2026 and Member States have until 2 August 2025 to designate national competent authorities to oversee the application of the rules for AI systems and carry out market surveillance activities. The European Commission is also developing guidelines which will define and set out how the EU AI Act should be implemented, and facilitating co-regulatory instruments like standards and codes of practice. As well as acting as the enforcer for the rules for general-purpose AI models, the European Commission’s AI Office will be the key implementation body for the EU AI Act at EU level.</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LNB News 01/08/</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35 and News Analysis: World's first AI Act takes effect in EU.</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European Commission adopts implementing regulation on NIS2 Directive</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The European Commission adopted the implementing regulation on Directive (EU) 2022/2555 (the NIS2 Directive), setting out cybersecurity risk management measures as well as the </w:t>
      </w:r>
      <w:r>
        <w:rPr>
          <w:rFonts w:ascii="arial" w:eastAsia="arial" w:hAnsi="arial" w:cs="arial"/>
          <w:b w:val="0"/>
          <w:i w:val="0"/>
          <w:strike w:val="0"/>
          <w:noProof w:val="0"/>
          <w:color w:val="000000"/>
          <w:position w:val="0"/>
          <w:sz w:val="20"/>
          <w:u w:val="none"/>
          <w:vertAlign w:val="baseline"/>
        </w:rPr>
        <w:t>cases</w:t>
      </w:r>
      <w:r>
        <w:rPr>
          <w:rFonts w:ascii="arial" w:eastAsia="arial" w:hAnsi="arial" w:cs="arial"/>
          <w:b w:val="0"/>
          <w:i w:val="0"/>
          <w:strike w:val="0"/>
          <w:noProof w:val="0"/>
          <w:color w:val="000000"/>
          <w:position w:val="0"/>
          <w:sz w:val="20"/>
          <w:u w:val="none"/>
          <w:vertAlign w:val="baseline"/>
        </w:rPr>
        <w:t xml:space="preserve"> in which an incident should be considered significant. The implementing regulation will apply to particular categories of companies providing digital services, such as cloud computing service providers, data centre service providers, online marketplaces, online search engines and social networking platforms. This adoption by the European Commission coincided with Member States having to transpose the NIS2 Directive into national law, and, from 18 October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Member States having to apply the necessary measures to comply with the NIS2 cybersecurity rules.</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LNB News 17/10/</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57.</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Council adopts new laws to bolster EU cybersecurity capabilities</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The Council of the EU adopted two new laws to enhance the EU’s cybersecurity capabilities. The EU Cyber Solidarity Act establishes an EU-wide cybersecurity alert system and creates a cybersecurity emergency mechanism, including an EU cybersecurity reserve. A targeted amendment to the Regulation (EU) 2019/881 (EU Cybersecurity Act) enables the future adoption of European certification schemes for managed security services. These measures aim to strengthen the EU’s ability to detect, prepare for, and respond to cybersecurity threats and incidents, while fostering co-operation and resilience across Member States.</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LNB News 02/12/</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43.</w:t>
      </w:r>
      <w:r>
        <w:t>
</w:t>
      </w:r>
    </w:p>
    <w:p>
      <w:pPr>
        <w:keepNext/>
        <w:spacing w:before="240" w:after="0" w:line="340" w:lineRule="atLeast"/>
        <w:ind w:left="0" w:right="0" w:firstLine="0"/>
        <w:jc w:val="left"/>
      </w:pPr>
      <w:bookmarkStart w:id="1" w:name="Guidance and consultations—UK"/>
      <w:bookmarkEnd w:id="1"/>
      <w:r>
        <w:rPr>
          <w:rFonts w:ascii="arial" w:eastAsia="arial" w:hAnsi="arial" w:cs="arial"/>
          <w:b/>
          <w:i w:val="0"/>
          <w:strike w:val="0"/>
          <w:noProof w:val="0"/>
          <w:color w:val="000000"/>
          <w:position w:val="0"/>
          <w:sz w:val="28"/>
          <w:u w:val="none"/>
          <w:vertAlign w:val="baseline"/>
        </w:rPr>
        <w:t>Guidance and consultations—UK</w:t>
      </w:r>
    </w:p>
    <w:p>
      <w:pPr>
        <w:spacing w:line="60" w:lineRule="exact"/>
      </w:pPr>
      <w:r>
        <w:pict>
          <v:line id="_x0000_s1028" style="position:absolute;z-index:251660288" from="0,2pt" to="512pt,2pt" strokecolor="#009ddb" strokeweight="2pt">
            <v:stroke linestyle="single"/>
          </v:line>
        </w:pict>
      </w:r>
    </w:p>
    <w:p>
      <w:pPr>
        <w:spacing w:line="240" w:lineRule="exact"/>
      </w:pP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DSIT publishes AI regulation white paper consultation response</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Following its analysis of evidence received in response to its AI regulation white paper, the Department for Science, Innovation and Technology (DSIT) published the government’s response setting proposals for implementing a proportionate and pro-innovation framework for regulating AI. DSIT highlighted that the government is taking steps to facilitate more agile AI regulation and will provide regulators with the skills and tools needed to address the risks and opportunities of AI. The government also announced investment in AI safety and development including over £100m to help realise new AI innovations and support the technical capabilities of regulators. The government also acknowledged that there may be a </w:t>
      </w:r>
      <w:r>
        <w:rPr>
          <w:rFonts w:ascii="arial" w:eastAsia="arial" w:hAnsi="arial" w:cs="arial"/>
          <w:b w:val="0"/>
          <w:i w:val="0"/>
          <w:strike w:val="0"/>
          <w:noProof w:val="0"/>
          <w:color w:val="000000"/>
          <w:position w:val="0"/>
          <w:sz w:val="20"/>
          <w:u w:val="none"/>
          <w:vertAlign w:val="baseline"/>
        </w:rPr>
        <w:t>case</w:t>
      </w:r>
      <w:r>
        <w:rPr>
          <w:rFonts w:ascii="arial" w:eastAsia="arial" w:hAnsi="arial" w:cs="arial"/>
          <w:b w:val="0"/>
          <w:i w:val="0"/>
          <w:strike w:val="0"/>
          <w:noProof w:val="0"/>
          <w:color w:val="000000"/>
          <w:position w:val="0"/>
          <w:sz w:val="20"/>
          <w:u w:val="none"/>
          <w:vertAlign w:val="baseline"/>
        </w:rPr>
        <w:t xml:space="preserve"> for future targeted binding requirements on developers of highly capable general-purpose AI models, and proposes to work with AI developers, academics, civil society and international partners to further consider this.</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LNB News 06/02/</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56 and LNB News 29/03/2023 39.</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 xml:space="preserve">The ICO’s </w:t>
      </w:r>
      <w:r>
        <w:rPr>
          <w:rFonts w:ascii="arial" w:eastAsia="arial" w:hAnsi="arial" w:cs="arial"/>
          <w:b/>
          <w:i w:val="0"/>
          <w:strike w:val="0"/>
          <w:noProof w:val="0"/>
          <w:color w:val="000000"/>
          <w:position w:val="0"/>
          <w:sz w:val="24"/>
          <w:u w:val="none"/>
          <w:vertAlign w:val="baseline"/>
        </w:rPr>
        <w:t>2024</w:t>
      </w:r>
      <w:r>
        <w:rPr>
          <w:rFonts w:ascii="arial" w:eastAsia="arial" w:hAnsi="arial" w:cs="arial"/>
          <w:b/>
          <w:i w:val="0"/>
          <w:strike w:val="0"/>
          <w:noProof w:val="0"/>
          <w:color w:val="000000"/>
          <w:position w:val="0"/>
          <w:sz w:val="24"/>
          <w:u w:val="none"/>
          <w:vertAlign w:val="baseline"/>
        </w:rPr>
        <w:t xml:space="preserve"> data protection fining guidance</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In March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the Information Commissioner’s Office (ICO) published new guidance setting out how it will determine penalty notices and calculate fines under the UK GDPR. Ellie Ludlam, partner, and Alex Smallwood, associate, of Pinsent Masons, consider this new fining guidance and set out what the ICO will consider when deciding whether to issue a penalty notice and the five-step approach it will use to determine whether to issue a fine.</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See News Analysis: The ICO’s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data protection fining guidance.</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SRA updates warning notice on use of NDAs</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The Solicitor’s Regulatory Authority (SRA) updated its warning notice on the use of non-disclosure agreements (NDAs). The warning notice covers the use of NDAs and is relevant to all NDAs regardless of the context in which they arise. It addresses topics such as the regulatory obligations of those running law firms, the SRA principles, and concerns the SRA has regarding the use of NDAs.</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LNB News 07/08/</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9.</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DSIT consults on changing data protection fees payable to ICO</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DSIT opened a consultation on its proposals to amend the data protection fees that are payable by data controllers to the ICO. The proposed amendments sought to secure the financial resources required to ensure the ICO is able to fulfil its functions, which include the provision of guidance, advice and support to organisations and achieving </w:t>
      </w:r>
      <w:r>
        <w:rPr>
          <w:rFonts w:ascii="arial" w:eastAsia="arial" w:hAnsi="arial" w:cs="arial"/>
          <w:b w:val="0"/>
          <w:i w:val="0"/>
          <w:strike w:val="0"/>
          <w:noProof w:val="0"/>
          <w:color w:val="000000"/>
          <w:position w:val="0"/>
          <w:sz w:val="20"/>
          <w:u w:val="none"/>
          <w:vertAlign w:val="baseline"/>
        </w:rPr>
        <w:t>full</w:t>
      </w:r>
      <w:r>
        <w:rPr>
          <w:rFonts w:ascii="arial" w:eastAsia="arial" w:hAnsi="arial" w:cs="arial"/>
          <w:b w:val="0"/>
          <w:i w:val="0"/>
          <w:strike w:val="0"/>
          <w:noProof w:val="0"/>
          <w:color w:val="000000"/>
          <w:position w:val="0"/>
          <w:sz w:val="20"/>
          <w:u w:val="none"/>
          <w:vertAlign w:val="baseline"/>
        </w:rPr>
        <w:t xml:space="preserve"> cost recovery in line with HM Treasury’s principles on managing public money. The consultation was open until 26 September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and DSIT is analysing the feedback received.</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LNB News 30/08/</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18.</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ICO responds to Meta’s announcement on using user data for AI training</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The ICO addressed Meta’s decision to resume using Facebook and Instagram user data for training generative AI, after Meta paused its plans to do so in June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at the ICO’s request. Meta’s decision to resume its plans to use such data came after it made changes to its approach, including simplifying the process for users to object to the processing and providing a longer window for objections. However, the ICO’s statement provided that organisations must also be transparent about the use of personal data, implement safeguards, and offer a clear route for objections. The ICO specifically clarified that it had not granted regulatory approval for this processing by Meta, and that Meta remains responsible for ensuring and demonstrating ongoing compliance.</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LNB News 16/09/</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31.</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ICO generative AI consultation</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The ICO ran a consultation series from January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on how aspects of data protection law should apply to the development and use of generative AI models, inviting stakeholders to help inform the ICO’s position. The consultation received over 200 responses and covered five key areas: the lawful basis for training generative AI models on web-scraped data; the purpose limitation in the generative AI lifecycle; the accuracy of training data and model outputs; engineering individual rights into generative AI models; and allocating controllership across the generative AI supply chain. Following this consultation, the ICO published its outcomes report on 12 December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LNB News 15/01/</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62, LNB News 18/03/</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66, LNB News 12/04/</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57, LNB News 21/08/</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25 and LNB News 13/12/</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51.</w:t>
      </w:r>
      <w:r>
        <w:t>
</w:t>
      </w:r>
    </w:p>
    <w:p>
      <w:pPr>
        <w:keepNext/>
        <w:spacing w:before="240" w:after="0" w:line="340" w:lineRule="atLeast"/>
        <w:ind w:left="0" w:right="0" w:firstLine="0"/>
        <w:jc w:val="left"/>
      </w:pPr>
      <w:bookmarkStart w:id="2" w:name="Guidance and consultations—EU"/>
      <w:bookmarkEnd w:id="2"/>
      <w:r>
        <w:rPr>
          <w:rFonts w:ascii="arial" w:eastAsia="arial" w:hAnsi="arial" w:cs="arial"/>
          <w:b/>
          <w:i w:val="0"/>
          <w:strike w:val="0"/>
          <w:noProof w:val="0"/>
          <w:color w:val="000000"/>
          <w:position w:val="0"/>
          <w:sz w:val="28"/>
          <w:u w:val="none"/>
          <w:vertAlign w:val="baseline"/>
        </w:rPr>
        <w:t>Guidance and consultations—EU</w:t>
      </w:r>
    </w:p>
    <w:p>
      <w:pPr>
        <w:spacing w:line="60" w:lineRule="exact"/>
      </w:pPr>
      <w:r>
        <w:pict>
          <v:line id="_x0000_s1029" style="position:absolute;z-index:251661312" from="0,2pt" to="512pt,2pt" strokecolor="#009ddb" strokeweight="2pt">
            <v:stroke linestyle="single"/>
          </v:line>
        </w:pict>
      </w:r>
    </w:p>
    <w:p>
      <w:pPr>
        <w:spacing w:line="240" w:lineRule="exact"/>
      </w:pP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EDPB publishes Opinion on ‘consent or pay’ models used by large online platforms</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The European Data Protection Board (EDPB) adopted an Opinion addressing the validity of consent to process personal data for the purposes of behavioural advertising in the context of ‘consent or pay’ models deployed by large online platforms. This Opinion followed a request under Article 64(2) of the EU GDPR by the Dutch, Norwegian and Hamburg Data Protection Authorities (DPAs). The EDPB is of the view that it will be impossible for large online platforms to comply with the requirements for valid consent if users are only presented with a choice between consenting to processing of personal data for behavioural advertising purposes or paying a fee. The EDPB considers that when developing alternatives, large online platforms should consider providing individuals with an ‘equivalent alternative’ that does not entail the payment of a fee and this free alternative should be without behavioural advertising. The EDPB will also develop guidelines on ‘consent or pay’ models with a broader scope and will engage with stakeholders on these upcoming guidelines.</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LNB News 22/04/</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11.</w:t>
      </w:r>
      <w:r>
        <w:t>
</w:t>
      </w:r>
    </w:p>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X</w:t>
      </w:r>
      <w:r>
        <w:rPr>
          <w:rFonts w:ascii="arial" w:eastAsia="arial" w:hAnsi="arial" w:cs="arial"/>
          <w:b/>
          <w:i w:val="0"/>
          <w:strike w:val="0"/>
          <w:noProof w:val="0"/>
          <w:color w:val="000000"/>
          <w:position w:val="0"/>
          <w:sz w:val="24"/>
          <w:u w:val="none"/>
          <w:vertAlign w:val="baseline"/>
        </w:rPr>
        <w:t xml:space="preserve"> suspends processing of personal data of EEA users to train AI tool</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Irish</w:t>
      </w:r>
      <w:r>
        <w:rPr>
          <w:rFonts w:ascii="arial" w:eastAsia="arial" w:hAnsi="arial" w:cs="arial"/>
          <w:b w:val="0"/>
          <w:i w:val="0"/>
          <w:strike w:val="0"/>
          <w:noProof w:val="0"/>
          <w:color w:val="000000"/>
          <w:position w:val="0"/>
          <w:sz w:val="20"/>
          <w:u w:val="none"/>
          <w:vertAlign w:val="baseline"/>
        </w:rPr>
        <w:t xml:space="preserve"> Data Protection Commission (</w:t>
      </w:r>
      <w:r>
        <w:rPr>
          <w:rFonts w:ascii="arial" w:eastAsia="arial" w:hAnsi="arial" w:cs="arial"/>
          <w:b w:val="0"/>
          <w:i w:val="0"/>
          <w:strike w:val="0"/>
          <w:noProof w:val="0"/>
          <w:color w:val="000000"/>
          <w:position w:val="0"/>
          <w:sz w:val="20"/>
          <w:u w:val="none"/>
          <w:vertAlign w:val="baseline"/>
        </w:rPr>
        <w:t>DPC</w:t>
      </w:r>
      <w:r>
        <w:rPr>
          <w:rFonts w:ascii="arial" w:eastAsia="arial" w:hAnsi="arial" w:cs="arial"/>
          <w:b w:val="0"/>
          <w:i w:val="0"/>
          <w:strike w:val="0"/>
          <w:noProof w:val="0"/>
          <w:color w:val="000000"/>
          <w:position w:val="0"/>
          <w:sz w:val="20"/>
          <w:u w:val="none"/>
          <w:vertAlign w:val="baseline"/>
        </w:rPr>
        <w:t xml:space="preserve">) concluded an agreement with </w:t>
      </w:r>
      <w:r>
        <w:rPr>
          <w:rFonts w:ascii="arial" w:eastAsia="arial" w:hAnsi="arial" w:cs="arial"/>
          <w:b w:val="0"/>
          <w:i w:val="0"/>
          <w:strike w:val="0"/>
          <w:noProof w:val="0"/>
          <w:color w:val="000000"/>
          <w:position w:val="0"/>
          <w:sz w:val="20"/>
          <w:u w:val="none"/>
          <w:vertAlign w:val="baseline"/>
        </w:rPr>
        <w:t>X</w:t>
      </w:r>
      <w:r>
        <w:rPr>
          <w:rFonts w:ascii="arial" w:eastAsia="arial" w:hAnsi="arial" w:cs="arial"/>
          <w:b w:val="0"/>
          <w:i w:val="0"/>
          <w:strike w:val="0"/>
          <w:noProof w:val="0"/>
          <w:color w:val="000000"/>
          <w:position w:val="0"/>
          <w:sz w:val="20"/>
          <w:u w:val="none"/>
          <w:vertAlign w:val="baseline"/>
        </w:rPr>
        <w:t xml:space="preserve">, under which the social media platform would suspend its processing of personal data contained in the public posts of </w:t>
      </w:r>
      <w:r>
        <w:rPr>
          <w:rFonts w:ascii="arial" w:eastAsia="arial" w:hAnsi="arial" w:cs="arial"/>
          <w:b w:val="0"/>
          <w:i w:val="0"/>
          <w:strike w:val="0"/>
          <w:noProof w:val="0"/>
          <w:color w:val="000000"/>
          <w:position w:val="0"/>
          <w:sz w:val="20"/>
          <w:u w:val="none"/>
          <w:vertAlign w:val="baseline"/>
        </w:rPr>
        <w:t>X</w:t>
      </w:r>
      <w:r>
        <w:rPr>
          <w:rFonts w:ascii="arial" w:eastAsia="arial" w:hAnsi="arial" w:cs="arial"/>
          <w:b w:val="0"/>
          <w:i w:val="0"/>
          <w:strike w:val="0"/>
          <w:noProof w:val="0"/>
          <w:color w:val="000000"/>
          <w:position w:val="0"/>
          <w:sz w:val="20"/>
          <w:u w:val="none"/>
          <w:vertAlign w:val="baseline"/>
        </w:rPr>
        <w:t xml:space="preserve">’s users based in the EEA between 7 May and 1 August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for the purposes of training its AI tool, known as ‘</w:t>
      </w:r>
      <w:r>
        <w:rPr>
          <w:rFonts w:ascii="arial" w:eastAsia="arial" w:hAnsi="arial" w:cs="arial"/>
          <w:b w:val="0"/>
          <w:i w:val="0"/>
          <w:strike w:val="0"/>
          <w:noProof w:val="0"/>
          <w:color w:val="000000"/>
          <w:position w:val="0"/>
          <w:sz w:val="20"/>
          <w:u w:val="none"/>
          <w:vertAlign w:val="baseline"/>
        </w:rPr>
        <w:t>Grok</w:t>
      </w:r>
      <w:r>
        <w:rPr>
          <w:rFonts w:ascii="arial" w:eastAsia="arial" w:hAnsi="arial" w:cs="arial"/>
          <w:b w:val="0"/>
          <w:i w:val="0"/>
          <w:strike w:val="0"/>
          <w:noProof w:val="0"/>
          <w:color w:val="000000"/>
          <w:position w:val="0"/>
          <w:sz w:val="20"/>
          <w:u w:val="none"/>
          <w:vertAlign w:val="baseline"/>
        </w:rPr>
        <w:t xml:space="preserve">’. The agreement followed an urgent High Court application brought by the </w:t>
      </w:r>
      <w:r>
        <w:rPr>
          <w:rFonts w:ascii="arial" w:eastAsia="arial" w:hAnsi="arial" w:cs="arial"/>
          <w:b w:val="0"/>
          <w:i w:val="0"/>
          <w:strike w:val="0"/>
          <w:noProof w:val="0"/>
          <w:color w:val="000000"/>
          <w:position w:val="0"/>
          <w:sz w:val="20"/>
          <w:u w:val="none"/>
          <w:vertAlign w:val="baseline"/>
        </w:rPr>
        <w:t>DPC</w:t>
      </w:r>
      <w:r>
        <w:rPr>
          <w:rFonts w:ascii="arial" w:eastAsia="arial" w:hAnsi="arial" w:cs="arial"/>
          <w:b w:val="0"/>
          <w:i w:val="0"/>
          <w:strike w:val="0"/>
          <w:noProof w:val="0"/>
          <w:color w:val="000000"/>
          <w:position w:val="0"/>
          <w:sz w:val="20"/>
          <w:u w:val="none"/>
          <w:vertAlign w:val="baseline"/>
        </w:rPr>
        <w:t xml:space="preserve"> under section 134 of the </w:t>
      </w:r>
      <w:r>
        <w:rPr>
          <w:rFonts w:ascii="arial" w:eastAsia="arial" w:hAnsi="arial" w:cs="arial"/>
          <w:b w:val="0"/>
          <w:i w:val="0"/>
          <w:strike w:val="0"/>
          <w:noProof w:val="0"/>
          <w:color w:val="000000"/>
          <w:position w:val="0"/>
          <w:sz w:val="20"/>
          <w:u w:val="none"/>
          <w:vertAlign w:val="baseline"/>
        </w:rPr>
        <w:t>Irish</w:t>
      </w:r>
      <w:r>
        <w:rPr>
          <w:rFonts w:ascii="arial" w:eastAsia="arial" w:hAnsi="arial" w:cs="arial"/>
          <w:b w:val="0"/>
          <w:i w:val="0"/>
          <w:strike w:val="0"/>
          <w:noProof w:val="0"/>
          <w:color w:val="000000"/>
          <w:position w:val="0"/>
          <w:sz w:val="20"/>
          <w:u w:val="none"/>
          <w:vertAlign w:val="baseline"/>
        </w:rPr>
        <w:t xml:space="preserve"> Data Protection Act 2018, which marked the first time the </w:t>
      </w:r>
      <w:r>
        <w:rPr>
          <w:rFonts w:ascii="arial" w:eastAsia="arial" w:hAnsi="arial" w:cs="arial"/>
          <w:b w:val="0"/>
          <w:i w:val="0"/>
          <w:strike w:val="0"/>
          <w:noProof w:val="0"/>
          <w:color w:val="000000"/>
          <w:position w:val="0"/>
          <w:sz w:val="20"/>
          <w:u w:val="none"/>
          <w:vertAlign w:val="baseline"/>
        </w:rPr>
        <w:t>DPC</w:t>
      </w:r>
      <w:r>
        <w:rPr>
          <w:rFonts w:ascii="arial" w:eastAsia="arial" w:hAnsi="arial" w:cs="arial"/>
          <w:b w:val="0"/>
          <w:i w:val="0"/>
          <w:strike w:val="0"/>
          <w:noProof w:val="0"/>
          <w:color w:val="000000"/>
          <w:position w:val="0"/>
          <w:sz w:val="20"/>
          <w:u w:val="none"/>
          <w:vertAlign w:val="baseline"/>
        </w:rPr>
        <w:t xml:space="preserve"> has used its powers provided for by that section. Ms Justice Richards, who heard the application, concluded that the rights and freedoms of data subjects across the EEA were at the core of the application.</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LNB News 09/08/</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12.</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EDPB releases Guidelines 2/2023 clarifying scope of Article 5(3) of EU ePrivacy Directive</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The EDPB published the final version of Guidelines 2/2023 on the technical scope of Article 5(3) of Directive 2009/136/EC (the EU ePrivacy Directive) following a public consultation. These guidelines provide clarity on the applicability of Article 5(3) to new emerging tracking technologies. The guidelines expand upon Opinion 9/2014 of the Article 29 Working Party on the application of the EU ePrivacy Directive to device fingerprinting and aim to provide a clear understanding of the technical operations covered by Article 5(3) of the EU ePrivacy Directive.</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LNB News 16/10/</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31 and News Analysis: A follow-up to the new EDPB guidelines on the scope of the ‘cookie rule’.</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EDPB issues Opinion on the compliance of AI models with EU GDPR principles</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The EDPB adopted an Opinion on the use of personal data in AI model development and deployment. The Opinion provides guidance on determining AI model anonymity, assessing legitimate interest as a legal basis for processing in the context of AI model development and deployment, and addressing the implications of unlawful data processing in the development of an AI model. The Opinion offers a framework for </w:t>
      </w:r>
      <w:r>
        <w:rPr>
          <w:rFonts w:ascii="arial" w:eastAsia="arial" w:hAnsi="arial" w:cs="arial"/>
          <w:b w:val="0"/>
          <w:i w:val="0"/>
          <w:strike w:val="0"/>
          <w:noProof w:val="0"/>
          <w:color w:val="000000"/>
          <w:position w:val="0"/>
          <w:sz w:val="20"/>
          <w:u w:val="none"/>
          <w:vertAlign w:val="baseline"/>
        </w:rPr>
        <w:t>case</w:t>
      </w:r>
      <w:r>
        <w:rPr>
          <w:rFonts w:ascii="arial" w:eastAsia="arial" w:hAnsi="arial" w:cs="arial"/>
          <w:b w:val="0"/>
          <w:i w:val="0"/>
          <w:strike w:val="0"/>
          <w:noProof w:val="0"/>
          <w:color w:val="000000"/>
          <w:position w:val="0"/>
          <w:sz w:val="20"/>
          <w:u w:val="none"/>
          <w:vertAlign w:val="baseline"/>
        </w:rPr>
        <w:t>-by-</w:t>
      </w:r>
      <w:r>
        <w:rPr>
          <w:rFonts w:ascii="arial" w:eastAsia="arial" w:hAnsi="arial" w:cs="arial"/>
          <w:b w:val="0"/>
          <w:i w:val="0"/>
          <w:strike w:val="0"/>
          <w:noProof w:val="0"/>
          <w:color w:val="000000"/>
          <w:position w:val="0"/>
          <w:sz w:val="20"/>
          <w:u w:val="none"/>
          <w:vertAlign w:val="baseline"/>
        </w:rPr>
        <w:t>case</w:t>
      </w:r>
      <w:r>
        <w:rPr>
          <w:rFonts w:ascii="arial" w:eastAsia="arial" w:hAnsi="arial" w:cs="arial"/>
          <w:b w:val="0"/>
          <w:i w:val="0"/>
          <w:strike w:val="0"/>
          <w:noProof w:val="0"/>
          <w:color w:val="000000"/>
          <w:position w:val="0"/>
          <w:sz w:val="20"/>
          <w:u w:val="none"/>
          <w:vertAlign w:val="baseline"/>
        </w:rPr>
        <w:t xml:space="preserve"> analysis, considering the rapid evolution and diversity of AI models, and includes criteria for evaluating reasonable expectations of data use and potential mitigating measures.</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LNB News 18/12/</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49.</w:t>
      </w:r>
      <w:r>
        <w:t>
</w:t>
      </w:r>
    </w:p>
    <w:p>
      <w:pPr>
        <w:keepNext/>
        <w:spacing w:before="240" w:after="0" w:line="340" w:lineRule="atLeast"/>
        <w:ind w:left="0" w:right="0" w:firstLine="0"/>
        <w:jc w:val="left"/>
      </w:pPr>
      <w:r>
        <w:rPr>
          <w:rFonts w:ascii="arial" w:eastAsia="arial" w:hAnsi="arial" w:cs="arial"/>
          <w:b/>
          <w:i w:val="0"/>
          <w:strike w:val="0"/>
          <w:noProof w:val="0"/>
          <w:color w:val="000000"/>
          <w:position w:val="0"/>
          <w:sz w:val="28"/>
          <w:u w:val="none"/>
          <w:vertAlign w:val="baseline"/>
        </w:rPr>
        <w:t>Cases</w:t>
      </w:r>
      <w:bookmarkStart w:id="3" w:name="Cases and enforcement—UK"/>
      <w:bookmarkEnd w:id="3"/>
      <w:r>
        <w:rPr>
          <w:rFonts w:ascii="arial" w:eastAsia="arial" w:hAnsi="arial" w:cs="arial"/>
          <w:b/>
          <w:i w:val="0"/>
          <w:strike w:val="0"/>
          <w:noProof w:val="0"/>
          <w:color w:val="000000"/>
          <w:position w:val="0"/>
          <w:sz w:val="28"/>
          <w:u w:val="none"/>
          <w:vertAlign w:val="baseline"/>
        </w:rPr>
        <w:t xml:space="preserve"> and enforcement—UK</w:t>
      </w:r>
    </w:p>
    <w:p>
      <w:pPr>
        <w:spacing w:line="60" w:lineRule="exact"/>
      </w:pPr>
      <w:r>
        <w:pict>
          <v:line id="_x0000_s1030" style="position:absolute;z-index:251662336" from="0,2pt" to="512pt,2pt" strokecolor="#009ddb" strokeweight="2pt">
            <v:stroke linestyle="single"/>
          </v:line>
        </w:pict>
      </w:r>
    </w:p>
    <w:p>
      <w:pPr>
        <w:spacing w:line="240" w:lineRule="exact"/>
      </w:pP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Court of Appeal considers the serious harm test in libel (Amersi v Leslie)</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In this application to the Court of Appeal for leave to appeal the strike out of a libel claim, the court considered the meaning of the ‘serious harm’ test in section 1 of the Defamation Act 2013 (DA 2013). It considered whether it is necessary for the claimant to prove in the </w:t>
      </w:r>
      <w:r>
        <w:rPr>
          <w:rFonts w:ascii="arial" w:eastAsia="arial" w:hAnsi="arial" w:cs="arial"/>
          <w:b w:val="0"/>
          <w:i w:val="0"/>
          <w:strike w:val="0"/>
          <w:noProof w:val="0"/>
          <w:color w:val="000000"/>
          <w:position w:val="0"/>
          <w:sz w:val="20"/>
          <w:u w:val="none"/>
          <w:vertAlign w:val="baseline"/>
        </w:rPr>
        <w:t>case</w:t>
      </w:r>
      <w:r>
        <w:rPr>
          <w:rFonts w:ascii="arial" w:eastAsia="arial" w:hAnsi="arial" w:cs="arial"/>
          <w:b w:val="0"/>
          <w:i w:val="0"/>
          <w:strike w:val="0"/>
          <w:noProof w:val="0"/>
          <w:color w:val="000000"/>
          <w:position w:val="0"/>
          <w:sz w:val="20"/>
          <w:u w:val="none"/>
          <w:vertAlign w:val="baseline"/>
        </w:rPr>
        <w:t xml:space="preserve"> of multiple publications that each publication of that statement taken by itself caused serious harm to reputation or whether the overall, cumulative, or aggregate defamatory impact of the publication of the statement is sufficient to satisfy the test. The court considered it arguable that the latter was sufficient. It also considered whether ‘slipper’ damages (damages for harm caused when the original publishee repeats the defamatory statement or its gist to others) are only available where it is first proved that the initial publication of a defamatory statement has caused or is likely to cause serious harm to reputation. The court took the view that the claimant’s argument that slipper damage is itself reputational harm caused by the original publication within the meaning of DA 2013, s 1 had a reasonable prospect of success. However, the court refused leave to appeal on the basis that even if there had been an error of law, the appeal did not have a reasonable prospect of success based upon the pleaded </w:t>
      </w:r>
      <w:r>
        <w:rPr>
          <w:rFonts w:ascii="arial" w:eastAsia="arial" w:hAnsi="arial" w:cs="arial"/>
          <w:b w:val="0"/>
          <w:i w:val="0"/>
          <w:strike w:val="0"/>
          <w:noProof w:val="0"/>
          <w:color w:val="000000"/>
          <w:position w:val="0"/>
          <w:sz w:val="20"/>
          <w:u w:val="none"/>
          <w:vertAlign w:val="baseline"/>
        </w:rPr>
        <w:t>case</w:t>
      </w:r>
      <w:r>
        <w:rPr>
          <w:rFonts w:ascii="arial" w:eastAsia="arial" w:hAnsi="arial" w:cs="arial"/>
          <w:b w:val="0"/>
          <w:i w:val="0"/>
          <w:strike w:val="0"/>
          <w:noProof w:val="0"/>
          <w:color w:val="000000"/>
          <w:position w:val="0"/>
          <w:sz w:val="20"/>
          <w:u w:val="none"/>
          <w:vertAlign w:val="baseline"/>
        </w:rPr>
        <w:t xml:space="preserve"> (permission to amend had been refused) and the facts. Written by Carolyn Pepper, partner, Reed Smith LLP.</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News Analysis: Court of Appeal considers the serious harm test in libel (Amersi v Leslie).</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Confidentiality of misappropriated documents upheld, despite previous deployment in tribunal proceedings (Payone GbmH v Jerry Kofi Logo)</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The defendant in this </w:t>
      </w:r>
      <w:r>
        <w:rPr>
          <w:rFonts w:ascii="arial" w:eastAsia="arial" w:hAnsi="arial" w:cs="arial"/>
          <w:b w:val="0"/>
          <w:i w:val="0"/>
          <w:strike w:val="0"/>
          <w:noProof w:val="0"/>
          <w:color w:val="000000"/>
          <w:position w:val="0"/>
          <w:sz w:val="20"/>
          <w:u w:val="none"/>
          <w:vertAlign w:val="baseline"/>
        </w:rPr>
        <w:t>case</w:t>
      </w:r>
      <w:r>
        <w:rPr>
          <w:rFonts w:ascii="arial" w:eastAsia="arial" w:hAnsi="arial" w:cs="arial"/>
          <w:b w:val="0"/>
          <w:i w:val="0"/>
          <w:strike w:val="0"/>
          <w:noProof w:val="0"/>
          <w:color w:val="000000"/>
          <w:position w:val="0"/>
          <w:sz w:val="20"/>
          <w:u w:val="none"/>
          <w:vertAlign w:val="baseline"/>
        </w:rPr>
        <w:t xml:space="preserve"> argued that confidential documents he had misappropriated during his employment were now ‘in the public domain’ due to their disclosure in separate Employment Tribunal proceedings between the parties, and therefore no longer subject to confidentiality. The High Court held that reference to documents in open court and inclusion of documents in court bundles did not automatically negate confidence, and that here the documents remained confidential and imposed an injunction in relation to their further disclosure. Factors taken into account in this determination included: the wrongful acts of the defendant in initially obtaining the information; the fact that the documents were not accessible to the public without an application to the court (and that no such applications had been made); and the nature and sensitivity of the confidential information itself, which included personal and financial data of personnel and customers of the claimant. Written by Catherine Keeling, associate at Ropes &amp; Gray LLP.</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News Analysis: Confidentiality of misappropriated documents upheld, despite previous deployment in tribunal proceedings (Payone GbmH v Jerry Kofi Logo).</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 xml:space="preserve">Competing rights and the ongoing relevance of EU </w:t>
      </w:r>
      <w:r>
        <w:rPr>
          <w:rFonts w:ascii="arial" w:eastAsia="arial" w:hAnsi="arial" w:cs="arial"/>
          <w:b/>
          <w:i w:val="0"/>
          <w:strike w:val="0"/>
          <w:noProof w:val="0"/>
          <w:color w:val="000000"/>
          <w:position w:val="0"/>
          <w:sz w:val="24"/>
          <w:u w:val="none"/>
          <w:vertAlign w:val="baseline"/>
        </w:rPr>
        <w:t>case</w:t>
      </w:r>
      <w:r>
        <w:rPr>
          <w:rFonts w:ascii="arial" w:eastAsia="arial" w:hAnsi="arial" w:cs="arial"/>
          <w:b/>
          <w:i w:val="0"/>
          <w:strike w:val="0"/>
          <w:noProof w:val="0"/>
          <w:color w:val="000000"/>
          <w:position w:val="0"/>
          <w:sz w:val="24"/>
          <w:u w:val="none"/>
          <w:vertAlign w:val="baseline"/>
        </w:rPr>
        <w:t xml:space="preserve"> law in the UK—in what circumstances can a data controller refuse to disclose third-party identities in response to a data subject access request? (Harrison v Cameron)</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The High Court handed down a judgment on 7 June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ruling that the claimant was not entitled to know the identities of recipients of recordings of phone calls, during which he had subjected the director of a supplier company (and the director’s family) to verbal threats. The High Court found that the defendant would have a legal requirement, under Article 15(c) of the UK GDPR, to disclose the identities in response to the claimant’s data subject access request. However, the ‘rights of others exemption’ applied in this context as it would be unreasonable for the defendant to disclose third-party data (ie recipients’ identities) on the basis of safety concerns. The High Court also considered other data protection issues, such as the definition of ‘controller’, the scope of the ‘personal or household activities’ exemption and the relevance of both EU </w:t>
      </w:r>
      <w:r>
        <w:rPr>
          <w:rFonts w:ascii="arial" w:eastAsia="arial" w:hAnsi="arial" w:cs="arial"/>
          <w:b w:val="0"/>
          <w:i w:val="0"/>
          <w:strike w:val="0"/>
          <w:noProof w:val="0"/>
          <w:color w:val="000000"/>
          <w:position w:val="0"/>
          <w:sz w:val="20"/>
          <w:u w:val="none"/>
          <w:vertAlign w:val="baseline"/>
        </w:rPr>
        <w:t>case</w:t>
      </w:r>
      <w:r>
        <w:rPr>
          <w:rFonts w:ascii="arial" w:eastAsia="arial" w:hAnsi="arial" w:cs="arial"/>
          <w:b w:val="0"/>
          <w:i w:val="0"/>
          <w:strike w:val="0"/>
          <w:noProof w:val="0"/>
          <w:color w:val="000000"/>
          <w:position w:val="0"/>
          <w:sz w:val="20"/>
          <w:u w:val="none"/>
          <w:vertAlign w:val="baseline"/>
        </w:rPr>
        <w:t xml:space="preserve"> law and UK </w:t>
      </w:r>
      <w:r>
        <w:rPr>
          <w:rFonts w:ascii="arial" w:eastAsia="arial" w:hAnsi="arial" w:cs="arial"/>
          <w:b w:val="0"/>
          <w:i w:val="0"/>
          <w:strike w:val="0"/>
          <w:noProof w:val="0"/>
          <w:color w:val="000000"/>
          <w:position w:val="0"/>
          <w:sz w:val="20"/>
          <w:u w:val="none"/>
          <w:vertAlign w:val="baseline"/>
        </w:rPr>
        <w:t>case</w:t>
      </w:r>
      <w:r>
        <w:rPr>
          <w:rFonts w:ascii="arial" w:eastAsia="arial" w:hAnsi="arial" w:cs="arial"/>
          <w:b w:val="0"/>
          <w:i w:val="0"/>
          <w:strike w:val="0"/>
          <w:noProof w:val="0"/>
          <w:color w:val="000000"/>
          <w:position w:val="0"/>
          <w:sz w:val="20"/>
          <w:u w:val="none"/>
          <w:vertAlign w:val="baseline"/>
        </w:rPr>
        <w:t xml:space="preserve"> law which considered the old data protection regime. Written by Marija Nonkovic, associate at Kemp IT Law.</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See News Analysis: Competing rights and the ongoing relevance of EU </w:t>
      </w:r>
      <w:r>
        <w:rPr>
          <w:rFonts w:ascii="arial" w:eastAsia="arial" w:hAnsi="arial" w:cs="arial"/>
          <w:b w:val="0"/>
          <w:i w:val="0"/>
          <w:strike w:val="0"/>
          <w:noProof w:val="0"/>
          <w:color w:val="000000"/>
          <w:position w:val="0"/>
          <w:sz w:val="20"/>
          <w:u w:val="none"/>
          <w:vertAlign w:val="baseline"/>
        </w:rPr>
        <w:t>case</w:t>
      </w:r>
      <w:r>
        <w:rPr>
          <w:rFonts w:ascii="arial" w:eastAsia="arial" w:hAnsi="arial" w:cs="arial"/>
          <w:b w:val="0"/>
          <w:i w:val="0"/>
          <w:strike w:val="0"/>
          <w:noProof w:val="0"/>
          <w:color w:val="000000"/>
          <w:position w:val="0"/>
          <w:sz w:val="20"/>
          <w:u w:val="none"/>
          <w:vertAlign w:val="baseline"/>
        </w:rPr>
        <w:t xml:space="preserve"> law in the UK—in what circumstances can a data controller refuse to disclose third party identities in response to a data subject access request? (Harrison v Cameron and another company).</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Supreme Court clarifies scope of malicious falsehood (George v Cannell)</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The Supreme Court clarified the scope of the tort of malicious falsehood, in particular the effect of section 3 of the Defamation Act 1952 (DA 1952) and the requirement to prove special damage (financial loss). It held, by a 3:2 majority, that where DA 1952, s 3 applies, it creates an irrebuttable presumption of financial loss. However, if, as here, no loss was in fact caused, the claimant will be entitled only to nominal damages. The court held further that damages for mental distress are possible, but only where the financial loss is significant and causes the injury. Written by Isabella Piasecka, knowledge lawyer, managing associate at Mishcon de Reya.</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News Analysis: Supreme Court clarifies scope of malicious falsehood (George v Cannell).</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Court of Appeal confirms wide ambit of ‘processing’ under UK data protection laws (Farley v Paymaster (1836) Ltd, trading as Equiniti)</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The Court of Appeal in London granted the applicants permission to appeal a decision by the High Court to strike out a claim for infringement of data protection rights. In </w:t>
      </w:r>
      <w:r>
        <w:rPr>
          <w:rFonts w:ascii="arial" w:eastAsia="arial" w:hAnsi="arial" w:cs="arial"/>
          <w:b w:val="0"/>
          <w:i/>
          <w:strike w:val="0"/>
          <w:noProof w:val="0"/>
          <w:color w:val="000000"/>
          <w:position w:val="0"/>
          <w:sz w:val="20"/>
          <w:u w:val="none"/>
          <w:vertAlign w:val="baseline"/>
        </w:rPr>
        <w:t>Farley v Paymaster (1836) Limited (trading as Equiniti)</w:t>
      </w:r>
      <w:r>
        <w:rPr>
          <w:rFonts w:ascii="arial" w:eastAsia="arial" w:hAnsi="arial" w:cs="arial"/>
          <w:b w:val="0"/>
          <w:i w:val="0"/>
          <w:strike w:val="0"/>
          <w:noProof w:val="0"/>
          <w:color w:val="000000"/>
          <w:position w:val="0"/>
          <w:sz w:val="20"/>
          <w:u w:val="none"/>
          <w:vertAlign w:val="baseline"/>
        </w:rPr>
        <w:t xml:space="preserve">, the High Court rejected a submission that compensation could be claimed for anxiety or distress suffered as a result of the apprehension arising from the possibility of personal data being disclosed to a third party. The Court of Appeal agreed with the applicants that the High Court was wrong in law, and that the applicants had a tenable </w:t>
      </w:r>
      <w:r>
        <w:rPr>
          <w:rFonts w:ascii="arial" w:eastAsia="arial" w:hAnsi="arial" w:cs="arial"/>
          <w:b w:val="0"/>
          <w:i w:val="0"/>
          <w:strike w:val="0"/>
          <w:noProof w:val="0"/>
          <w:color w:val="000000"/>
          <w:position w:val="0"/>
          <w:sz w:val="20"/>
          <w:u w:val="none"/>
          <w:vertAlign w:val="baseline"/>
        </w:rPr>
        <w:t>case</w:t>
      </w:r>
      <w:r>
        <w:rPr>
          <w:rFonts w:ascii="arial" w:eastAsia="arial" w:hAnsi="arial" w:cs="arial"/>
          <w:b w:val="0"/>
          <w:i w:val="0"/>
          <w:strike w:val="0"/>
          <w:noProof w:val="0"/>
          <w:color w:val="000000"/>
          <w:position w:val="0"/>
          <w:sz w:val="20"/>
          <w:u w:val="none"/>
          <w:vertAlign w:val="baseline"/>
        </w:rPr>
        <w:t xml:space="preserve"> for a cause of action of compensation for distress caused by infringement of their data protection rights, independent of whether the personal data was actually accessed by a third party. Written by Christopher Foo, associate at Ropes &amp; Gray LLP.</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News Analysis: Court of Appeal confirms wide ambit of ‘processing’ under UK data protection laws (Farley v Paymaster (1836) Ltd, trading as Equiniti).</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Clarification of Hunter and Jameel abuse (Mueen-Uddin v Secretary of State)</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The Supreme Court held that claims seeking to undermine convictions from a court in another jurisdiction will not always constitute Hunter abuse of process if that other court did not provide the claimant the opportunity to contest the conviction </w:t>
      </w:r>
      <w:r>
        <w:rPr>
          <w:rFonts w:ascii="arial" w:eastAsia="arial" w:hAnsi="arial" w:cs="arial"/>
          <w:b w:val="0"/>
          <w:i w:val="0"/>
          <w:strike w:val="0"/>
          <w:noProof w:val="0"/>
          <w:color w:val="000000"/>
          <w:position w:val="0"/>
          <w:sz w:val="20"/>
          <w:u w:val="none"/>
          <w:vertAlign w:val="baseline"/>
        </w:rPr>
        <w:t>fully</w:t>
      </w:r>
      <w:r>
        <w:rPr>
          <w:rFonts w:ascii="arial" w:eastAsia="arial" w:hAnsi="arial" w:cs="arial"/>
          <w:b w:val="0"/>
          <w:i w:val="0"/>
          <w:strike w:val="0"/>
          <w:noProof w:val="0"/>
          <w:color w:val="000000"/>
          <w:position w:val="0"/>
          <w:sz w:val="20"/>
          <w:u w:val="none"/>
          <w:vertAlign w:val="baseline"/>
        </w:rPr>
        <w:t>. The Supreme Court clarified that Jameel abuse occurs when the claim would not be able to achieve the legitimate aim of vindicating the claimant’s reputation; rather than merely whether the potential costs of pursuing an action might outweigh the damages likely to be awarded. It was confirmed that defendants bear the burden of proof in proving a defence of truth. Any potential difficulties in proving the truth of an allegation must be their risk to run and cannot therefore contribute towards a finding of abuse of process. Finally, the Supreme Court held that considerations relevant to Hunter and Jameel abuse cannot be ‘lumped together’ to ground a general finding of abuse. Written by Dr Anton van Dellen, barrister and Natasha Niccolls, pupil barrister at Fraser Chambers.</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News Analysis: Clarification of Hunter and Jameel abuse (Mueen-Uddin v Secretary of State).</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Police Service of Northern Ireland fined £750,000 for breaching UK GDPR</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The ICO fined the Police Service of Northern Ireland (PSNI) £750,000 for breaches of the UK GDPR. It was found that, between 25 May 2018 and 14 June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the PSNI did not carry out processing of its employees’ data with appropriate security or with appropriate technical and organisational measures in place, contrary to Articles 5(1)(f) and 32 of the UK GDPR. This resulted in the personal data of 9,483 police officers and staff being disclosed to the public. Due to the current financial position of the PSNI, the ICO decided to apply the public sector enforcement approach, reducing the penalty from an original determination of £5.6m.</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LNB News 03/10/</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32.</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Doorstep Dispensaree Ltd v Information Commissioner</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This was an appeal brought by Doorstep Dispensaree Ltd (the Data Controller) against the judgment handed down by the Upper Tribunal on 1 June 2023 in </w:t>
      </w:r>
      <w:r>
        <w:rPr>
          <w:rFonts w:ascii="arial" w:eastAsia="arial" w:hAnsi="arial" w:cs="arial"/>
          <w:b w:val="0"/>
          <w:i/>
          <w:strike w:val="0"/>
          <w:noProof w:val="0"/>
          <w:color w:val="000000"/>
          <w:position w:val="0"/>
          <w:sz w:val="20"/>
          <w:u w:val="none"/>
          <w:vertAlign w:val="baseline"/>
        </w:rPr>
        <w:t>Doorstep Dispensaree Ltd v Information Commissioner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1 WLR 575. The Upper Tribunal had dismissed an appeal brought by the Data Controller against the judgment of the First-tier Tribunal (FTT) on 9 August 2021. The </w:t>
      </w:r>
      <w:r>
        <w:rPr>
          <w:rFonts w:ascii="arial" w:eastAsia="arial" w:hAnsi="arial" w:cs="arial"/>
          <w:b w:val="0"/>
          <w:i w:val="0"/>
          <w:strike w:val="0"/>
          <w:noProof w:val="0"/>
          <w:color w:val="000000"/>
          <w:position w:val="0"/>
          <w:sz w:val="20"/>
          <w:u w:val="none"/>
          <w:vertAlign w:val="baseline"/>
        </w:rPr>
        <w:t>case</w:t>
      </w:r>
      <w:r>
        <w:rPr>
          <w:rFonts w:ascii="arial" w:eastAsia="arial" w:hAnsi="arial" w:cs="arial"/>
          <w:b w:val="0"/>
          <w:i w:val="0"/>
          <w:strike w:val="0"/>
          <w:noProof w:val="0"/>
          <w:color w:val="000000"/>
          <w:position w:val="0"/>
          <w:sz w:val="20"/>
          <w:u w:val="none"/>
          <w:vertAlign w:val="baseline"/>
        </w:rPr>
        <w:t xml:space="preserve"> originally brought before the FTT by the Data Controller was an appeal under section 162 of the Data Protection Act 2018 (DPA 2018) against a monetary penalty notice issued by the Information Commissioner (now the ICO) against the Data Controller. The ICO had found the Data Controller in breach of several provisions of the EU GDPR, which was in force in the UK at the time. The Court of Appeal held that the burden of proof lies on the appellant in an appeal against the imposition of a penalty by the ICO under DPA 2018, s 155 (ie in this </w:t>
      </w:r>
      <w:r>
        <w:rPr>
          <w:rFonts w:ascii="arial" w:eastAsia="arial" w:hAnsi="arial" w:cs="arial"/>
          <w:b w:val="0"/>
          <w:i w:val="0"/>
          <w:strike w:val="0"/>
          <w:noProof w:val="0"/>
          <w:color w:val="000000"/>
          <w:position w:val="0"/>
          <w:sz w:val="20"/>
          <w:u w:val="none"/>
          <w:vertAlign w:val="baseline"/>
        </w:rPr>
        <w:t>case</w:t>
      </w:r>
      <w:r>
        <w:rPr>
          <w:rFonts w:ascii="arial" w:eastAsia="arial" w:hAnsi="arial" w:cs="arial"/>
          <w:b w:val="0"/>
          <w:i w:val="0"/>
          <w:strike w:val="0"/>
          <w:noProof w:val="0"/>
          <w:color w:val="000000"/>
          <w:position w:val="0"/>
          <w:sz w:val="20"/>
          <w:u w:val="none"/>
          <w:vertAlign w:val="baseline"/>
        </w:rPr>
        <w:t xml:space="preserve">, the Data Controller). It held that while the FTT must consider the merits of the </w:t>
      </w:r>
      <w:r>
        <w:rPr>
          <w:rFonts w:ascii="arial" w:eastAsia="arial" w:hAnsi="arial" w:cs="arial"/>
          <w:b w:val="0"/>
          <w:i w:val="0"/>
          <w:strike w:val="0"/>
          <w:noProof w:val="0"/>
          <w:color w:val="000000"/>
          <w:position w:val="0"/>
          <w:sz w:val="20"/>
          <w:u w:val="none"/>
          <w:vertAlign w:val="baseline"/>
        </w:rPr>
        <w:t>case</w:t>
      </w:r>
      <w:r>
        <w:rPr>
          <w:rFonts w:ascii="arial" w:eastAsia="arial" w:hAnsi="arial" w:cs="arial"/>
          <w:b w:val="0"/>
          <w:i w:val="0"/>
          <w:strike w:val="0"/>
          <w:noProof w:val="0"/>
          <w:color w:val="000000"/>
          <w:position w:val="0"/>
          <w:sz w:val="20"/>
          <w:u w:val="none"/>
          <w:vertAlign w:val="baseline"/>
        </w:rPr>
        <w:t xml:space="preserve"> in its own judgment, when exercising its own discretion the FTT can also attach weight to the fact that statements in a monetary penalty notice were informed by the knowledge and expertise of the ICO.</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Doorstep Dispensaree Ltd v Information Commissioner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EWCA Civ 1515 and Practice Note: Data protection, privacy and confidential information </w:t>
      </w:r>
      <w:r>
        <w:rPr>
          <w:rFonts w:ascii="arial" w:eastAsia="arial" w:hAnsi="arial" w:cs="arial"/>
          <w:b w:val="0"/>
          <w:i w:val="0"/>
          <w:strike w:val="0"/>
          <w:noProof w:val="0"/>
          <w:color w:val="000000"/>
          <w:position w:val="0"/>
          <w:sz w:val="20"/>
          <w:u w:val="none"/>
          <w:vertAlign w:val="baseline"/>
        </w:rPr>
        <w:t>case</w:t>
      </w:r>
      <w:r>
        <w:rPr>
          <w:rFonts w:ascii="arial" w:eastAsia="arial" w:hAnsi="arial" w:cs="arial"/>
          <w:b w:val="0"/>
          <w:i w:val="0"/>
          <w:strike w:val="0"/>
          <w:noProof w:val="0"/>
          <w:color w:val="000000"/>
          <w:position w:val="0"/>
          <w:sz w:val="20"/>
          <w:u w:val="none"/>
          <w:vertAlign w:val="baseline"/>
        </w:rPr>
        <w:t xml:space="preserve"> law tracker.</w:t>
      </w:r>
      <w:r>
        <w:t>
</w:t>
      </w:r>
    </w:p>
    <w:p>
      <w:pPr>
        <w:keepNext/>
        <w:spacing w:before="240" w:after="0" w:line="340" w:lineRule="atLeast"/>
        <w:ind w:left="0" w:right="0" w:firstLine="0"/>
        <w:jc w:val="left"/>
      </w:pPr>
      <w:r>
        <w:rPr>
          <w:rFonts w:ascii="arial" w:eastAsia="arial" w:hAnsi="arial" w:cs="arial"/>
          <w:b/>
          <w:i w:val="0"/>
          <w:strike w:val="0"/>
          <w:noProof w:val="0"/>
          <w:color w:val="000000"/>
          <w:position w:val="0"/>
          <w:sz w:val="28"/>
          <w:u w:val="none"/>
          <w:vertAlign w:val="baseline"/>
        </w:rPr>
        <w:t>Cases</w:t>
      </w:r>
      <w:bookmarkStart w:id="4" w:name="Cases and enforcement—EU"/>
      <w:bookmarkEnd w:id="4"/>
      <w:r>
        <w:rPr>
          <w:rFonts w:ascii="arial" w:eastAsia="arial" w:hAnsi="arial" w:cs="arial"/>
          <w:b/>
          <w:i w:val="0"/>
          <w:strike w:val="0"/>
          <w:noProof w:val="0"/>
          <w:color w:val="000000"/>
          <w:position w:val="0"/>
          <w:sz w:val="28"/>
          <w:u w:val="none"/>
          <w:vertAlign w:val="baseline"/>
        </w:rPr>
        <w:t xml:space="preserve"> and enforcement—EU</w:t>
      </w:r>
    </w:p>
    <w:p>
      <w:pPr>
        <w:spacing w:line="60" w:lineRule="exact"/>
      </w:pPr>
      <w:r>
        <w:pict>
          <v:line id="_x0000_s1031" style="position:absolute;z-index:251663360" from="0,2pt" to="512pt,2pt" strokecolor="#009ddb" strokeweight="2pt">
            <v:stroke linestyle="single"/>
          </v:line>
        </w:pict>
      </w:r>
    </w:p>
    <w:p>
      <w:pPr>
        <w:spacing w:line="240" w:lineRule="exact"/>
      </w:pP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Consumer groups get ok to bring data claims (Meta v Bundesverband C-757/22)</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Representative organisations can bring privacy litigation for individuals if the organisations can prove a breach resulted from the processing of personal data, the European Court of Justice top court ruled on 11 July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in tech giant Meta’s dispute with a German consumer rights body. The European Court of Justice held that the Federal Union of Consumer Organizations and Associations can sue Meta Platforms Ireland Ltd in Germany on behalf of consumers because Meta’s alleged breaches, namely, failing to secure valid consent to collect users’ data, came as a result of its processing users’ data in its app centre.</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News Analysis: Consumer groups get EU courts ok to bring data claims.</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Uber fined €290m for unauthorised data transfers to the US</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The DPA in the Netherlands (the Autoriteit Persoonsgegevens or AP) imposed a fine of €290m on Uber in respect of transfers of personal data of Uber drivers from the EU to Uber’s headquarters in the US over a period of more than two years for retention on Uber servers in the US. The AP found that Uber had carried out these transfers without implementing appropriate safeguards as required by Chapter V of the EU GDPR. The personal data involved included sensitive information of the Uber drivers such as location data, identity documents, and in some </w:t>
      </w:r>
      <w:r>
        <w:rPr>
          <w:rFonts w:ascii="arial" w:eastAsia="arial" w:hAnsi="arial" w:cs="arial"/>
          <w:b w:val="0"/>
          <w:i w:val="0"/>
          <w:strike w:val="0"/>
          <w:noProof w:val="0"/>
          <w:color w:val="000000"/>
          <w:position w:val="0"/>
          <w:sz w:val="20"/>
          <w:u w:val="none"/>
          <w:vertAlign w:val="baseline"/>
        </w:rPr>
        <w:t>cases</w:t>
      </w:r>
      <w:r>
        <w:rPr>
          <w:rFonts w:ascii="arial" w:eastAsia="arial" w:hAnsi="arial" w:cs="arial"/>
          <w:b w:val="0"/>
          <w:i w:val="0"/>
          <w:strike w:val="0"/>
          <w:noProof w:val="0"/>
          <w:color w:val="000000"/>
          <w:position w:val="0"/>
          <w:sz w:val="20"/>
          <w:u w:val="none"/>
          <w:vertAlign w:val="baseline"/>
        </w:rPr>
        <w:t xml:space="preserve"> criminal and medical data. Dr. Paul Voigt, partner and Wiebke Reuter, senior associate, at Taylor Wessing Germany, consider the implications.</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News Analysis: Uber fined €290m for unauthorised data transfers to the US.</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European Court of Justice rules that competitors are entitled to bring an injunction claim based on infringement of the EU GDPR</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In its judgment of 4 October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the European Court of Justice ruled that the provisions of Chapter VIII of the EU GDPR do not preclude national rules which grant undertakings the right to rely, on the basis of the prohibition of acts of unfair competition, on infringements of the substantive provisions of the EU GDPR allegedly committed by their competitors. The court further ruled that the data of a pharmacist’s customers, which are provided when ordering pharmacy-only but non-prescription medicines on an online sales platform, constitute ‘health data’ within the meaning of Articles 4(15) and 9 of the EU GDPR (to that extent contrary to the Advocate General’s opinion of 25 April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Verena Grentzenberg, partner, and Andreas Rüdiger, senior associate, at DLA Piper, discuss this decision.</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New Analysis: Court of Justice rules that competitors are entitled to bring an injunction claim based on infringement of the EU GDPR.</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 xml:space="preserve">LinkedIn fined €310m by </w:t>
      </w:r>
      <w:r>
        <w:rPr>
          <w:rFonts w:ascii="arial" w:eastAsia="arial" w:hAnsi="arial" w:cs="arial"/>
          <w:b/>
          <w:i w:val="0"/>
          <w:strike w:val="0"/>
          <w:noProof w:val="0"/>
          <w:color w:val="000000"/>
          <w:position w:val="0"/>
          <w:sz w:val="24"/>
          <w:u w:val="none"/>
          <w:vertAlign w:val="baseline"/>
        </w:rPr>
        <w:t>Irish</w:t>
      </w:r>
      <w:r>
        <w:rPr>
          <w:rFonts w:ascii="arial" w:eastAsia="arial" w:hAnsi="arial" w:cs="arial"/>
          <w:b/>
          <w:i w:val="0"/>
          <w:strike w:val="0"/>
          <w:noProof w:val="0"/>
          <w:color w:val="000000"/>
          <w:position w:val="0"/>
          <w:sz w:val="24"/>
          <w:u w:val="none"/>
          <w:vertAlign w:val="baseline"/>
        </w:rPr>
        <w:t xml:space="preserve"> privacy regulator over targeted advertising</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LinkedIn was fined €310m by the </w:t>
      </w:r>
      <w:r>
        <w:rPr>
          <w:rFonts w:ascii="arial" w:eastAsia="arial" w:hAnsi="arial" w:cs="arial"/>
          <w:b w:val="0"/>
          <w:i w:val="0"/>
          <w:strike w:val="0"/>
          <w:noProof w:val="0"/>
          <w:color w:val="000000"/>
          <w:position w:val="0"/>
          <w:sz w:val="20"/>
          <w:u w:val="none"/>
          <w:vertAlign w:val="baseline"/>
        </w:rPr>
        <w:t>DPC</w:t>
      </w:r>
      <w:r>
        <w:rPr>
          <w:rFonts w:ascii="arial" w:eastAsia="arial" w:hAnsi="arial" w:cs="arial"/>
          <w:b w:val="0"/>
          <w:i w:val="0"/>
          <w:strike w:val="0"/>
          <w:noProof w:val="0"/>
          <w:color w:val="000000"/>
          <w:position w:val="0"/>
          <w:sz w:val="20"/>
          <w:u w:val="none"/>
          <w:vertAlign w:val="baseline"/>
        </w:rPr>
        <w:t xml:space="preserve"> over the company’s processing of personal data for the purposes of targeted advertising and behavioural analysis. The fine imposed on 24 October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is smaller than Microsoft expected, as the company set aside €393.4m last year in anticipation of a decision.</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See New Analysis: LinkedIn fined €310m by </w:t>
      </w:r>
      <w:r>
        <w:rPr>
          <w:rFonts w:ascii="arial" w:eastAsia="arial" w:hAnsi="arial" w:cs="arial"/>
          <w:b w:val="0"/>
          <w:i w:val="0"/>
          <w:strike w:val="0"/>
          <w:noProof w:val="0"/>
          <w:color w:val="000000"/>
          <w:position w:val="0"/>
          <w:sz w:val="20"/>
          <w:u w:val="none"/>
          <w:vertAlign w:val="baseline"/>
        </w:rPr>
        <w:t>Irish</w:t>
      </w:r>
      <w:r>
        <w:rPr>
          <w:rFonts w:ascii="arial" w:eastAsia="arial" w:hAnsi="arial" w:cs="arial"/>
          <w:b w:val="0"/>
          <w:i w:val="0"/>
          <w:strike w:val="0"/>
          <w:noProof w:val="0"/>
          <w:color w:val="000000"/>
          <w:position w:val="0"/>
          <w:sz w:val="20"/>
          <w:u w:val="none"/>
          <w:vertAlign w:val="baseline"/>
        </w:rPr>
        <w:t xml:space="preserve"> privacy regulator over targeted advertising.</w:t>
      </w:r>
      <w:r>
        <w:t>
</w:t>
      </w:r>
    </w:p>
    <w:p>
      <w:pPr>
        <w:keepNext/>
        <w:spacing w:before="240" w:after="0" w:line="340" w:lineRule="atLeast"/>
        <w:ind w:left="0" w:right="0" w:firstLine="0"/>
        <w:jc w:val="left"/>
      </w:pPr>
      <w:bookmarkStart w:id="5" w:name="What to keep an eye out for in 2025?"/>
      <w:bookmarkEnd w:id="5"/>
      <w:r>
        <w:rPr>
          <w:rFonts w:ascii="arial" w:eastAsia="arial" w:hAnsi="arial" w:cs="arial"/>
          <w:b/>
          <w:i w:val="0"/>
          <w:strike w:val="0"/>
          <w:noProof w:val="0"/>
          <w:color w:val="000000"/>
          <w:position w:val="0"/>
          <w:sz w:val="28"/>
          <w:u w:val="none"/>
          <w:vertAlign w:val="baseline"/>
        </w:rPr>
        <w:t>What to keep an eye out for in 2025?</w:t>
      </w:r>
    </w:p>
    <w:p>
      <w:pPr>
        <w:spacing w:line="60" w:lineRule="exact"/>
      </w:pPr>
      <w:r>
        <w:pict>
          <v:line id="_x0000_s1032" style="position:absolute;z-index:251664384" from="0,2pt" to="512pt,2pt" strokecolor="#009ddb" strokeweight="2pt">
            <v:stroke linestyle="single"/>
          </v:line>
        </w:pict>
      </w:r>
    </w:p>
    <w:p>
      <w:pPr>
        <w:spacing w:line="240" w:lineRule="exact"/>
      </w:pP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Data (Use and Access) Bill</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As discussed above, the Data (Use and Access) Bill was introduced to Parliament on 23 October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The Bill had its second reading in the House of Lords on 19 November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and the committee stage began on 3 December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It is likely that the Bill will pass through Parliament without any significant opposition and therefore could well receive Royal Assent by Spring 2025. The European Commission’s adequacy review of the UK is scheduled to take place before June 2025. It is unlikely that the amendments to the UK data protection framework proposed by the Bill in its current form will seriously call into question the European Commission’s adequacy finding (see more on this below).</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LNB News 24/10/</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63, LNB News 31/10/</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54 and News Analysis: A closer look at the Data (Use and Access) Bill of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DSIT confirms introduction of Cyber Security and Resilience Bill into Parliament in 2025</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DSIT confirmed that the Cyber Security and Resilience Bill would be introduced to Parliament in 2025. This confirmation followed the announcement of the Bill in the July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King’s Speech. The Bill will aim to strengthen the UK’s cyber defences, safeguard critical infrastructure and essential services from rising cyber attacks by protecting more digital services and supply chains, and enhance incident reporting.</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LNB News 01/10/</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9.</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EDPB adopts statement on proposed amendments to enforcement of EU GDPR</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the EDPB adopted Statement 4/</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and the European Parliament proposed amendments on the European Commission’s proposal for a regulation laying down additional procedural rules relating to the enforcement of the EU GDPR. The new regulation intends to streamline co-operation between national DPAs when enforcing the EU GDPR in cross-border </w:t>
      </w:r>
      <w:r>
        <w:rPr>
          <w:rFonts w:ascii="arial" w:eastAsia="arial" w:hAnsi="arial" w:cs="arial"/>
          <w:b w:val="0"/>
          <w:i w:val="0"/>
          <w:strike w:val="0"/>
          <w:noProof w:val="0"/>
          <w:color w:val="000000"/>
          <w:position w:val="0"/>
          <w:sz w:val="20"/>
          <w:u w:val="none"/>
          <w:vertAlign w:val="baseline"/>
        </w:rPr>
        <w:t>cases</w:t>
      </w:r>
      <w:r>
        <w:rPr>
          <w:rFonts w:ascii="arial" w:eastAsia="arial" w:hAnsi="arial" w:cs="arial"/>
          <w:b w:val="0"/>
          <w:i w:val="0"/>
          <w:strike w:val="0"/>
          <w:noProof w:val="0"/>
          <w:color w:val="000000"/>
          <w:position w:val="0"/>
          <w:sz w:val="20"/>
          <w:u w:val="none"/>
          <w:vertAlign w:val="baseline"/>
        </w:rPr>
        <w:t xml:space="preserve">. It plans to harmonise some aspects of the administrative procedure the national DPAs apply in such cross-border </w:t>
      </w:r>
      <w:r>
        <w:rPr>
          <w:rFonts w:ascii="arial" w:eastAsia="arial" w:hAnsi="arial" w:cs="arial"/>
          <w:b w:val="0"/>
          <w:i w:val="0"/>
          <w:strike w:val="0"/>
          <w:noProof w:val="0"/>
          <w:color w:val="000000"/>
          <w:position w:val="0"/>
          <w:sz w:val="20"/>
          <w:u w:val="none"/>
          <w:vertAlign w:val="baseline"/>
        </w:rPr>
        <w:t>cases</w:t>
      </w:r>
      <w:r>
        <w:rPr>
          <w:rFonts w:ascii="arial" w:eastAsia="arial" w:hAnsi="arial" w:cs="arial"/>
          <w:b w:val="0"/>
          <w:i w:val="0"/>
          <w:strike w:val="0"/>
          <w:noProof w:val="0"/>
          <w:color w:val="000000"/>
          <w:position w:val="0"/>
          <w:sz w:val="20"/>
          <w:u w:val="none"/>
          <w:vertAlign w:val="baseline"/>
        </w:rPr>
        <w:t>. It is not yet clear when the regulation will be finalised and come into effect, but further developments may emerge on this in 2025.</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LNB News 09/10/</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58 and LNB News 14/06/</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77.</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UK adequacy review</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On 28 June 2021, the European Commission published an adequacy decision in respect of the UK for transfers under the EU GDPR. An adequacy decision is a formal decision made by the EU which recognises that another country, territory, sector or international organisation provides an equivalent level of protection for personal data as the EU does. The UK’s current adequacy decision under the EU GDPR is expected to last until 27 June 2025. The European Commission will need to decide whether to extend this adequacy decision for the UK for a further period up to a maximum of another four years. If they don’t extend the decision, it will expire on 27 June 2025. For further information, see ICO guidance on adequacy</w:t>
      </w:r>
      <w:r>
        <w:t xml:space="preserve"> </w:t>
      </w:r>
      <w:r>
        <w:pict>
          <v:shape id="_x0000_i1033" type="#_x0000_t75" style="width:11pt;height:10pt">
            <v:imagedata r:id="rId8" o:title=""/>
          </v:shape>
        </w:pict>
      </w:r>
      <w:r>
        <w:rPr>
          <w:rFonts w:ascii="arial" w:eastAsia="arial" w:hAnsi="arial" w:cs="arial"/>
          <w:b w:val="0"/>
          <w:i w:val="0"/>
          <w:strike w:val="0"/>
          <w:noProof w:val="0"/>
          <w:color w:val="000000"/>
          <w:position w:val="0"/>
          <w:sz w:val="20"/>
          <w:u w:val="none"/>
          <w:vertAlign w:val="baseline"/>
        </w:rPr>
        <w:t>.</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European Commission to consult on SCCs for third-country data importers subject to EU GDPR</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The European Commission has announced that it will launch a consultation on new standard contractual clauses (SCCs) for transferring personal data to third-country controllers and processors which are subject to the EU GDPR. These new SCCs will complement the existing clauses for data transfers to third-country data importers who are not subject to the EU GDPR. The European Commission plans to adopt the new documents in Q2 2025.</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LNB News 13/09/</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60.</w:t>
      </w:r>
      <w:r>
        <w:t>
</w:t>
      </w:r>
    </w:p>
    <w:p>
      <w:pPr>
        <w:keepNext w:val="0"/>
        <w:spacing w:after="60" w:line="300" w:lineRule="atLeast"/>
        <w:ind w:left="0" w:right="0" w:firstLine="0"/>
        <w:jc w:val="left"/>
      </w:pPr>
      <w:r>
        <w:rPr>
          <w:rFonts w:ascii="arial" w:eastAsia="arial" w:hAnsi="arial" w:cs="arial"/>
          <w:b/>
          <w:i w:val="0"/>
          <w:strike w:val="0"/>
          <w:noProof w:val="0"/>
          <w:color w:val="000000"/>
          <w:position w:val="0"/>
          <w:sz w:val="24"/>
          <w:u w:val="none"/>
          <w:vertAlign w:val="baseline"/>
        </w:rPr>
        <w:t>EDPB issues guidelines on personal data processing under Article 6(1)(f) of EU GDPR</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the EDPB adopted Guidelines 1/</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on the processing of personal data based on Article 6(1)(f) of the EU GDPR for public consultation. These Guidelines analyse the three cumulative criteria laid down in Article 6(1)(f) of the EU GDPR that controllers must meet, namely the pursuit of a legitimate interest by the controller or by a third party, the necessity to process personal data for the purposes of pursuing the legitimate interest, and ensuring the interests or fundamental freedoms and rights of individuals do not take precedence over the legitimate interests of the controller or of a third party. They also explain how this assessment should be carried out in practice, including in a number of specific contexts like fraud prevention, direct marketing and information security. The EDPB document also considers the relationship between this legal basis and other data subject rights under the EU GDPR. Guidelines 1/</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were subject to a public consultation until 20 November </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and final guidelines incorporating the feedback from this public consultation are likely to follow in 2025.</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See: LNB News 09/10/</w:t>
      </w:r>
      <w:r>
        <w:rPr>
          <w:rFonts w:ascii="arial" w:eastAsia="arial" w:hAnsi="arial" w:cs="arial"/>
          <w:b w:val="0"/>
          <w:i w:val="0"/>
          <w:strike w:val="0"/>
          <w:noProof w:val="0"/>
          <w:color w:val="000000"/>
          <w:position w:val="0"/>
          <w:sz w:val="20"/>
          <w:u w:val="none"/>
          <w:vertAlign w:val="baseline"/>
        </w:rPr>
        <w:t>2024</w:t>
      </w:r>
      <w:r>
        <w:rPr>
          <w:rFonts w:ascii="arial" w:eastAsia="arial" w:hAnsi="arial" w:cs="arial"/>
          <w:b w:val="0"/>
          <w:i w:val="0"/>
          <w:strike w:val="0"/>
          <w:noProof w:val="0"/>
          <w:color w:val="000000"/>
          <w:position w:val="0"/>
          <w:sz w:val="20"/>
          <w:u w:val="none"/>
          <w:vertAlign w:val="baseline"/>
        </w:rPr>
        <w:t xml:space="preserve"> 52.</w:t>
      </w:r>
      <w:r>
        <w:t>
</w:t>
      </w:r>
    </w:p>
    <w:p>
      <w:pPr>
        <w:keepNext/>
        <w:spacing w:before="12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Document Information</w:t>
      </w:r>
    </w:p>
    <w:p>
      <w:pPr>
        <w:spacing w:line="60" w:lineRule="exact"/>
      </w:pPr>
      <w:r>
        <w:pict>
          <v:line id="_x0000_s1034" style="position:absolute;z-index:251665408" from="0,2pt" to="512pt,2pt" strokecolor="#009ddb" strokeweight="2pt">
            <v:stroke linestyle="single"/>
          </v:line>
        </w:pict>
      </w:r>
    </w:p>
    <w:p>
      <w:pPr>
        <w:spacing w:line="240" w:lineRule="exact"/>
      </w:pPr>
    </w:p>
    <w:tbl>
      <w:tblPr>
        <w:tblW w:w="5000" w:type="pct"/>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CellMar>
          <w:left w:w="108" w:type="dxa"/>
          <w:right w:w="108" w:type="dxa"/>
        </w:tblCellMar>
      </w:tblPr>
      <w:tblGrid>
        <w:gridCol w:w="10200"/>
      </w:tblGrid>
      <w:tr>
        <w:tblPrEx>
          <w:tblW w:w="5000" w:type="pct"/>
        </w:tblPrEx>
        <w:tc>
          <w:tcPr>
            <w:tcMar>
              <w:top w:w="200" w:type="dxa"/>
              <w:left w:w="200" w:type="dxa"/>
              <w:bottom w:w="200" w:type="dxa"/>
              <w:right w:w="200" w:type="dxa"/>
            </w:tcMar>
          </w:tcPr>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Published date:</w:t>
            </w:r>
            <w:r>
              <w:rPr>
                <w:rFonts w:ascii="arial" w:eastAsia="arial" w:hAnsi="arial" w:cs="arial"/>
                <w:b w:val="0"/>
                <w:i w:val="0"/>
                <w:strike w:val="0"/>
                <w:noProof w:val="0"/>
                <w:color w:val="000000"/>
                <w:position w:val="0"/>
                <w:sz w:val="20"/>
                <w:u w:val="none"/>
                <w:vertAlign w:val="baseline"/>
              </w:rPr>
              <w:t> 09/01/2025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Source:</w:t>
            </w:r>
            <w:r>
              <w:rPr>
                <w:rFonts w:ascii="arial" w:eastAsia="arial" w:hAnsi="arial" w:cs="arial"/>
                <w:b w:val="0"/>
                <w:i w:val="0"/>
                <w:strike w:val="0"/>
                <w:noProof w:val="0"/>
                <w:color w:val="000000"/>
                <w:position w:val="0"/>
                <w:sz w:val="20"/>
                <w:u w:val="none"/>
                <w:vertAlign w:val="baseline"/>
              </w:rPr>
              <w:t> LexisPSL Information Law News Analysis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Jurisdiction:</w:t>
            </w:r>
            <w:r>
              <w:rPr>
                <w:rFonts w:ascii="arial" w:eastAsia="arial" w:hAnsi="arial" w:cs="arial"/>
                <w:b w:val="0"/>
                <w:i w:val="0"/>
                <w:strike w:val="0"/>
                <w:noProof w:val="0"/>
                <w:color w:val="000000"/>
                <w:position w:val="0"/>
                <w:sz w:val="20"/>
                <w:u w:val="none"/>
                <w:vertAlign w:val="baseline"/>
              </w:rPr>
              <w:t> England &amp; Wales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England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Wales</w:t>
            </w:r>
          </w:p>
        </w:tc>
      </w:tr>
    </w:tbl>
    <w:p/>
    <w:p>
      <w:pPr>
        <w:ind w:left="200"/>
      </w:pPr>
      <w:r>
        <w:br/>
      </w:r>
      <w:r>
        <w:pict>
          <v:line id="_x0000_s1035" style="position:absolute;z-index:25166643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Layout w:type="fixed"/>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Layout w:type="fixed"/>
      </w:tblPrEx>
      <w:trPr>
        <w:jc w:val="center"/>
      </w:trPr>
      <w:tc>
        <w:tcPr>
          <w:tcW w:w="10080" w:type="dxa"/>
          <w:vAlign w:val="center"/>
        </w:tcPr>
        <w:p/>
      </w:tc>
    </w:tr>
    <w:tr>
      <w:tblPrEx>
        <w:tblW w:w="10080" w:type="dxa"/>
        <w:jc w:val="center"/>
        <w:tblLayout w:type="fixed"/>
      </w:tblPrEx>
      <w:trPr>
        <w:jc w:val="center"/>
      </w:trPr>
      <w:tc>
        <w:tcPr>
          <w:tcW w:w="10080" w:type="dxa"/>
        </w:tcPr>
        <w:p>
          <w:pPr>
            <w:spacing w:before="60" w:after="200"/>
            <w:jc w:val="center"/>
          </w:pPr>
          <w:r>
            <w:rPr>
              <w:rFonts w:ascii="arial" w:eastAsia="arial" w:hAnsi="arial" w:cs="arial"/>
              <w:sz w:val="20"/>
            </w:rPr>
            <w:t>Information law—key developments of 2024 and what to look out for in 2025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law—key developments of 2024 and what to look out for in 2025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DVK-R8C3-RS03-4001-00000-00">
    <vt:lpwstr>Doc::/shared/document|contextualFeaturePermID::1001073</vt:lpwstr>
  </property>
  <property fmtid="{D5CDD505-2E9C-101B-9397-08002B2CF9AE}" pid="4" name="LNDeliveryID">
    <vt:lpwstr>249047863</vt:lpwstr>
  </property>
  <property fmtid="{D5CDD505-2E9C-101B-9397-08002B2CF9AE}" pid="5" name="UserPermID">
    <vt:lpwstr>urn:user:PA195918864</vt:lpwstr>
  </property>
</Properties>
</file>