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B279B2" w14:textId="6F19BFED" w:rsidR="008B16E9" w:rsidRDefault="008B16E9">
      <w:pPr>
        <w:spacing w:after="440"/>
        <w:jc w:val="center"/>
        <w:rPr>
          <w:rFonts w:ascii="Times New Roman" w:hAnsi="Times New Roman" w:cs="Times New Roman"/>
          <w:color w:val="000000" w:themeColor="text1"/>
          <w:sz w:val="28"/>
          <w:szCs w:val="28"/>
          <w:lang w:val="ru-RU"/>
        </w:rPr>
      </w:pPr>
      <w:r w:rsidRPr="008B16E9">
        <w:rPr>
          <w:rFonts w:ascii="Times New Roman" w:hAnsi="Times New Roman" w:cs="Times New Roman"/>
          <w:color w:val="000000" w:themeColor="text1"/>
          <w:sz w:val="28"/>
          <w:szCs w:val="28"/>
        </w:rPr>
        <w:t>Project Management and Financial Justification for a Novelty Similarity Detection Mode</w:t>
      </w:r>
      <w:r w:rsidRPr="008B16E9">
        <w:rPr>
          <w:rFonts w:ascii="Times New Roman" w:hAnsi="Times New Roman" w:cs="Times New Roman"/>
          <w:color w:val="000000" w:themeColor="text1"/>
          <w:sz w:val="28"/>
          <w:szCs w:val="28"/>
        </w:rPr>
        <w:t>l</w:t>
      </w:r>
    </w:p>
    <w:p w14:paraId="7646B8B9" w14:textId="552FB233" w:rsidR="00375A65" w:rsidRPr="00375A65" w:rsidRDefault="00375A65">
      <w:pPr>
        <w:spacing w:after="44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Alisher Tokesh | CSE-2507M</w:t>
      </w:r>
    </w:p>
    <w:p w14:paraId="601BCF8E" w14:textId="7CCF2B73" w:rsidR="00636371" w:rsidRPr="00375A65" w:rsidRDefault="00000000">
      <w:pPr>
        <w:spacing w:after="440"/>
        <w:jc w:val="center"/>
        <w:rPr>
          <w:rFonts w:ascii="Times New Roman" w:hAnsi="Times New Roman" w:cs="Times New Roman"/>
          <w:color w:val="000000" w:themeColor="text1"/>
          <w:sz w:val="28"/>
          <w:szCs w:val="28"/>
          <w:lang w:val="ru-RU"/>
        </w:rPr>
      </w:pPr>
      <w:r w:rsidRPr="008B16E9">
        <w:rPr>
          <w:rFonts w:ascii="Times New Roman" w:hAnsi="Times New Roman" w:cs="Times New Roman"/>
          <w:color w:val="000000" w:themeColor="text1"/>
          <w:sz w:val="28"/>
          <w:szCs w:val="28"/>
        </w:rPr>
        <w:t>Assignment 1</w:t>
      </w:r>
    </w:p>
    <w:p w14:paraId="7C69C470"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proposed project implements a novelty screening module that helps academic coordinators identify duplicate and near duplicate thesis topics before final approval. The model in the repository already provides a clear hybrid pipeline: preprocessing, sentence embeddings, cosine similarity search, keyword uniqueness, domain rarity, novelty scoring, and a practical classification label. The project management task is to convert that research prototype into a controlled pilot and production ready service.</w:t>
      </w:r>
    </w:p>
    <w:p w14:paraId="00A1F52D"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recommended plan uses a </w:t>
      </w:r>
      <w:proofErr w:type="gramStart"/>
      <w:r w:rsidRPr="008B16E9">
        <w:rPr>
          <w:rFonts w:ascii="Times New Roman" w:hAnsi="Times New Roman" w:cs="Times New Roman"/>
          <w:color w:val="000000" w:themeColor="text1"/>
          <w:sz w:val="28"/>
          <w:szCs w:val="28"/>
        </w:rPr>
        <w:t>17 week</w:t>
      </w:r>
      <w:proofErr w:type="gramEnd"/>
      <w:r w:rsidRPr="008B16E9">
        <w:rPr>
          <w:rFonts w:ascii="Times New Roman" w:hAnsi="Times New Roman" w:cs="Times New Roman"/>
          <w:color w:val="000000" w:themeColor="text1"/>
          <w:sz w:val="28"/>
          <w:szCs w:val="28"/>
        </w:rPr>
        <w:t xml:space="preserve"> schedule with a critical path through requirements, data approvals, baseline adaptation, API and pgvector integration, user workflow development, QA, pilot, deployment, and closure. A </w:t>
      </w:r>
      <w:proofErr w:type="gramStart"/>
      <w:r w:rsidRPr="008B16E9">
        <w:rPr>
          <w:rFonts w:ascii="Times New Roman" w:hAnsi="Times New Roman" w:cs="Times New Roman"/>
          <w:color w:val="000000" w:themeColor="text1"/>
          <w:sz w:val="28"/>
          <w:szCs w:val="28"/>
        </w:rPr>
        <w:t>bottom up</w:t>
      </w:r>
      <w:proofErr w:type="gramEnd"/>
      <w:r w:rsidRPr="008B16E9">
        <w:rPr>
          <w:rFonts w:ascii="Times New Roman" w:hAnsi="Times New Roman" w:cs="Times New Roman"/>
          <w:color w:val="000000" w:themeColor="text1"/>
          <w:sz w:val="28"/>
          <w:szCs w:val="28"/>
        </w:rPr>
        <w:t xml:space="preserve"> budget estimates a direct cost of $38,188 and a 15 percent contingency reserve of $5,728, giving a total planned budget of $43,916. The financial case depends on reducing manual review time, avoiding duplicate topic remediation, and creating a reusable analytics capability for future academic quality assurance work.</w:t>
      </w:r>
    </w:p>
    <w:p w14:paraId="38ABE9EB" w14:textId="0B4C13AE" w:rsidR="00636371" w:rsidRPr="008B16E9" w:rsidRDefault="00000000" w:rsidP="00A85BC6">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main recommendation is to run the project as a stage gated R&amp;D implementation rather than as a simple software installation. The model must not automatically reject a student topic. It should flag high risk similarity cases, explain the reason, and leave the academic decision to a human reviewer. That governance choice protects quality, reduces legal and academic risk, and gives the team measurable data for threshold calibration.</w:t>
      </w:r>
      <w:r w:rsidRPr="008B16E9">
        <w:rPr>
          <w:rFonts w:ascii="Times New Roman" w:hAnsi="Times New Roman" w:cs="Times New Roman"/>
          <w:color w:val="000000" w:themeColor="text1"/>
          <w:sz w:val="28"/>
          <w:szCs w:val="28"/>
        </w:rPr>
        <w:br w:type="page"/>
      </w:r>
    </w:p>
    <w:p w14:paraId="3639A534" w14:textId="77777777" w:rsidR="00636371" w:rsidRPr="008B16E9" w:rsidRDefault="00000000">
      <w:pPr>
        <w:pStyle w:val="1"/>
        <w:spacing w:before="320" w:after="120"/>
        <w:rPr>
          <w:rFonts w:ascii="Times New Roman" w:hAnsi="Times New Roman" w:cs="Times New Roman"/>
          <w:color w:val="000000" w:themeColor="text1"/>
          <w:sz w:val="28"/>
        </w:rPr>
      </w:pPr>
      <w:r w:rsidRPr="008B16E9">
        <w:rPr>
          <w:rFonts w:ascii="Times New Roman" w:hAnsi="Times New Roman" w:cs="Times New Roman"/>
          <w:color w:val="000000" w:themeColor="text1"/>
          <w:sz w:val="28"/>
        </w:rPr>
        <w:lastRenderedPageBreak/>
        <w:t>1 Analytical Review of Lecture No 2</w:t>
      </w:r>
    </w:p>
    <w:p w14:paraId="5C8384A5"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 Key Concepts of Project Management</w:t>
      </w:r>
    </w:p>
    <w:p w14:paraId="3C84961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Project management is the disciplined organization of work so that a team can deliver a defined result under constraints. Lecture No 2 connects the managerial view of a project with practical control mechanisms: scope definition, scheduling, budgeting, quality management, role assignment, tool use, R&amp;D uncertainty, and financial justification. A project differs from routine operations because it has a temporary structure, a defined objective, a set of deliverables, and a closure condition. In an IT or research setting, those deliverables include not only code or experiments but also data access, validation evidence, documentation, user training, and deployment readiness.</w:t>
      </w:r>
    </w:p>
    <w:p w14:paraId="457EDCA0"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starting point is the project charter. It explains the business or research problem, defines the intended output, names stakeholders, and sets success criteria. For the novelty detection case, the charter would state that the university wants to reduce duplicate thesis topics and support a faster approval process. The charter must also define boundaries. The project can screen topics and provide evidence, but academic approval remains a human decision.</w:t>
      </w:r>
    </w:p>
    <w:p w14:paraId="2EE2D206"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A Work Breakdown Structure decomposes the project into manageable work packages. It does not start from the calendar. It starts from the deliverables and asks what work must exist for each deliverable to be complete. This approach helps prevent hidden work, such as data cleaning, security review, threshold calibration, and training, from appearing late in the project when they are more expensive to handle.</w:t>
      </w:r>
    </w:p>
    <w:p w14:paraId="4E9FF93C"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1.2 Scheduling, Budgeting, Quality, Tools, and Roles</w:t>
      </w:r>
    </w:p>
    <w:p w14:paraId="6A295074"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Scheduling translates the WBS into a sequence of activities with durations, dependencies, and milestones. A Gantt chart makes that sequence visible to the project team and sponsor. Critical Path Method analysis goes further by identifying the longest dependency chain that determines the earliest possible finish date. Activities on the critical path have zero slack, so delay in one of them delays the project unless the manager changes resources, scope, or sequence.</w:t>
      </w:r>
    </w:p>
    <w:p w14:paraId="4E00744A"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lastRenderedPageBreak/>
        <w:t xml:space="preserve">Budgeting estimates the resources needed to complete each work package. The </w:t>
      </w:r>
      <w:proofErr w:type="gramStart"/>
      <w:r w:rsidRPr="008B16E9">
        <w:rPr>
          <w:rFonts w:ascii="Times New Roman" w:hAnsi="Times New Roman" w:cs="Times New Roman"/>
          <w:color w:val="000000" w:themeColor="text1"/>
          <w:sz w:val="28"/>
          <w:szCs w:val="28"/>
        </w:rPr>
        <w:t>bottom up</w:t>
      </w:r>
      <w:proofErr w:type="gramEnd"/>
      <w:r w:rsidRPr="008B16E9">
        <w:rPr>
          <w:rFonts w:ascii="Times New Roman" w:hAnsi="Times New Roman" w:cs="Times New Roman"/>
          <w:color w:val="000000" w:themeColor="text1"/>
          <w:sz w:val="28"/>
          <w:szCs w:val="28"/>
        </w:rPr>
        <w:t xml:space="preserve"> method fits implementation projects because it connects each cost to a deliverable or activity. PERT estimation is useful when uncertainty is high because it combines optimistic, most likely, and pessimistic estimates. Both methods should include a contingency reserve for known uncertainty. A separate management reserve may be held by the sponsor for unknown events, but it should not hide weak planning.</w:t>
      </w:r>
    </w:p>
    <w:p w14:paraId="027A284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Quality management defines what good means before work begins. In software and R&amp;D projects, quality includes accuracy, reliability, maintainability, security, performance, reproducibility, and user acceptance. The team must agree on measurable criteria, such as F1 score, recall for near duplicates, API latency, false </w:t>
      </w:r>
      <w:proofErr w:type="gramStart"/>
      <w:r w:rsidRPr="008B16E9">
        <w:rPr>
          <w:rFonts w:ascii="Times New Roman" w:hAnsi="Times New Roman" w:cs="Times New Roman"/>
          <w:color w:val="000000" w:themeColor="text1"/>
          <w:sz w:val="28"/>
          <w:szCs w:val="28"/>
        </w:rPr>
        <w:t>high risk</w:t>
      </w:r>
      <w:proofErr w:type="gramEnd"/>
      <w:r w:rsidRPr="008B16E9">
        <w:rPr>
          <w:rFonts w:ascii="Times New Roman" w:hAnsi="Times New Roman" w:cs="Times New Roman"/>
          <w:color w:val="000000" w:themeColor="text1"/>
          <w:sz w:val="28"/>
          <w:szCs w:val="28"/>
        </w:rPr>
        <w:t xml:space="preserve"> rate, and reviewer satisfaction. Quality control checks whether outputs meet those criteria. Quality assurance checks whether the process can reliably produce them.</w:t>
      </w:r>
    </w:p>
    <w:p w14:paraId="23680D20"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Common project tools include WBS dictionaries, Gantt charts, CPM networks, risk registers, issue logs, budget trackers, Kanban or Scrum boards, test reports, dashboards, and post project lessons learned. The main roles in a project like this are sponsor, project manager, product owner, data owner, ML engineer, backend engineer, frontend or UX specialist, QA engineer, domain reviewers, and end users such as academic coordinators. R&amp;D work adds uncertainty because model performance may depend on data quality, language coverage, labeling consistency, and threshold behavior.</w:t>
      </w:r>
    </w:p>
    <w:p w14:paraId="69CC5C97"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noProof/>
          <w:color w:val="000000" w:themeColor="text1"/>
          <w:sz w:val="28"/>
          <w:szCs w:val="28"/>
        </w:rPr>
        <w:lastRenderedPageBreak/>
        <w:drawing>
          <wp:inline distT="0" distB="0" distL="0" distR="0" wp14:anchorId="6D64988C" wp14:editId="473D1324">
            <wp:extent cx="5897880" cy="3538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triangle.png"/>
                    <pic:cNvPicPr/>
                  </pic:nvPicPr>
                  <pic:blipFill>
                    <a:blip r:embed="rId8"/>
                    <a:stretch>
                      <a:fillRect/>
                    </a:stretch>
                  </pic:blipFill>
                  <pic:spPr>
                    <a:xfrm>
                      <a:off x="0" y="0"/>
                      <a:ext cx="5897880" cy="3538728"/>
                    </a:xfrm>
                    <a:prstGeom prst="rect">
                      <a:avLst/>
                    </a:prstGeom>
                  </pic:spPr>
                </pic:pic>
              </a:graphicData>
            </a:graphic>
          </wp:inline>
        </w:drawing>
      </w:r>
    </w:p>
    <w:p w14:paraId="60090723" w14:textId="77777777" w:rsidR="00636371" w:rsidRPr="008B16E9" w:rsidRDefault="00000000">
      <w:pPr>
        <w:spacing w:before="40" w:after="200"/>
        <w:jc w:val="center"/>
        <w:rPr>
          <w:rFonts w:ascii="Times New Roman" w:hAnsi="Times New Roman" w:cs="Times New Roman"/>
          <w:color w:val="000000" w:themeColor="text1"/>
          <w:sz w:val="28"/>
          <w:szCs w:val="28"/>
        </w:rPr>
      </w:pPr>
      <w:r w:rsidRPr="008B16E9">
        <w:rPr>
          <w:rFonts w:ascii="Times New Roman" w:hAnsi="Times New Roman" w:cs="Times New Roman"/>
          <w:i/>
          <w:color w:val="000000" w:themeColor="text1"/>
          <w:sz w:val="28"/>
          <w:szCs w:val="28"/>
        </w:rPr>
        <w:t>Figure 1. Project Management Triangle: scope, time, cost, and quality are interdependent constraints.</w:t>
      </w:r>
    </w:p>
    <w:p w14:paraId="5563B456"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Project Management Triangle explains why a project manager cannot improve every parameter at once without additional capacity. Expanding scope usually requires more time or cost. Compressing time usually requires more staffing, narrower scope, or lower assurance depth. Reducing cost limits the resources available for engineering and validation. Quality sits at the center because it is affected by all three constraints. In this case, shortening the pilot would save calendar time, but it would reduce evidence about false positives and near duplicate recall, which are quality risks.</w:t>
      </w:r>
    </w:p>
    <w:p w14:paraId="6D0A3349"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1.3 Financial Justification in Project Decisions</w:t>
      </w:r>
    </w:p>
    <w:p w14:paraId="3B5E74E0"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Financial justification connects project work to economic value. It should state the objective, the investment, the timing of cash outflows, measurable benefits, operating costs, and decision metrics such as payback period or return on investment. Financial justification should not only show that a project is affordable. It should show why the project deserves resources compared with other possible uses of the </w:t>
      </w:r>
      <w:r w:rsidRPr="008B16E9">
        <w:rPr>
          <w:rFonts w:ascii="Times New Roman" w:hAnsi="Times New Roman" w:cs="Times New Roman"/>
          <w:color w:val="000000" w:themeColor="text1"/>
          <w:sz w:val="28"/>
          <w:szCs w:val="28"/>
        </w:rPr>
        <w:lastRenderedPageBreak/>
        <w:t>budget. For a university technology project, benefits may include administrative time saved, fewer duplicate thesis approvals, faster review cycles, and stronger quality assurance for accreditation or grant reporting.</w:t>
      </w:r>
    </w:p>
    <w:p w14:paraId="31B68ADF"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A good financial case also states its assumptions. In R&amp;D projects, many benefits are estimated rather than guaranteed. The manager should therefore link funding to milestones and quality gates. If the pilot fails to reach target recall or generates too many false </w:t>
      </w:r>
      <w:proofErr w:type="gramStart"/>
      <w:r w:rsidRPr="008B16E9">
        <w:rPr>
          <w:rFonts w:ascii="Times New Roman" w:hAnsi="Times New Roman" w:cs="Times New Roman"/>
          <w:color w:val="000000" w:themeColor="text1"/>
          <w:sz w:val="28"/>
          <w:szCs w:val="28"/>
        </w:rPr>
        <w:t>high risk</w:t>
      </w:r>
      <w:proofErr w:type="gramEnd"/>
      <w:r w:rsidRPr="008B16E9">
        <w:rPr>
          <w:rFonts w:ascii="Times New Roman" w:hAnsi="Times New Roman" w:cs="Times New Roman"/>
          <w:color w:val="000000" w:themeColor="text1"/>
          <w:sz w:val="28"/>
          <w:szCs w:val="28"/>
        </w:rPr>
        <w:t xml:space="preserve"> flags, the sponsor should pause further rollout and use the remaining budget for data improvement or threshold redesign.</w:t>
      </w:r>
    </w:p>
    <w:p w14:paraId="42FA4A27" w14:textId="77777777" w:rsidR="00636371" w:rsidRPr="008B16E9" w:rsidRDefault="00000000">
      <w:pPr>
        <w:pStyle w:val="1"/>
        <w:spacing w:before="320" w:after="120"/>
        <w:rPr>
          <w:rFonts w:ascii="Times New Roman" w:hAnsi="Times New Roman" w:cs="Times New Roman"/>
          <w:color w:val="000000" w:themeColor="text1"/>
          <w:sz w:val="28"/>
        </w:rPr>
      </w:pPr>
      <w:r w:rsidRPr="008B16E9">
        <w:rPr>
          <w:rFonts w:ascii="Times New Roman" w:hAnsi="Times New Roman" w:cs="Times New Roman"/>
          <w:color w:val="000000" w:themeColor="text1"/>
          <w:sz w:val="28"/>
        </w:rPr>
        <w:t>2 Practical Application</w:t>
      </w:r>
    </w:p>
    <w:p w14:paraId="16FB9C67"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2.1 Project Context and Model Basis</w:t>
      </w:r>
    </w:p>
    <w:p w14:paraId="4DABD3EA"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practical application uses the repository novelty similarity detection model as the basis for an implementation project. The repository describes the project as a module for an intelligent platform that manages bachelor and master thesis projects. Its specific focus is novelty assessment and duplicate prevention. The implemented model is a hybrid pipeline rather than a single similarity score. It combines semantic similarity, keyword uniqueness, and domain rarity into a final novelty score.</w:t>
      </w:r>
    </w:p>
    <w:p w14:paraId="53ED9033"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model formula in the README is: NoveltyScore = alpha * (1 - max_semantic_similarity) + beta * keyword_uniqueness + gamma * domain_rarity. Default weights are alpha = 0.60, beta = 0.25, and gamma = 0.15. The classification thresholds are similarity &gt;= 0.90 for duplicate, similarity &gt;= 0.75 for near duplicate, and otherwise novel. The repository also includes a FastAPI service, CLI inference, sample data, threshold evaluation script, tests, and a pgvector schema for a production style vector database.</w:t>
      </w:r>
    </w:p>
    <w:p w14:paraId="5BC1C659"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noProof/>
          <w:color w:val="000000" w:themeColor="text1"/>
          <w:sz w:val="28"/>
          <w:szCs w:val="28"/>
        </w:rPr>
        <w:lastRenderedPageBreak/>
        <w:drawing>
          <wp:inline distT="0" distB="0" distL="0" distR="0" wp14:anchorId="0D1435A8" wp14:editId="5B5B1EE2">
            <wp:extent cx="5897880" cy="2497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ipeline.png"/>
                    <pic:cNvPicPr/>
                  </pic:nvPicPr>
                  <pic:blipFill>
                    <a:blip r:embed="rId9"/>
                    <a:stretch>
                      <a:fillRect/>
                    </a:stretch>
                  </pic:blipFill>
                  <pic:spPr>
                    <a:xfrm>
                      <a:off x="0" y="0"/>
                      <a:ext cx="5897880" cy="2497926"/>
                    </a:xfrm>
                    <a:prstGeom prst="rect">
                      <a:avLst/>
                    </a:prstGeom>
                  </pic:spPr>
                </pic:pic>
              </a:graphicData>
            </a:graphic>
          </wp:inline>
        </w:drawing>
      </w:r>
    </w:p>
    <w:p w14:paraId="33E32BA9" w14:textId="77777777" w:rsidR="00636371" w:rsidRPr="008B16E9" w:rsidRDefault="00000000">
      <w:pPr>
        <w:spacing w:before="40" w:after="200"/>
        <w:jc w:val="center"/>
        <w:rPr>
          <w:rFonts w:ascii="Times New Roman" w:hAnsi="Times New Roman" w:cs="Times New Roman"/>
          <w:color w:val="000000" w:themeColor="text1"/>
          <w:sz w:val="28"/>
          <w:szCs w:val="28"/>
        </w:rPr>
      </w:pPr>
      <w:r w:rsidRPr="008B16E9">
        <w:rPr>
          <w:rFonts w:ascii="Times New Roman" w:hAnsi="Times New Roman" w:cs="Times New Roman"/>
          <w:i/>
          <w:color w:val="000000" w:themeColor="text1"/>
          <w:sz w:val="28"/>
          <w:szCs w:val="28"/>
        </w:rPr>
        <w:t>Figure 2. Practical model basis from the repository: a hybrid explainable novelty pipeline.</w:t>
      </w:r>
    </w:p>
    <w:p w14:paraId="2D0EB861"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2.2 Project Objectives and Scope</w:t>
      </w:r>
    </w:p>
    <w:p w14:paraId="28C42DBE"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project objective is to implement and validate the novelty screening module in a university thesis management workflow. The immediate product is not a fully autonomous decision system. It is a decision support service that helps coordinators and supervisors see whether a proposed topic is semantically close to existing topics, which keywords are rare or common, and whether the system classifies the case as duplicate, near duplicate, or novel.</w:t>
      </w:r>
    </w:p>
    <w:p w14:paraId="091B96F6"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w:t>
      </w:r>
      <w:proofErr w:type="gramStart"/>
      <w:r w:rsidRPr="008B16E9">
        <w:rPr>
          <w:rFonts w:ascii="Times New Roman" w:hAnsi="Times New Roman" w:cs="Times New Roman"/>
          <w:color w:val="000000" w:themeColor="text1"/>
          <w:sz w:val="28"/>
          <w:szCs w:val="28"/>
        </w:rPr>
        <w:t>in scope</w:t>
      </w:r>
      <w:proofErr w:type="gramEnd"/>
      <w:r w:rsidRPr="008B16E9">
        <w:rPr>
          <w:rFonts w:ascii="Times New Roman" w:hAnsi="Times New Roman" w:cs="Times New Roman"/>
          <w:color w:val="000000" w:themeColor="text1"/>
          <w:sz w:val="28"/>
          <w:szCs w:val="28"/>
        </w:rPr>
        <w:t xml:space="preserve"> deliverables are:</w:t>
      </w:r>
    </w:p>
    <w:p w14:paraId="027B130B"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Cleaned corpus of historical thesis topics with title, abstract, keywords, domain, supervisor, year, and language fields.</w:t>
      </w:r>
    </w:p>
    <w:p w14:paraId="46963EE6"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Validated model configuration with documented weights, thresholds, and evaluation results.</w:t>
      </w:r>
    </w:p>
    <w:p w14:paraId="0CF7D65A"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FastAPI service connected to a vector search backend for top-k similarity search.</w:t>
      </w:r>
    </w:p>
    <w:p w14:paraId="1AE6E82E"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Coordinator facing workflow that displays similar topics, novelty components, and a reviewer decision field.</w:t>
      </w:r>
    </w:p>
    <w:p w14:paraId="2765EA01"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Quality dashboard with model metrics, latency, false </w:t>
      </w:r>
      <w:proofErr w:type="gramStart"/>
      <w:r w:rsidRPr="008B16E9">
        <w:rPr>
          <w:rFonts w:ascii="Times New Roman" w:hAnsi="Times New Roman" w:cs="Times New Roman"/>
          <w:color w:val="000000" w:themeColor="text1"/>
          <w:sz w:val="28"/>
          <w:szCs w:val="28"/>
        </w:rPr>
        <w:t>high risk</w:t>
      </w:r>
      <w:proofErr w:type="gramEnd"/>
      <w:r w:rsidRPr="008B16E9">
        <w:rPr>
          <w:rFonts w:ascii="Times New Roman" w:hAnsi="Times New Roman" w:cs="Times New Roman"/>
          <w:color w:val="000000" w:themeColor="text1"/>
          <w:sz w:val="28"/>
          <w:szCs w:val="28"/>
        </w:rPr>
        <w:t xml:space="preserve"> rate, and reviewer feedback.</w:t>
      </w:r>
    </w:p>
    <w:p w14:paraId="0BCEF22C"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lastRenderedPageBreak/>
        <w:t>Pilot report, deployment checklist, training material, and final lessons learned report.</w:t>
      </w:r>
    </w:p>
    <w:p w14:paraId="1D2D323E"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Out of scope are automatic rejection of student topics, supervisor assignment optimization, full thesis lifecycle management, and replacement of academic committee review. Keeping those items out of scope protects schedule and quality because the model needs a narrow first use case before wider platform functions </w:t>
      </w:r>
      <w:proofErr w:type="gramStart"/>
      <w:r w:rsidRPr="008B16E9">
        <w:rPr>
          <w:rFonts w:ascii="Times New Roman" w:hAnsi="Times New Roman" w:cs="Times New Roman"/>
          <w:color w:val="000000" w:themeColor="text1"/>
          <w:sz w:val="28"/>
          <w:szCs w:val="28"/>
        </w:rPr>
        <w:t>are</w:t>
      </w:r>
      <w:proofErr w:type="gramEnd"/>
      <w:r w:rsidRPr="008B16E9">
        <w:rPr>
          <w:rFonts w:ascii="Times New Roman" w:hAnsi="Times New Roman" w:cs="Times New Roman"/>
          <w:color w:val="000000" w:themeColor="text1"/>
          <w:sz w:val="28"/>
          <w:szCs w:val="28"/>
        </w:rPr>
        <w:t xml:space="preserve"> added.</w:t>
      </w:r>
    </w:p>
    <w:p w14:paraId="69ED2719"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br w:type="page"/>
      </w:r>
    </w:p>
    <w:p w14:paraId="4A01DB39"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lastRenderedPageBreak/>
        <w:t>2.3 Work Breakdown Structure</w:t>
      </w:r>
    </w:p>
    <w:p w14:paraId="4443FE30"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noProof/>
          <w:color w:val="000000" w:themeColor="text1"/>
          <w:sz w:val="28"/>
          <w:szCs w:val="28"/>
        </w:rPr>
        <w:drawing>
          <wp:inline distT="0" distB="0" distL="0" distR="0" wp14:anchorId="51BCAE6D" wp14:editId="4E7C5BC5">
            <wp:extent cx="5897880" cy="3866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png"/>
                    <pic:cNvPicPr/>
                  </pic:nvPicPr>
                  <pic:blipFill>
                    <a:blip r:embed="rId10"/>
                    <a:stretch>
                      <a:fillRect/>
                    </a:stretch>
                  </pic:blipFill>
                  <pic:spPr>
                    <a:xfrm>
                      <a:off x="0" y="0"/>
                      <a:ext cx="5897880" cy="3866388"/>
                    </a:xfrm>
                    <a:prstGeom prst="rect">
                      <a:avLst/>
                    </a:prstGeom>
                  </pic:spPr>
                </pic:pic>
              </a:graphicData>
            </a:graphic>
          </wp:inline>
        </w:drawing>
      </w:r>
    </w:p>
    <w:p w14:paraId="7F7B412A" w14:textId="77777777" w:rsidR="00636371" w:rsidRPr="008B16E9" w:rsidRDefault="00000000">
      <w:pPr>
        <w:spacing w:before="40" w:after="200"/>
        <w:jc w:val="center"/>
        <w:rPr>
          <w:rFonts w:ascii="Times New Roman" w:hAnsi="Times New Roman" w:cs="Times New Roman"/>
          <w:color w:val="000000" w:themeColor="text1"/>
          <w:sz w:val="28"/>
          <w:szCs w:val="28"/>
        </w:rPr>
      </w:pPr>
      <w:r w:rsidRPr="008B16E9">
        <w:rPr>
          <w:rFonts w:ascii="Times New Roman" w:hAnsi="Times New Roman" w:cs="Times New Roman"/>
          <w:i/>
          <w:color w:val="000000" w:themeColor="text1"/>
          <w:sz w:val="28"/>
          <w:szCs w:val="28"/>
        </w:rPr>
        <w:t>Figure 3. WBS for implementing the novelty screening module.</w:t>
      </w:r>
    </w:p>
    <w:tbl>
      <w:tblPr>
        <w:tblStyle w:val="aff0"/>
        <w:tblW w:w="9360" w:type="dxa"/>
        <w:tblLook w:val="04A0" w:firstRow="1" w:lastRow="0" w:firstColumn="1" w:lastColumn="0" w:noHBand="0" w:noVBand="1"/>
      </w:tblPr>
      <w:tblGrid>
        <w:gridCol w:w="1512"/>
        <w:gridCol w:w="2880"/>
        <w:gridCol w:w="4968"/>
      </w:tblGrid>
      <w:tr w:rsidR="00636371" w:rsidRPr="008B16E9" w14:paraId="2346C439" w14:textId="77777777" w:rsidTr="008B16E9">
        <w:tc>
          <w:tcPr>
            <w:tcW w:w="1512" w:type="dxa"/>
          </w:tcPr>
          <w:p w14:paraId="367FDE45"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WBS code</w:t>
            </w:r>
          </w:p>
        </w:tc>
        <w:tc>
          <w:tcPr>
            <w:tcW w:w="2880" w:type="dxa"/>
          </w:tcPr>
          <w:p w14:paraId="627EDA3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Work package</w:t>
            </w:r>
          </w:p>
        </w:tc>
        <w:tc>
          <w:tcPr>
            <w:tcW w:w="4968" w:type="dxa"/>
          </w:tcPr>
          <w:p w14:paraId="3785CE4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Main deliverables</w:t>
            </w:r>
          </w:p>
        </w:tc>
      </w:tr>
      <w:tr w:rsidR="00636371" w:rsidRPr="008B16E9" w14:paraId="06EE6B93" w14:textId="77777777" w:rsidTr="008B16E9">
        <w:tc>
          <w:tcPr>
            <w:tcW w:w="1512" w:type="dxa"/>
          </w:tcPr>
          <w:p w14:paraId="6CE2770D"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w:t>
            </w:r>
          </w:p>
        </w:tc>
        <w:tc>
          <w:tcPr>
            <w:tcW w:w="2880" w:type="dxa"/>
          </w:tcPr>
          <w:p w14:paraId="46FE1E5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Governance and project control</w:t>
            </w:r>
          </w:p>
        </w:tc>
        <w:tc>
          <w:tcPr>
            <w:tcW w:w="4968" w:type="dxa"/>
          </w:tcPr>
          <w:p w14:paraId="1DDEC9BF"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Charter, stakeholder map, schedule baseline, risk register, change control process</w:t>
            </w:r>
          </w:p>
        </w:tc>
      </w:tr>
      <w:tr w:rsidR="00636371" w:rsidRPr="008B16E9" w14:paraId="1FA1372C" w14:textId="77777777" w:rsidTr="008B16E9">
        <w:tc>
          <w:tcPr>
            <w:tcW w:w="1512" w:type="dxa"/>
          </w:tcPr>
          <w:p w14:paraId="03A188F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1.2</w:t>
            </w:r>
          </w:p>
        </w:tc>
        <w:tc>
          <w:tcPr>
            <w:tcW w:w="2880" w:type="dxa"/>
          </w:tcPr>
          <w:p w14:paraId="670F7BA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Data and compliance</w:t>
            </w:r>
          </w:p>
        </w:tc>
        <w:tc>
          <w:tcPr>
            <w:tcW w:w="4968" w:type="dxa"/>
          </w:tcPr>
          <w:p w14:paraId="5807003E"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Data access approval, cleaned historical topics, labeled validation pairs, privacy notes</w:t>
            </w:r>
          </w:p>
        </w:tc>
      </w:tr>
      <w:tr w:rsidR="00636371" w:rsidRPr="008B16E9" w14:paraId="3A57933E" w14:textId="77777777" w:rsidTr="008B16E9">
        <w:tc>
          <w:tcPr>
            <w:tcW w:w="1512" w:type="dxa"/>
          </w:tcPr>
          <w:p w14:paraId="06CE5500"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1.3</w:t>
            </w:r>
          </w:p>
        </w:tc>
        <w:tc>
          <w:tcPr>
            <w:tcW w:w="2880" w:type="dxa"/>
          </w:tcPr>
          <w:p w14:paraId="349F957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Model development</w:t>
            </w:r>
          </w:p>
        </w:tc>
        <w:tc>
          <w:tcPr>
            <w:tcW w:w="4968" w:type="dxa"/>
          </w:tcPr>
          <w:p w14:paraId="69353C4F"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Embedding backend, score calibration, threshold evaluation, reproducible experiment report</w:t>
            </w:r>
          </w:p>
        </w:tc>
      </w:tr>
      <w:tr w:rsidR="00636371" w:rsidRPr="008B16E9" w14:paraId="137B6A2C" w14:textId="77777777" w:rsidTr="008B16E9">
        <w:tc>
          <w:tcPr>
            <w:tcW w:w="1512" w:type="dxa"/>
          </w:tcPr>
          <w:p w14:paraId="4CB8849E"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1.4</w:t>
            </w:r>
          </w:p>
        </w:tc>
        <w:tc>
          <w:tcPr>
            <w:tcW w:w="2880" w:type="dxa"/>
          </w:tcPr>
          <w:p w14:paraId="5DC48C1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Platform integration</w:t>
            </w:r>
          </w:p>
        </w:tc>
        <w:tc>
          <w:tcPr>
            <w:tcW w:w="4968" w:type="dxa"/>
          </w:tcPr>
          <w:p w14:paraId="583F67B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pgvector schema, API endpoint, UI workflow, logging and monitoring</w:t>
            </w:r>
          </w:p>
        </w:tc>
      </w:tr>
      <w:tr w:rsidR="00636371" w:rsidRPr="008B16E9" w14:paraId="48128F6B" w14:textId="77777777" w:rsidTr="008B16E9">
        <w:tc>
          <w:tcPr>
            <w:tcW w:w="1512" w:type="dxa"/>
          </w:tcPr>
          <w:p w14:paraId="00A4C96B"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w:t>
            </w:r>
          </w:p>
        </w:tc>
        <w:tc>
          <w:tcPr>
            <w:tcW w:w="2880" w:type="dxa"/>
          </w:tcPr>
          <w:p w14:paraId="4CCFC08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Quality and validation</w:t>
            </w:r>
          </w:p>
        </w:tc>
        <w:tc>
          <w:tcPr>
            <w:tcW w:w="4968" w:type="dxa"/>
          </w:tcPr>
          <w:p w14:paraId="5919A66D"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Unit tests, integration tests, performance tests, security review, acceptance criteria</w:t>
            </w:r>
          </w:p>
        </w:tc>
      </w:tr>
      <w:tr w:rsidR="00636371" w:rsidRPr="008B16E9" w14:paraId="04AEAFB3" w14:textId="77777777" w:rsidTr="008B16E9">
        <w:tc>
          <w:tcPr>
            <w:tcW w:w="1512" w:type="dxa"/>
          </w:tcPr>
          <w:p w14:paraId="0B14E45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lastRenderedPageBreak/>
              <w:t>1.6</w:t>
            </w:r>
          </w:p>
        </w:tc>
        <w:tc>
          <w:tcPr>
            <w:tcW w:w="2880" w:type="dxa"/>
          </w:tcPr>
          <w:p w14:paraId="3B87FF92"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Pilot and rollout</w:t>
            </w:r>
          </w:p>
        </w:tc>
        <w:tc>
          <w:tcPr>
            <w:tcW w:w="4968" w:type="dxa"/>
          </w:tcPr>
          <w:p w14:paraId="6B645F7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Training, pilot feedback, production deployment, closure report</w:t>
            </w:r>
          </w:p>
        </w:tc>
      </w:tr>
    </w:tbl>
    <w:p w14:paraId="3C970F50"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WBS is built around deliverables, not around people. This matters because one person may support several work packages, and one work package may need several roles. For example, model development requires the ML engineer, domain reviewers, and the project manager because threshold choice is both a technical and governance decision.</w:t>
      </w:r>
    </w:p>
    <w:p w14:paraId="0A334D21"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2.4 Gantt Chart and Critical Path</w:t>
      </w:r>
    </w:p>
    <w:p w14:paraId="6D228F07"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project is planned as a </w:t>
      </w:r>
      <w:proofErr w:type="gramStart"/>
      <w:r w:rsidRPr="008B16E9">
        <w:rPr>
          <w:rFonts w:ascii="Times New Roman" w:hAnsi="Times New Roman" w:cs="Times New Roman"/>
          <w:color w:val="000000" w:themeColor="text1"/>
          <w:sz w:val="28"/>
          <w:szCs w:val="28"/>
        </w:rPr>
        <w:t>17 week</w:t>
      </w:r>
      <w:proofErr w:type="gramEnd"/>
      <w:r w:rsidRPr="008B16E9">
        <w:rPr>
          <w:rFonts w:ascii="Times New Roman" w:hAnsi="Times New Roman" w:cs="Times New Roman"/>
          <w:color w:val="000000" w:themeColor="text1"/>
          <w:sz w:val="28"/>
          <w:szCs w:val="28"/>
        </w:rPr>
        <w:t xml:space="preserve"> implementation. The schedule starts with requirements and data approvals because a model project cannot proceed reliably without access to historical topic data. Model adaptation and platform integration then run in a controlled sequence. The pilot starts only after QA, security, and performance tests confirm that the service can support real review work.</w:t>
      </w:r>
    </w:p>
    <w:p w14:paraId="61D5E78B"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noProof/>
          <w:color w:val="000000" w:themeColor="text1"/>
          <w:sz w:val="28"/>
          <w:szCs w:val="28"/>
        </w:rPr>
        <w:drawing>
          <wp:inline distT="0" distB="0" distL="0" distR="0" wp14:anchorId="13D97C0C" wp14:editId="197885EB">
            <wp:extent cx="5897880" cy="3866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pm.png"/>
                    <pic:cNvPicPr/>
                  </pic:nvPicPr>
                  <pic:blipFill>
                    <a:blip r:embed="rId11"/>
                    <a:stretch>
                      <a:fillRect/>
                    </a:stretch>
                  </pic:blipFill>
                  <pic:spPr>
                    <a:xfrm>
                      <a:off x="0" y="0"/>
                      <a:ext cx="5897880" cy="3866388"/>
                    </a:xfrm>
                    <a:prstGeom prst="rect">
                      <a:avLst/>
                    </a:prstGeom>
                  </pic:spPr>
                </pic:pic>
              </a:graphicData>
            </a:graphic>
          </wp:inline>
        </w:drawing>
      </w:r>
    </w:p>
    <w:p w14:paraId="66209DD4" w14:textId="77777777" w:rsidR="00636371" w:rsidRPr="008B16E9" w:rsidRDefault="00000000">
      <w:pPr>
        <w:spacing w:before="40" w:after="200"/>
        <w:jc w:val="center"/>
        <w:rPr>
          <w:rFonts w:ascii="Times New Roman" w:hAnsi="Times New Roman" w:cs="Times New Roman"/>
          <w:color w:val="000000" w:themeColor="text1"/>
          <w:sz w:val="28"/>
          <w:szCs w:val="28"/>
        </w:rPr>
      </w:pPr>
      <w:r w:rsidRPr="008B16E9">
        <w:rPr>
          <w:rFonts w:ascii="Times New Roman" w:hAnsi="Times New Roman" w:cs="Times New Roman"/>
          <w:i/>
          <w:color w:val="000000" w:themeColor="text1"/>
          <w:sz w:val="28"/>
          <w:szCs w:val="28"/>
        </w:rPr>
        <w:t>Figure 4. Gantt chart and CPM view. Blue bars are critical path activities.</w:t>
      </w:r>
    </w:p>
    <w:tbl>
      <w:tblPr>
        <w:tblStyle w:val="aff0"/>
        <w:tblW w:w="9216" w:type="dxa"/>
        <w:tblLook w:val="04A0" w:firstRow="1" w:lastRow="0" w:firstColumn="1" w:lastColumn="0" w:noHBand="0" w:noVBand="1"/>
      </w:tblPr>
      <w:tblGrid>
        <w:gridCol w:w="590"/>
        <w:gridCol w:w="2702"/>
        <w:gridCol w:w="769"/>
        <w:gridCol w:w="885"/>
        <w:gridCol w:w="559"/>
        <w:gridCol w:w="574"/>
        <w:gridCol w:w="559"/>
        <w:gridCol w:w="574"/>
        <w:gridCol w:w="870"/>
        <w:gridCol w:w="1134"/>
      </w:tblGrid>
      <w:tr w:rsidR="00636371" w:rsidRPr="008B16E9" w14:paraId="44CBCDF9" w14:textId="77777777" w:rsidTr="008B16E9">
        <w:tc>
          <w:tcPr>
            <w:tcW w:w="648" w:type="dxa"/>
          </w:tcPr>
          <w:p w14:paraId="0C53C22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lastRenderedPageBreak/>
              <w:t>ID</w:t>
            </w:r>
          </w:p>
        </w:tc>
        <w:tc>
          <w:tcPr>
            <w:tcW w:w="3671" w:type="dxa"/>
          </w:tcPr>
          <w:p w14:paraId="044C40D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Activity</w:t>
            </w:r>
          </w:p>
        </w:tc>
        <w:tc>
          <w:tcPr>
            <w:tcW w:w="648" w:type="dxa"/>
          </w:tcPr>
          <w:p w14:paraId="7C60367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Dur.</w:t>
            </w:r>
          </w:p>
        </w:tc>
        <w:tc>
          <w:tcPr>
            <w:tcW w:w="792" w:type="dxa"/>
          </w:tcPr>
          <w:p w14:paraId="1215920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Pred.</w:t>
            </w:r>
          </w:p>
        </w:tc>
        <w:tc>
          <w:tcPr>
            <w:tcW w:w="503" w:type="dxa"/>
          </w:tcPr>
          <w:p w14:paraId="6090C015"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ES</w:t>
            </w:r>
          </w:p>
        </w:tc>
        <w:tc>
          <w:tcPr>
            <w:tcW w:w="503" w:type="dxa"/>
          </w:tcPr>
          <w:p w14:paraId="2C25CAC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EF</w:t>
            </w:r>
          </w:p>
        </w:tc>
        <w:tc>
          <w:tcPr>
            <w:tcW w:w="503" w:type="dxa"/>
          </w:tcPr>
          <w:p w14:paraId="40E13CB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LS</w:t>
            </w:r>
          </w:p>
        </w:tc>
        <w:tc>
          <w:tcPr>
            <w:tcW w:w="503" w:type="dxa"/>
          </w:tcPr>
          <w:p w14:paraId="1BE3EF9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LF</w:t>
            </w:r>
          </w:p>
        </w:tc>
        <w:tc>
          <w:tcPr>
            <w:tcW w:w="792" w:type="dxa"/>
          </w:tcPr>
          <w:p w14:paraId="126B079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Slack</w:t>
            </w:r>
          </w:p>
        </w:tc>
        <w:tc>
          <w:tcPr>
            <w:tcW w:w="648" w:type="dxa"/>
          </w:tcPr>
          <w:p w14:paraId="2F0DF06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Critical</w:t>
            </w:r>
          </w:p>
        </w:tc>
      </w:tr>
      <w:tr w:rsidR="00636371" w:rsidRPr="008B16E9" w14:paraId="0272B8E5" w14:textId="77777777" w:rsidTr="008B16E9">
        <w:tc>
          <w:tcPr>
            <w:tcW w:w="648" w:type="dxa"/>
          </w:tcPr>
          <w:p w14:paraId="59A99249"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A</w:t>
            </w:r>
          </w:p>
        </w:tc>
        <w:tc>
          <w:tcPr>
            <w:tcW w:w="3671" w:type="dxa"/>
          </w:tcPr>
          <w:p w14:paraId="595DE9A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Initiation and requirements</w:t>
            </w:r>
          </w:p>
        </w:tc>
        <w:tc>
          <w:tcPr>
            <w:tcW w:w="648" w:type="dxa"/>
          </w:tcPr>
          <w:p w14:paraId="02D8FA5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792" w:type="dxa"/>
          </w:tcPr>
          <w:p w14:paraId="5909AE0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w:t>
            </w:r>
          </w:p>
        </w:tc>
        <w:tc>
          <w:tcPr>
            <w:tcW w:w="503" w:type="dxa"/>
          </w:tcPr>
          <w:p w14:paraId="63673AF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503" w:type="dxa"/>
          </w:tcPr>
          <w:p w14:paraId="0A4EB59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503" w:type="dxa"/>
          </w:tcPr>
          <w:p w14:paraId="0899CFE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503" w:type="dxa"/>
          </w:tcPr>
          <w:p w14:paraId="0FC9AD8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792" w:type="dxa"/>
          </w:tcPr>
          <w:p w14:paraId="4713015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3F28272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00B304DE" w14:textId="77777777" w:rsidTr="008B16E9">
        <w:tc>
          <w:tcPr>
            <w:tcW w:w="648" w:type="dxa"/>
          </w:tcPr>
          <w:p w14:paraId="062BE5BD"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w:t>
            </w:r>
          </w:p>
        </w:tc>
        <w:tc>
          <w:tcPr>
            <w:tcW w:w="3671" w:type="dxa"/>
          </w:tcPr>
          <w:p w14:paraId="5D192E25"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Data audit and access approvals</w:t>
            </w:r>
          </w:p>
        </w:tc>
        <w:tc>
          <w:tcPr>
            <w:tcW w:w="648" w:type="dxa"/>
          </w:tcPr>
          <w:p w14:paraId="2A0C31E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792" w:type="dxa"/>
          </w:tcPr>
          <w:p w14:paraId="30E355C4"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A</w:t>
            </w:r>
          </w:p>
        </w:tc>
        <w:tc>
          <w:tcPr>
            <w:tcW w:w="503" w:type="dxa"/>
          </w:tcPr>
          <w:p w14:paraId="1C5E1AC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503" w:type="dxa"/>
          </w:tcPr>
          <w:p w14:paraId="6136A85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503" w:type="dxa"/>
          </w:tcPr>
          <w:p w14:paraId="08E6416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503" w:type="dxa"/>
          </w:tcPr>
          <w:p w14:paraId="046877D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792" w:type="dxa"/>
          </w:tcPr>
          <w:p w14:paraId="36CA685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0E12C24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3ABD8684" w14:textId="77777777" w:rsidTr="008B16E9">
        <w:tc>
          <w:tcPr>
            <w:tcW w:w="648" w:type="dxa"/>
          </w:tcPr>
          <w:p w14:paraId="6ECE7689"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w:t>
            </w:r>
          </w:p>
        </w:tc>
        <w:tc>
          <w:tcPr>
            <w:tcW w:w="3671" w:type="dxa"/>
          </w:tcPr>
          <w:p w14:paraId="01A6675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Corpus preparation and labeling</w:t>
            </w:r>
          </w:p>
        </w:tc>
        <w:tc>
          <w:tcPr>
            <w:tcW w:w="648" w:type="dxa"/>
          </w:tcPr>
          <w:p w14:paraId="67D69C4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792" w:type="dxa"/>
          </w:tcPr>
          <w:p w14:paraId="2F35B0A0"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w:t>
            </w:r>
          </w:p>
        </w:tc>
        <w:tc>
          <w:tcPr>
            <w:tcW w:w="503" w:type="dxa"/>
          </w:tcPr>
          <w:p w14:paraId="39C5B9D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503" w:type="dxa"/>
          </w:tcPr>
          <w:p w14:paraId="71779DD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6</w:t>
            </w:r>
          </w:p>
        </w:tc>
        <w:tc>
          <w:tcPr>
            <w:tcW w:w="503" w:type="dxa"/>
          </w:tcPr>
          <w:p w14:paraId="14EFED92"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w:t>
            </w:r>
          </w:p>
        </w:tc>
        <w:tc>
          <w:tcPr>
            <w:tcW w:w="503" w:type="dxa"/>
          </w:tcPr>
          <w:p w14:paraId="5379BC0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8</w:t>
            </w:r>
          </w:p>
        </w:tc>
        <w:tc>
          <w:tcPr>
            <w:tcW w:w="792" w:type="dxa"/>
          </w:tcPr>
          <w:p w14:paraId="0030198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648" w:type="dxa"/>
          </w:tcPr>
          <w:p w14:paraId="50507C4D"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No</w:t>
            </w:r>
          </w:p>
        </w:tc>
      </w:tr>
      <w:tr w:rsidR="00636371" w:rsidRPr="008B16E9" w14:paraId="1CB90CB9" w14:textId="77777777" w:rsidTr="008B16E9">
        <w:tc>
          <w:tcPr>
            <w:tcW w:w="648" w:type="dxa"/>
          </w:tcPr>
          <w:p w14:paraId="13DE5770"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w:t>
            </w:r>
          </w:p>
        </w:tc>
        <w:tc>
          <w:tcPr>
            <w:tcW w:w="3671" w:type="dxa"/>
          </w:tcPr>
          <w:p w14:paraId="53CD233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Baseline model adaptation</w:t>
            </w:r>
          </w:p>
        </w:tc>
        <w:tc>
          <w:tcPr>
            <w:tcW w:w="648" w:type="dxa"/>
          </w:tcPr>
          <w:p w14:paraId="7FCD431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792" w:type="dxa"/>
          </w:tcPr>
          <w:p w14:paraId="00945740"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w:t>
            </w:r>
          </w:p>
        </w:tc>
        <w:tc>
          <w:tcPr>
            <w:tcW w:w="503" w:type="dxa"/>
          </w:tcPr>
          <w:p w14:paraId="55E3F01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503" w:type="dxa"/>
          </w:tcPr>
          <w:p w14:paraId="247D906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w:t>
            </w:r>
          </w:p>
        </w:tc>
        <w:tc>
          <w:tcPr>
            <w:tcW w:w="503" w:type="dxa"/>
          </w:tcPr>
          <w:p w14:paraId="00195E4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503" w:type="dxa"/>
          </w:tcPr>
          <w:p w14:paraId="6843106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w:t>
            </w:r>
          </w:p>
        </w:tc>
        <w:tc>
          <w:tcPr>
            <w:tcW w:w="792" w:type="dxa"/>
          </w:tcPr>
          <w:p w14:paraId="6FDA13B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1C3447F4"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78C3D4D4" w14:textId="77777777" w:rsidTr="008B16E9">
        <w:tc>
          <w:tcPr>
            <w:tcW w:w="648" w:type="dxa"/>
          </w:tcPr>
          <w:p w14:paraId="0229C7B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E</w:t>
            </w:r>
          </w:p>
        </w:tc>
        <w:tc>
          <w:tcPr>
            <w:tcW w:w="3671" w:type="dxa"/>
          </w:tcPr>
          <w:p w14:paraId="17DF54E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Hybrid score calibration</w:t>
            </w:r>
          </w:p>
        </w:tc>
        <w:tc>
          <w:tcPr>
            <w:tcW w:w="648" w:type="dxa"/>
          </w:tcPr>
          <w:p w14:paraId="6DC9F0B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792" w:type="dxa"/>
          </w:tcPr>
          <w:p w14:paraId="7723E362" w14:textId="77777777" w:rsidR="00636371" w:rsidRPr="008B16E9" w:rsidRDefault="00000000">
            <w:pPr>
              <w:spacing w:after="0" w:line="269" w:lineRule="auto"/>
              <w:rPr>
                <w:rFonts w:ascii="Times New Roman" w:hAnsi="Times New Roman" w:cs="Times New Roman"/>
                <w:color w:val="000000" w:themeColor="text1"/>
                <w:sz w:val="28"/>
                <w:szCs w:val="28"/>
              </w:rPr>
            </w:pPr>
            <w:proofErr w:type="gramStart"/>
            <w:r w:rsidRPr="008B16E9">
              <w:rPr>
                <w:rFonts w:ascii="Times New Roman" w:hAnsi="Times New Roman" w:cs="Times New Roman"/>
                <w:color w:val="000000" w:themeColor="text1"/>
                <w:sz w:val="28"/>
                <w:szCs w:val="28"/>
              </w:rPr>
              <w:t>C,D</w:t>
            </w:r>
            <w:proofErr w:type="gramEnd"/>
          </w:p>
        </w:tc>
        <w:tc>
          <w:tcPr>
            <w:tcW w:w="503" w:type="dxa"/>
          </w:tcPr>
          <w:p w14:paraId="36D71712"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6</w:t>
            </w:r>
          </w:p>
        </w:tc>
        <w:tc>
          <w:tcPr>
            <w:tcW w:w="503" w:type="dxa"/>
          </w:tcPr>
          <w:p w14:paraId="749CD9B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9</w:t>
            </w:r>
          </w:p>
        </w:tc>
        <w:tc>
          <w:tcPr>
            <w:tcW w:w="503" w:type="dxa"/>
          </w:tcPr>
          <w:p w14:paraId="405A1D7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8</w:t>
            </w:r>
          </w:p>
        </w:tc>
        <w:tc>
          <w:tcPr>
            <w:tcW w:w="503" w:type="dxa"/>
          </w:tcPr>
          <w:p w14:paraId="5C288CE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w:t>
            </w:r>
          </w:p>
        </w:tc>
        <w:tc>
          <w:tcPr>
            <w:tcW w:w="792" w:type="dxa"/>
          </w:tcPr>
          <w:p w14:paraId="1AB3839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648" w:type="dxa"/>
          </w:tcPr>
          <w:p w14:paraId="73CC1EBB"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No</w:t>
            </w:r>
          </w:p>
        </w:tc>
      </w:tr>
      <w:tr w:rsidR="00636371" w:rsidRPr="008B16E9" w14:paraId="3B377795" w14:textId="77777777" w:rsidTr="008B16E9">
        <w:tc>
          <w:tcPr>
            <w:tcW w:w="648" w:type="dxa"/>
          </w:tcPr>
          <w:p w14:paraId="0BC8D49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w:t>
            </w:r>
          </w:p>
        </w:tc>
        <w:tc>
          <w:tcPr>
            <w:tcW w:w="3671" w:type="dxa"/>
          </w:tcPr>
          <w:p w14:paraId="3291276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Backend API and pgvector</w:t>
            </w:r>
          </w:p>
        </w:tc>
        <w:tc>
          <w:tcPr>
            <w:tcW w:w="648" w:type="dxa"/>
          </w:tcPr>
          <w:p w14:paraId="05A2A11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792" w:type="dxa"/>
          </w:tcPr>
          <w:p w14:paraId="4B0AF26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w:t>
            </w:r>
          </w:p>
        </w:tc>
        <w:tc>
          <w:tcPr>
            <w:tcW w:w="503" w:type="dxa"/>
          </w:tcPr>
          <w:p w14:paraId="7E024DB4"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w:t>
            </w:r>
          </w:p>
        </w:tc>
        <w:tc>
          <w:tcPr>
            <w:tcW w:w="503" w:type="dxa"/>
          </w:tcPr>
          <w:p w14:paraId="396BEEF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8</w:t>
            </w:r>
          </w:p>
        </w:tc>
        <w:tc>
          <w:tcPr>
            <w:tcW w:w="503" w:type="dxa"/>
          </w:tcPr>
          <w:p w14:paraId="7CBC892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w:t>
            </w:r>
          </w:p>
        </w:tc>
        <w:tc>
          <w:tcPr>
            <w:tcW w:w="503" w:type="dxa"/>
          </w:tcPr>
          <w:p w14:paraId="67E7435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8</w:t>
            </w:r>
          </w:p>
        </w:tc>
        <w:tc>
          <w:tcPr>
            <w:tcW w:w="792" w:type="dxa"/>
          </w:tcPr>
          <w:p w14:paraId="2E0F18B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14347349"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2573A482" w14:textId="77777777" w:rsidTr="008B16E9">
        <w:tc>
          <w:tcPr>
            <w:tcW w:w="648" w:type="dxa"/>
          </w:tcPr>
          <w:p w14:paraId="59F37495"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G</w:t>
            </w:r>
          </w:p>
        </w:tc>
        <w:tc>
          <w:tcPr>
            <w:tcW w:w="3671" w:type="dxa"/>
          </w:tcPr>
          <w:p w14:paraId="6BCC4FB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UI workflow and dashboard</w:t>
            </w:r>
          </w:p>
        </w:tc>
        <w:tc>
          <w:tcPr>
            <w:tcW w:w="648" w:type="dxa"/>
          </w:tcPr>
          <w:p w14:paraId="181B2CA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792" w:type="dxa"/>
          </w:tcPr>
          <w:p w14:paraId="658C97D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w:t>
            </w:r>
          </w:p>
        </w:tc>
        <w:tc>
          <w:tcPr>
            <w:tcW w:w="503" w:type="dxa"/>
          </w:tcPr>
          <w:p w14:paraId="5DAB2F5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8</w:t>
            </w:r>
          </w:p>
        </w:tc>
        <w:tc>
          <w:tcPr>
            <w:tcW w:w="503" w:type="dxa"/>
          </w:tcPr>
          <w:p w14:paraId="0B44C51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w:t>
            </w:r>
          </w:p>
        </w:tc>
        <w:tc>
          <w:tcPr>
            <w:tcW w:w="503" w:type="dxa"/>
          </w:tcPr>
          <w:p w14:paraId="684A206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8</w:t>
            </w:r>
          </w:p>
        </w:tc>
        <w:tc>
          <w:tcPr>
            <w:tcW w:w="503" w:type="dxa"/>
          </w:tcPr>
          <w:p w14:paraId="7ECA04D4"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w:t>
            </w:r>
          </w:p>
        </w:tc>
        <w:tc>
          <w:tcPr>
            <w:tcW w:w="792" w:type="dxa"/>
          </w:tcPr>
          <w:p w14:paraId="27282B0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4B08A375"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00219959" w14:textId="77777777" w:rsidTr="008B16E9">
        <w:tc>
          <w:tcPr>
            <w:tcW w:w="648" w:type="dxa"/>
          </w:tcPr>
          <w:p w14:paraId="607AE35F"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H</w:t>
            </w:r>
          </w:p>
        </w:tc>
        <w:tc>
          <w:tcPr>
            <w:tcW w:w="3671" w:type="dxa"/>
          </w:tcPr>
          <w:p w14:paraId="65718CA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QA, security, performance tests</w:t>
            </w:r>
          </w:p>
        </w:tc>
        <w:tc>
          <w:tcPr>
            <w:tcW w:w="648" w:type="dxa"/>
          </w:tcPr>
          <w:p w14:paraId="502EA88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792" w:type="dxa"/>
          </w:tcPr>
          <w:p w14:paraId="29044186" w14:textId="77777777" w:rsidR="00636371" w:rsidRPr="008B16E9" w:rsidRDefault="00000000">
            <w:pPr>
              <w:spacing w:after="0" w:line="269" w:lineRule="auto"/>
              <w:rPr>
                <w:rFonts w:ascii="Times New Roman" w:hAnsi="Times New Roman" w:cs="Times New Roman"/>
                <w:color w:val="000000" w:themeColor="text1"/>
                <w:sz w:val="28"/>
                <w:szCs w:val="28"/>
              </w:rPr>
            </w:pPr>
            <w:proofErr w:type="gramStart"/>
            <w:r w:rsidRPr="008B16E9">
              <w:rPr>
                <w:rFonts w:ascii="Times New Roman" w:hAnsi="Times New Roman" w:cs="Times New Roman"/>
                <w:color w:val="000000" w:themeColor="text1"/>
                <w:sz w:val="28"/>
                <w:szCs w:val="28"/>
              </w:rPr>
              <w:t>E,F</w:t>
            </w:r>
            <w:proofErr w:type="gramEnd"/>
            <w:r w:rsidRPr="008B16E9">
              <w:rPr>
                <w:rFonts w:ascii="Times New Roman" w:hAnsi="Times New Roman" w:cs="Times New Roman"/>
                <w:color w:val="000000" w:themeColor="text1"/>
                <w:sz w:val="28"/>
                <w:szCs w:val="28"/>
              </w:rPr>
              <w:t>,G</w:t>
            </w:r>
          </w:p>
        </w:tc>
        <w:tc>
          <w:tcPr>
            <w:tcW w:w="503" w:type="dxa"/>
          </w:tcPr>
          <w:p w14:paraId="23527C8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w:t>
            </w:r>
          </w:p>
        </w:tc>
        <w:tc>
          <w:tcPr>
            <w:tcW w:w="503" w:type="dxa"/>
          </w:tcPr>
          <w:p w14:paraId="2E8058D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13</w:t>
            </w:r>
          </w:p>
        </w:tc>
        <w:tc>
          <w:tcPr>
            <w:tcW w:w="503" w:type="dxa"/>
          </w:tcPr>
          <w:p w14:paraId="0CDD8F2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w:t>
            </w:r>
          </w:p>
        </w:tc>
        <w:tc>
          <w:tcPr>
            <w:tcW w:w="503" w:type="dxa"/>
          </w:tcPr>
          <w:p w14:paraId="2ACA34A5"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13</w:t>
            </w:r>
          </w:p>
        </w:tc>
        <w:tc>
          <w:tcPr>
            <w:tcW w:w="792" w:type="dxa"/>
          </w:tcPr>
          <w:p w14:paraId="2A52777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38BE85D9"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42C16BD9" w14:textId="77777777" w:rsidTr="008B16E9">
        <w:tc>
          <w:tcPr>
            <w:tcW w:w="648" w:type="dxa"/>
          </w:tcPr>
          <w:p w14:paraId="240491B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I</w:t>
            </w:r>
          </w:p>
        </w:tc>
        <w:tc>
          <w:tcPr>
            <w:tcW w:w="3671" w:type="dxa"/>
          </w:tcPr>
          <w:p w14:paraId="5E56338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Pilot with coordinators</w:t>
            </w:r>
          </w:p>
        </w:tc>
        <w:tc>
          <w:tcPr>
            <w:tcW w:w="648" w:type="dxa"/>
          </w:tcPr>
          <w:p w14:paraId="2C02BBE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792" w:type="dxa"/>
          </w:tcPr>
          <w:p w14:paraId="7FF0215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H</w:t>
            </w:r>
          </w:p>
        </w:tc>
        <w:tc>
          <w:tcPr>
            <w:tcW w:w="503" w:type="dxa"/>
          </w:tcPr>
          <w:p w14:paraId="3A3B702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13</w:t>
            </w:r>
          </w:p>
        </w:tc>
        <w:tc>
          <w:tcPr>
            <w:tcW w:w="503" w:type="dxa"/>
          </w:tcPr>
          <w:p w14:paraId="154968F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w:t>
            </w:r>
          </w:p>
        </w:tc>
        <w:tc>
          <w:tcPr>
            <w:tcW w:w="503" w:type="dxa"/>
          </w:tcPr>
          <w:p w14:paraId="3C4BE64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13</w:t>
            </w:r>
          </w:p>
        </w:tc>
        <w:tc>
          <w:tcPr>
            <w:tcW w:w="503" w:type="dxa"/>
          </w:tcPr>
          <w:p w14:paraId="46CE0DE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w:t>
            </w:r>
          </w:p>
        </w:tc>
        <w:tc>
          <w:tcPr>
            <w:tcW w:w="792" w:type="dxa"/>
          </w:tcPr>
          <w:p w14:paraId="69F753A4"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5050B1CA"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0F024C02" w14:textId="77777777" w:rsidTr="008B16E9">
        <w:tc>
          <w:tcPr>
            <w:tcW w:w="648" w:type="dxa"/>
          </w:tcPr>
          <w:p w14:paraId="11533907"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J</w:t>
            </w:r>
          </w:p>
        </w:tc>
        <w:tc>
          <w:tcPr>
            <w:tcW w:w="3671" w:type="dxa"/>
          </w:tcPr>
          <w:p w14:paraId="40BF892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Deployment and training</w:t>
            </w:r>
          </w:p>
        </w:tc>
        <w:tc>
          <w:tcPr>
            <w:tcW w:w="648" w:type="dxa"/>
          </w:tcPr>
          <w:p w14:paraId="0EFE4FB4"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792" w:type="dxa"/>
          </w:tcPr>
          <w:p w14:paraId="4D44636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I</w:t>
            </w:r>
          </w:p>
        </w:tc>
        <w:tc>
          <w:tcPr>
            <w:tcW w:w="503" w:type="dxa"/>
          </w:tcPr>
          <w:p w14:paraId="53A5B33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w:t>
            </w:r>
          </w:p>
        </w:tc>
        <w:tc>
          <w:tcPr>
            <w:tcW w:w="503" w:type="dxa"/>
          </w:tcPr>
          <w:p w14:paraId="16DA290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16</w:t>
            </w:r>
          </w:p>
        </w:tc>
        <w:tc>
          <w:tcPr>
            <w:tcW w:w="503" w:type="dxa"/>
          </w:tcPr>
          <w:p w14:paraId="4A65447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w:t>
            </w:r>
          </w:p>
        </w:tc>
        <w:tc>
          <w:tcPr>
            <w:tcW w:w="503" w:type="dxa"/>
          </w:tcPr>
          <w:p w14:paraId="2A006F4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16</w:t>
            </w:r>
          </w:p>
        </w:tc>
        <w:tc>
          <w:tcPr>
            <w:tcW w:w="792" w:type="dxa"/>
          </w:tcPr>
          <w:p w14:paraId="6DBA062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148A0C30"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r w:rsidR="00636371" w:rsidRPr="008B16E9" w14:paraId="405CF621" w14:textId="77777777" w:rsidTr="008B16E9">
        <w:tc>
          <w:tcPr>
            <w:tcW w:w="648" w:type="dxa"/>
          </w:tcPr>
          <w:p w14:paraId="662A8F8A"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K</w:t>
            </w:r>
          </w:p>
        </w:tc>
        <w:tc>
          <w:tcPr>
            <w:tcW w:w="3671" w:type="dxa"/>
          </w:tcPr>
          <w:p w14:paraId="09D17E6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Closure and final report</w:t>
            </w:r>
          </w:p>
        </w:tc>
        <w:tc>
          <w:tcPr>
            <w:tcW w:w="648" w:type="dxa"/>
          </w:tcPr>
          <w:p w14:paraId="44EBAE2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792" w:type="dxa"/>
          </w:tcPr>
          <w:p w14:paraId="2085F65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J</w:t>
            </w:r>
          </w:p>
        </w:tc>
        <w:tc>
          <w:tcPr>
            <w:tcW w:w="503" w:type="dxa"/>
          </w:tcPr>
          <w:p w14:paraId="4E4893C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16</w:t>
            </w:r>
          </w:p>
        </w:tc>
        <w:tc>
          <w:tcPr>
            <w:tcW w:w="503" w:type="dxa"/>
          </w:tcPr>
          <w:p w14:paraId="515A95F5"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17</w:t>
            </w:r>
          </w:p>
        </w:tc>
        <w:tc>
          <w:tcPr>
            <w:tcW w:w="503" w:type="dxa"/>
          </w:tcPr>
          <w:p w14:paraId="1B37AF3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16</w:t>
            </w:r>
          </w:p>
        </w:tc>
        <w:tc>
          <w:tcPr>
            <w:tcW w:w="503" w:type="dxa"/>
          </w:tcPr>
          <w:p w14:paraId="4249E1A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17</w:t>
            </w:r>
          </w:p>
        </w:tc>
        <w:tc>
          <w:tcPr>
            <w:tcW w:w="792" w:type="dxa"/>
          </w:tcPr>
          <w:p w14:paraId="27632D4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w:t>
            </w:r>
          </w:p>
        </w:tc>
        <w:tc>
          <w:tcPr>
            <w:tcW w:w="648" w:type="dxa"/>
          </w:tcPr>
          <w:p w14:paraId="22CD7DB9"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Yes</w:t>
            </w:r>
          </w:p>
        </w:tc>
      </w:tr>
    </w:tbl>
    <w:p w14:paraId="495B143F"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critical path is A - B - D - F - G - H - I - J - K. It determines the </w:t>
      </w:r>
      <w:proofErr w:type="gramStart"/>
      <w:r w:rsidRPr="008B16E9">
        <w:rPr>
          <w:rFonts w:ascii="Times New Roman" w:hAnsi="Times New Roman" w:cs="Times New Roman"/>
          <w:color w:val="000000" w:themeColor="text1"/>
          <w:sz w:val="28"/>
          <w:szCs w:val="28"/>
        </w:rPr>
        <w:t>17 week</w:t>
      </w:r>
      <w:proofErr w:type="gramEnd"/>
      <w:r w:rsidRPr="008B16E9">
        <w:rPr>
          <w:rFonts w:ascii="Times New Roman" w:hAnsi="Times New Roman" w:cs="Times New Roman"/>
          <w:color w:val="000000" w:themeColor="text1"/>
          <w:sz w:val="28"/>
          <w:szCs w:val="28"/>
        </w:rPr>
        <w:t xml:space="preserve"> finish date. Corpus preparation and hybrid calibration have two weeks of slack because the integration stream through API, pgvector, and UI workflow is longer. This slack should not be wasted. It should be used to improve labeled pairs and check whether thresholds perform consistently across languages and domains.</w:t>
      </w:r>
    </w:p>
    <w:p w14:paraId="4624A0EF"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br w:type="page"/>
      </w:r>
    </w:p>
    <w:p w14:paraId="063EC7D2"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lastRenderedPageBreak/>
        <w:t xml:space="preserve">2.5 </w:t>
      </w:r>
      <w:proofErr w:type="gramStart"/>
      <w:r w:rsidRPr="008B16E9">
        <w:rPr>
          <w:rFonts w:ascii="Times New Roman" w:hAnsi="Times New Roman" w:cs="Times New Roman"/>
          <w:color w:val="000000" w:themeColor="text1"/>
          <w:sz w:val="28"/>
          <w:szCs w:val="28"/>
        </w:rPr>
        <w:t>Bottom Up</w:t>
      </w:r>
      <w:proofErr w:type="gramEnd"/>
      <w:r w:rsidRPr="008B16E9">
        <w:rPr>
          <w:rFonts w:ascii="Times New Roman" w:hAnsi="Times New Roman" w:cs="Times New Roman"/>
          <w:color w:val="000000" w:themeColor="text1"/>
          <w:sz w:val="28"/>
          <w:szCs w:val="28"/>
        </w:rPr>
        <w:t xml:space="preserve"> Budget with Contingency Reserve</w:t>
      </w:r>
    </w:p>
    <w:p w14:paraId="3184725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budget uses a bottom up estimate because the work packages are specific enough to estimate from role effort and direct costs. The figures are illustrative 2026 USD planning values. They should be replaced by institutional salary rates and procurement rules before formal approval.</w:t>
      </w:r>
    </w:p>
    <w:tbl>
      <w:tblPr>
        <w:tblStyle w:val="aff0"/>
        <w:tblW w:w="9360" w:type="dxa"/>
        <w:tblLook w:val="04A0" w:firstRow="1" w:lastRow="0" w:firstColumn="1" w:lastColumn="0" w:noHBand="0" w:noVBand="1"/>
      </w:tblPr>
      <w:tblGrid>
        <w:gridCol w:w="3240"/>
        <w:gridCol w:w="4824"/>
        <w:gridCol w:w="1296"/>
      </w:tblGrid>
      <w:tr w:rsidR="00636371" w:rsidRPr="008B16E9" w14:paraId="6CB07DF1" w14:textId="77777777" w:rsidTr="008B16E9">
        <w:tc>
          <w:tcPr>
            <w:tcW w:w="3240" w:type="dxa"/>
          </w:tcPr>
          <w:p w14:paraId="41237681"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Cost item</w:t>
            </w:r>
          </w:p>
        </w:tc>
        <w:tc>
          <w:tcPr>
            <w:tcW w:w="4824" w:type="dxa"/>
          </w:tcPr>
          <w:p w14:paraId="0886193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Basis</w:t>
            </w:r>
          </w:p>
        </w:tc>
        <w:tc>
          <w:tcPr>
            <w:tcW w:w="1296" w:type="dxa"/>
          </w:tcPr>
          <w:p w14:paraId="1B82317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Amount</w:t>
            </w:r>
          </w:p>
        </w:tc>
      </w:tr>
      <w:tr w:rsidR="00636371" w:rsidRPr="008B16E9" w14:paraId="2D904983" w14:textId="77777777" w:rsidTr="008B16E9">
        <w:tc>
          <w:tcPr>
            <w:tcW w:w="3240" w:type="dxa"/>
          </w:tcPr>
          <w:p w14:paraId="49DC6CFA"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Project manager / analyst</w:t>
            </w:r>
          </w:p>
        </w:tc>
        <w:tc>
          <w:tcPr>
            <w:tcW w:w="4824" w:type="dxa"/>
          </w:tcPr>
          <w:p w14:paraId="284D985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0.25 FTE x 4.25 months x $4,000</w:t>
            </w:r>
          </w:p>
        </w:tc>
        <w:tc>
          <w:tcPr>
            <w:tcW w:w="1296" w:type="dxa"/>
          </w:tcPr>
          <w:p w14:paraId="43DA6CE4"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$4,250</w:t>
            </w:r>
          </w:p>
        </w:tc>
      </w:tr>
      <w:tr w:rsidR="00636371" w:rsidRPr="008B16E9" w14:paraId="5E212CD8" w14:textId="77777777" w:rsidTr="008B16E9">
        <w:tc>
          <w:tcPr>
            <w:tcW w:w="3240" w:type="dxa"/>
          </w:tcPr>
          <w:p w14:paraId="1360E289"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Data engineer</w:t>
            </w:r>
          </w:p>
        </w:tc>
        <w:tc>
          <w:tcPr>
            <w:tcW w:w="4824" w:type="dxa"/>
          </w:tcPr>
          <w:p w14:paraId="06DF613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0.50 FTE x 3.00 months x $3,200</w:t>
            </w:r>
          </w:p>
        </w:tc>
        <w:tc>
          <w:tcPr>
            <w:tcW w:w="1296" w:type="dxa"/>
          </w:tcPr>
          <w:p w14:paraId="42A20EDE"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$4,800</w:t>
            </w:r>
          </w:p>
        </w:tc>
      </w:tr>
      <w:tr w:rsidR="00636371" w:rsidRPr="008B16E9" w14:paraId="3798A41D" w14:textId="77777777" w:rsidTr="008B16E9">
        <w:tc>
          <w:tcPr>
            <w:tcW w:w="3240" w:type="dxa"/>
          </w:tcPr>
          <w:p w14:paraId="39C23E4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ML engineer</w:t>
            </w:r>
          </w:p>
        </w:tc>
        <w:tc>
          <w:tcPr>
            <w:tcW w:w="4824" w:type="dxa"/>
          </w:tcPr>
          <w:p w14:paraId="6BDBDB2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0.75 FTE x 3.50 months x $4,500</w:t>
            </w:r>
          </w:p>
        </w:tc>
        <w:tc>
          <w:tcPr>
            <w:tcW w:w="1296" w:type="dxa"/>
          </w:tcPr>
          <w:p w14:paraId="6C73F55B"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$11,813</w:t>
            </w:r>
          </w:p>
        </w:tc>
      </w:tr>
      <w:tr w:rsidR="00636371" w:rsidRPr="008B16E9" w14:paraId="55F3FFDC" w14:textId="77777777" w:rsidTr="008B16E9">
        <w:tc>
          <w:tcPr>
            <w:tcW w:w="3240" w:type="dxa"/>
          </w:tcPr>
          <w:p w14:paraId="75DCB05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Backend engineer</w:t>
            </w:r>
          </w:p>
        </w:tc>
        <w:tc>
          <w:tcPr>
            <w:tcW w:w="4824" w:type="dxa"/>
          </w:tcPr>
          <w:p w14:paraId="2E660892"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0.50 FTE x 3.00 months x $4,000</w:t>
            </w:r>
          </w:p>
        </w:tc>
        <w:tc>
          <w:tcPr>
            <w:tcW w:w="1296" w:type="dxa"/>
          </w:tcPr>
          <w:p w14:paraId="1B639265"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$6,000</w:t>
            </w:r>
          </w:p>
        </w:tc>
      </w:tr>
      <w:tr w:rsidR="00636371" w:rsidRPr="008B16E9" w14:paraId="02437BE4" w14:textId="77777777" w:rsidTr="008B16E9">
        <w:tc>
          <w:tcPr>
            <w:tcW w:w="3240" w:type="dxa"/>
          </w:tcPr>
          <w:p w14:paraId="0CAB8C97"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Frontend and UX</w:t>
            </w:r>
          </w:p>
        </w:tc>
        <w:tc>
          <w:tcPr>
            <w:tcW w:w="4824" w:type="dxa"/>
          </w:tcPr>
          <w:p w14:paraId="2C3D4563"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0.30 FTE x 2.50 months x $3,500</w:t>
            </w:r>
          </w:p>
        </w:tc>
        <w:tc>
          <w:tcPr>
            <w:tcW w:w="1296" w:type="dxa"/>
          </w:tcPr>
          <w:p w14:paraId="459BBA3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$2,625</w:t>
            </w:r>
          </w:p>
        </w:tc>
      </w:tr>
      <w:tr w:rsidR="00636371" w:rsidRPr="008B16E9" w14:paraId="2A715460" w14:textId="77777777" w:rsidTr="008B16E9">
        <w:tc>
          <w:tcPr>
            <w:tcW w:w="3240" w:type="dxa"/>
          </w:tcPr>
          <w:p w14:paraId="71F49E3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QA engineer</w:t>
            </w:r>
          </w:p>
        </w:tc>
        <w:tc>
          <w:tcPr>
            <w:tcW w:w="4824" w:type="dxa"/>
          </w:tcPr>
          <w:p w14:paraId="50675DC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0.25 FTE x 2.00 months x $2,800</w:t>
            </w:r>
          </w:p>
        </w:tc>
        <w:tc>
          <w:tcPr>
            <w:tcW w:w="1296" w:type="dxa"/>
          </w:tcPr>
          <w:p w14:paraId="2885A75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$1,400</w:t>
            </w:r>
          </w:p>
        </w:tc>
      </w:tr>
      <w:tr w:rsidR="00636371" w:rsidRPr="008B16E9" w14:paraId="1DAD78CD" w14:textId="77777777" w:rsidTr="008B16E9">
        <w:tc>
          <w:tcPr>
            <w:tcW w:w="3240" w:type="dxa"/>
          </w:tcPr>
          <w:p w14:paraId="58BEC150"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Domain reviewers</w:t>
            </w:r>
          </w:p>
        </w:tc>
        <w:tc>
          <w:tcPr>
            <w:tcW w:w="4824" w:type="dxa"/>
          </w:tcPr>
          <w:p w14:paraId="290AFD1F"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60 hours x $25</w:t>
            </w:r>
          </w:p>
        </w:tc>
        <w:tc>
          <w:tcPr>
            <w:tcW w:w="1296" w:type="dxa"/>
          </w:tcPr>
          <w:p w14:paraId="259D46AF"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$1,500</w:t>
            </w:r>
          </w:p>
        </w:tc>
      </w:tr>
      <w:tr w:rsidR="00636371" w:rsidRPr="008B16E9" w14:paraId="020BDCCE" w14:textId="77777777" w:rsidTr="008B16E9">
        <w:tc>
          <w:tcPr>
            <w:tcW w:w="3240" w:type="dxa"/>
          </w:tcPr>
          <w:p w14:paraId="2300000E"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Cloud experiments</w:t>
            </w:r>
          </w:p>
        </w:tc>
        <w:tc>
          <w:tcPr>
            <w:tcW w:w="4824" w:type="dxa"/>
          </w:tcPr>
          <w:p w14:paraId="520ED9A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GPU/CPU experiments and model evaluation</w:t>
            </w:r>
          </w:p>
        </w:tc>
        <w:tc>
          <w:tcPr>
            <w:tcW w:w="1296" w:type="dxa"/>
          </w:tcPr>
          <w:p w14:paraId="1EC18B5B"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$1,800</w:t>
            </w:r>
          </w:p>
        </w:tc>
      </w:tr>
      <w:tr w:rsidR="00636371" w:rsidRPr="008B16E9" w14:paraId="62EBD5A2" w14:textId="77777777" w:rsidTr="008B16E9">
        <w:tc>
          <w:tcPr>
            <w:tcW w:w="3240" w:type="dxa"/>
          </w:tcPr>
          <w:p w14:paraId="1C228DE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Staging database and pgvector hosting</w:t>
            </w:r>
          </w:p>
        </w:tc>
        <w:tc>
          <w:tcPr>
            <w:tcW w:w="4824" w:type="dxa"/>
          </w:tcPr>
          <w:p w14:paraId="74AA79D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 months x $300</w:t>
            </w:r>
          </w:p>
        </w:tc>
        <w:tc>
          <w:tcPr>
            <w:tcW w:w="1296" w:type="dxa"/>
          </w:tcPr>
          <w:p w14:paraId="4B10E9F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$1,500</w:t>
            </w:r>
          </w:p>
        </w:tc>
      </w:tr>
      <w:tr w:rsidR="00636371" w:rsidRPr="008B16E9" w14:paraId="151DF641" w14:textId="77777777" w:rsidTr="008B16E9">
        <w:tc>
          <w:tcPr>
            <w:tcW w:w="3240" w:type="dxa"/>
          </w:tcPr>
          <w:p w14:paraId="0C6F973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Monitoring, backup, and security tools</w:t>
            </w:r>
          </w:p>
        </w:tc>
        <w:tc>
          <w:tcPr>
            <w:tcW w:w="4824" w:type="dxa"/>
          </w:tcPr>
          <w:p w14:paraId="30082FD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Fixed implementation allowance</w:t>
            </w:r>
          </w:p>
        </w:tc>
        <w:tc>
          <w:tcPr>
            <w:tcW w:w="1296" w:type="dxa"/>
          </w:tcPr>
          <w:p w14:paraId="4520C47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$700</w:t>
            </w:r>
          </w:p>
        </w:tc>
      </w:tr>
      <w:tr w:rsidR="00636371" w:rsidRPr="008B16E9" w14:paraId="202E4CDC" w14:textId="77777777" w:rsidTr="008B16E9">
        <w:tc>
          <w:tcPr>
            <w:tcW w:w="3240" w:type="dxa"/>
          </w:tcPr>
          <w:p w14:paraId="397CDA1B"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Annotation and workflow tools</w:t>
            </w:r>
          </w:p>
        </w:tc>
        <w:tc>
          <w:tcPr>
            <w:tcW w:w="4824" w:type="dxa"/>
          </w:tcPr>
          <w:p w14:paraId="05C80405"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 seats x 3 months x $30</w:t>
            </w:r>
          </w:p>
        </w:tc>
        <w:tc>
          <w:tcPr>
            <w:tcW w:w="1296" w:type="dxa"/>
          </w:tcPr>
          <w:p w14:paraId="654EEED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$450</w:t>
            </w:r>
          </w:p>
        </w:tc>
      </w:tr>
      <w:tr w:rsidR="00636371" w:rsidRPr="008B16E9" w14:paraId="69958EFD" w14:textId="77777777" w:rsidTr="008B16E9">
        <w:tc>
          <w:tcPr>
            <w:tcW w:w="3240" w:type="dxa"/>
          </w:tcPr>
          <w:p w14:paraId="2B474CB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Reporting, CI, documentation tools</w:t>
            </w:r>
          </w:p>
        </w:tc>
        <w:tc>
          <w:tcPr>
            <w:tcW w:w="4824" w:type="dxa"/>
          </w:tcPr>
          <w:p w14:paraId="6956FC8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Fixed allowance</w:t>
            </w:r>
          </w:p>
        </w:tc>
        <w:tc>
          <w:tcPr>
            <w:tcW w:w="1296" w:type="dxa"/>
          </w:tcPr>
          <w:p w14:paraId="4923483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$350</w:t>
            </w:r>
          </w:p>
        </w:tc>
      </w:tr>
      <w:tr w:rsidR="00636371" w:rsidRPr="008B16E9" w14:paraId="402A7850" w14:textId="77777777" w:rsidTr="008B16E9">
        <w:tc>
          <w:tcPr>
            <w:tcW w:w="3240" w:type="dxa"/>
          </w:tcPr>
          <w:p w14:paraId="299B5E2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Training workshops</w:t>
            </w:r>
          </w:p>
        </w:tc>
        <w:tc>
          <w:tcPr>
            <w:tcW w:w="4824" w:type="dxa"/>
          </w:tcPr>
          <w:p w14:paraId="487884C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Two coordinator sessions</w:t>
            </w:r>
          </w:p>
        </w:tc>
        <w:tc>
          <w:tcPr>
            <w:tcW w:w="1296" w:type="dxa"/>
          </w:tcPr>
          <w:p w14:paraId="528B2C2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$600</w:t>
            </w:r>
          </w:p>
        </w:tc>
      </w:tr>
      <w:tr w:rsidR="00636371" w:rsidRPr="008B16E9" w14:paraId="20FDA49F" w14:textId="77777777" w:rsidTr="008B16E9">
        <w:tc>
          <w:tcPr>
            <w:tcW w:w="3240" w:type="dxa"/>
          </w:tcPr>
          <w:p w14:paraId="3856773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Training materials</w:t>
            </w:r>
          </w:p>
        </w:tc>
        <w:tc>
          <w:tcPr>
            <w:tcW w:w="4824" w:type="dxa"/>
          </w:tcPr>
          <w:p w14:paraId="6828773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Guides and recorded walkthrough</w:t>
            </w:r>
          </w:p>
        </w:tc>
        <w:tc>
          <w:tcPr>
            <w:tcW w:w="1296" w:type="dxa"/>
          </w:tcPr>
          <w:p w14:paraId="7373151B"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$400</w:t>
            </w:r>
          </w:p>
        </w:tc>
      </w:tr>
      <w:tr w:rsidR="00636371" w:rsidRPr="008B16E9" w14:paraId="26D8DA19" w14:textId="77777777" w:rsidTr="008B16E9">
        <w:tc>
          <w:tcPr>
            <w:tcW w:w="3240" w:type="dxa"/>
          </w:tcPr>
          <w:p w14:paraId="3DA12C5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Direct cost subtotal</w:t>
            </w:r>
          </w:p>
        </w:tc>
        <w:tc>
          <w:tcPr>
            <w:tcW w:w="4824" w:type="dxa"/>
          </w:tcPr>
          <w:p w14:paraId="6B2E2758" w14:textId="77777777" w:rsidR="00636371" w:rsidRPr="008B16E9" w:rsidRDefault="00636371">
            <w:pPr>
              <w:spacing w:after="0" w:line="269" w:lineRule="auto"/>
              <w:rPr>
                <w:rFonts w:ascii="Times New Roman" w:hAnsi="Times New Roman" w:cs="Times New Roman"/>
                <w:color w:val="000000" w:themeColor="text1"/>
                <w:sz w:val="28"/>
                <w:szCs w:val="28"/>
              </w:rPr>
            </w:pPr>
          </w:p>
        </w:tc>
        <w:tc>
          <w:tcPr>
            <w:tcW w:w="1296" w:type="dxa"/>
          </w:tcPr>
          <w:p w14:paraId="64A847D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$38,188</w:t>
            </w:r>
          </w:p>
        </w:tc>
      </w:tr>
      <w:tr w:rsidR="00636371" w:rsidRPr="008B16E9" w14:paraId="63A6163F" w14:textId="77777777" w:rsidTr="008B16E9">
        <w:tc>
          <w:tcPr>
            <w:tcW w:w="3240" w:type="dxa"/>
          </w:tcPr>
          <w:p w14:paraId="6833C680"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Contingency reserve</w:t>
            </w:r>
          </w:p>
        </w:tc>
        <w:tc>
          <w:tcPr>
            <w:tcW w:w="4824" w:type="dxa"/>
          </w:tcPr>
          <w:p w14:paraId="2552F90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15 percent of direct cost</w:t>
            </w:r>
          </w:p>
        </w:tc>
        <w:tc>
          <w:tcPr>
            <w:tcW w:w="1296" w:type="dxa"/>
          </w:tcPr>
          <w:p w14:paraId="7B28B49E"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$5,728</w:t>
            </w:r>
          </w:p>
        </w:tc>
      </w:tr>
      <w:tr w:rsidR="00636371" w:rsidRPr="008B16E9" w14:paraId="5A7E1C81" w14:textId="77777777" w:rsidTr="008B16E9">
        <w:tc>
          <w:tcPr>
            <w:tcW w:w="3240" w:type="dxa"/>
          </w:tcPr>
          <w:p w14:paraId="75B04AA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Total planned budget</w:t>
            </w:r>
          </w:p>
        </w:tc>
        <w:tc>
          <w:tcPr>
            <w:tcW w:w="4824" w:type="dxa"/>
          </w:tcPr>
          <w:p w14:paraId="072D95E2" w14:textId="77777777" w:rsidR="00636371" w:rsidRPr="008B16E9" w:rsidRDefault="00636371">
            <w:pPr>
              <w:spacing w:after="0" w:line="269" w:lineRule="auto"/>
              <w:rPr>
                <w:rFonts w:ascii="Times New Roman" w:hAnsi="Times New Roman" w:cs="Times New Roman"/>
                <w:color w:val="000000" w:themeColor="text1"/>
                <w:sz w:val="28"/>
                <w:szCs w:val="28"/>
              </w:rPr>
            </w:pPr>
          </w:p>
        </w:tc>
        <w:tc>
          <w:tcPr>
            <w:tcW w:w="1296" w:type="dxa"/>
          </w:tcPr>
          <w:p w14:paraId="7ADBBA11"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$43,916</w:t>
            </w:r>
          </w:p>
        </w:tc>
      </w:tr>
    </w:tbl>
    <w:p w14:paraId="33186425" w14:textId="1CE0DFF9" w:rsidR="00636371" w:rsidRPr="008B16E9" w:rsidRDefault="00A85BC6">
      <w:pPr>
        <w:rPr>
          <w:rFonts w:ascii="Times New Roman" w:hAnsi="Times New Roman" w:cs="Times New Roman"/>
          <w:color w:val="000000" w:themeColor="text1"/>
          <w:sz w:val="28"/>
          <w:szCs w:val="28"/>
        </w:rPr>
      </w:pPr>
      <w:r w:rsidRPr="00A85BC6">
        <w:rPr>
          <w:rFonts w:ascii="Times New Roman" w:hAnsi="Times New Roman" w:cs="Times New Roman"/>
          <w:color w:val="000000" w:themeColor="text1"/>
          <w:sz w:val="28"/>
          <w:szCs w:val="28"/>
        </w:rPr>
        <w:lastRenderedPageBreak/>
        <w:drawing>
          <wp:inline distT="0" distB="0" distL="0" distR="0" wp14:anchorId="79FD1DEF" wp14:editId="5BF6415C">
            <wp:extent cx="5996539" cy="3566160"/>
            <wp:effectExtent l="0" t="0" r="0" b="0"/>
            <wp:docPr id="1705576873"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9C6ACC4" w14:textId="7D6890C9" w:rsidR="00636371" w:rsidRDefault="00000000">
      <w:pPr>
        <w:spacing w:before="40" w:after="200"/>
        <w:jc w:val="center"/>
        <w:rPr>
          <w:rFonts w:ascii="Times New Roman" w:hAnsi="Times New Roman" w:cs="Times New Roman"/>
          <w:i/>
          <w:color w:val="000000" w:themeColor="text1"/>
          <w:sz w:val="28"/>
          <w:szCs w:val="28"/>
        </w:rPr>
      </w:pPr>
      <w:r w:rsidRPr="008B16E9">
        <w:rPr>
          <w:rFonts w:ascii="Times New Roman" w:hAnsi="Times New Roman" w:cs="Times New Roman"/>
          <w:i/>
          <w:color w:val="000000" w:themeColor="text1"/>
          <w:sz w:val="28"/>
          <w:szCs w:val="28"/>
        </w:rPr>
        <w:t>Figure 5. Budget structur</w:t>
      </w:r>
      <w:r w:rsidR="00A85BC6">
        <w:rPr>
          <w:rFonts w:ascii="Times New Roman" w:hAnsi="Times New Roman" w:cs="Times New Roman"/>
          <w:i/>
          <w:color w:val="000000" w:themeColor="text1"/>
          <w:sz w:val="28"/>
          <w:szCs w:val="28"/>
        </w:rPr>
        <w:t>e</w:t>
      </w:r>
      <w:r w:rsidRPr="008B16E9">
        <w:rPr>
          <w:rFonts w:ascii="Times New Roman" w:hAnsi="Times New Roman" w:cs="Times New Roman"/>
          <w:i/>
          <w:color w:val="000000" w:themeColor="text1"/>
          <w:sz w:val="28"/>
          <w:szCs w:val="28"/>
        </w:rPr>
        <w:t>.</w:t>
      </w:r>
    </w:p>
    <w:p w14:paraId="381DCA2B" w14:textId="52E12ABA" w:rsidR="008E3A7E" w:rsidRDefault="008E3A7E">
      <w:pPr>
        <w:spacing w:before="40" w:after="200"/>
        <w:jc w:val="center"/>
        <w:rPr>
          <w:rFonts w:ascii="Times New Roman" w:hAnsi="Times New Roman" w:cs="Times New Roman"/>
          <w:i/>
          <w:color w:val="000000" w:themeColor="text1"/>
          <w:sz w:val="28"/>
          <w:szCs w:val="28"/>
        </w:rPr>
      </w:pPr>
      <w:r w:rsidRPr="008E3A7E">
        <w:rPr>
          <w:rFonts w:ascii="Times New Roman" w:hAnsi="Times New Roman" w:cs="Times New Roman"/>
          <w:i/>
          <w:color w:val="000000" w:themeColor="text1"/>
          <w:sz w:val="28"/>
          <w:szCs w:val="28"/>
        </w:rPr>
        <w:drawing>
          <wp:inline distT="0" distB="0" distL="0" distR="0" wp14:anchorId="2330FC50" wp14:editId="294C3B44">
            <wp:extent cx="5212080" cy="3566160"/>
            <wp:effectExtent l="0" t="0" r="0" b="0"/>
            <wp:docPr id="1266332713"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630473D" w14:textId="22C96039" w:rsidR="008E3A7E" w:rsidRPr="008B16E9" w:rsidRDefault="008E3A7E">
      <w:pPr>
        <w:spacing w:before="40" w:after="200"/>
        <w:jc w:val="center"/>
        <w:rPr>
          <w:rFonts w:ascii="Times New Roman" w:hAnsi="Times New Roman" w:cs="Times New Roman"/>
          <w:color w:val="000000" w:themeColor="text1"/>
          <w:sz w:val="28"/>
          <w:szCs w:val="28"/>
        </w:rPr>
      </w:pPr>
      <w:r>
        <w:rPr>
          <w:rFonts w:ascii="Times New Roman" w:hAnsi="Times New Roman" w:cs="Times New Roman"/>
          <w:i/>
          <w:color w:val="000000" w:themeColor="text1"/>
          <w:sz w:val="28"/>
          <w:szCs w:val="28"/>
        </w:rPr>
        <w:t>Figure 6. P</w:t>
      </w:r>
      <w:r w:rsidRPr="008B16E9">
        <w:rPr>
          <w:rFonts w:ascii="Times New Roman" w:hAnsi="Times New Roman" w:cs="Times New Roman"/>
          <w:i/>
          <w:color w:val="000000" w:themeColor="text1"/>
          <w:sz w:val="28"/>
          <w:szCs w:val="28"/>
        </w:rPr>
        <w:t>lanned monthly cashflow</w:t>
      </w:r>
    </w:p>
    <w:p w14:paraId="65DEC66C"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lastRenderedPageBreak/>
        <w:t>The contingency reserve is not a hidden spending line. It is a control mechanism for known uncertainty, especially data cleaning effort, threshold recalibration, and integration defects. Reserve release should require a change request that states the cause, the affected deliverable, and the effect on scope, time, cost, or quality.</w:t>
      </w:r>
    </w:p>
    <w:p w14:paraId="2E6F1AAA"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2.6 Cashflow, KPIs, and Financial Justification</w:t>
      </w:r>
    </w:p>
    <w:tbl>
      <w:tblPr>
        <w:tblStyle w:val="aff0"/>
        <w:tblW w:w="9360" w:type="dxa"/>
        <w:tblLook w:val="04A0" w:firstRow="1" w:lastRow="0" w:firstColumn="1" w:lastColumn="0" w:noHBand="0" w:noVBand="1"/>
      </w:tblPr>
      <w:tblGrid>
        <w:gridCol w:w="1025"/>
        <w:gridCol w:w="5035"/>
        <w:gridCol w:w="1646"/>
        <w:gridCol w:w="1654"/>
      </w:tblGrid>
      <w:tr w:rsidR="00636371" w:rsidRPr="008B16E9" w14:paraId="6F30CA27" w14:textId="77777777" w:rsidTr="008B16E9">
        <w:tc>
          <w:tcPr>
            <w:tcW w:w="936" w:type="dxa"/>
          </w:tcPr>
          <w:p w14:paraId="775EC824"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Month</w:t>
            </w:r>
          </w:p>
        </w:tc>
        <w:tc>
          <w:tcPr>
            <w:tcW w:w="5112" w:type="dxa"/>
          </w:tcPr>
          <w:p w14:paraId="0A310BD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Main work focus</w:t>
            </w:r>
          </w:p>
        </w:tc>
        <w:tc>
          <w:tcPr>
            <w:tcW w:w="1655" w:type="dxa"/>
          </w:tcPr>
          <w:p w14:paraId="16A0B74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Baseline cashflow</w:t>
            </w:r>
          </w:p>
        </w:tc>
        <w:tc>
          <w:tcPr>
            <w:tcW w:w="1655" w:type="dxa"/>
          </w:tcPr>
          <w:p w14:paraId="2EA4467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Cumulative</w:t>
            </w:r>
          </w:p>
        </w:tc>
      </w:tr>
      <w:tr w:rsidR="00636371" w:rsidRPr="008B16E9" w14:paraId="413BD08C" w14:textId="77777777" w:rsidTr="008B16E9">
        <w:tc>
          <w:tcPr>
            <w:tcW w:w="936" w:type="dxa"/>
          </w:tcPr>
          <w:p w14:paraId="3DC8227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w:t>
            </w:r>
          </w:p>
        </w:tc>
        <w:tc>
          <w:tcPr>
            <w:tcW w:w="5112" w:type="dxa"/>
          </w:tcPr>
          <w:p w14:paraId="41DF2970"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Initiation, requirements, data access</w:t>
            </w:r>
          </w:p>
        </w:tc>
        <w:tc>
          <w:tcPr>
            <w:tcW w:w="1655" w:type="dxa"/>
          </w:tcPr>
          <w:p w14:paraId="2945915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$7,200</w:t>
            </w:r>
          </w:p>
        </w:tc>
        <w:tc>
          <w:tcPr>
            <w:tcW w:w="1655" w:type="dxa"/>
          </w:tcPr>
          <w:p w14:paraId="6CE5A6C5"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$7,200</w:t>
            </w:r>
          </w:p>
        </w:tc>
      </w:tr>
      <w:tr w:rsidR="00636371" w:rsidRPr="008B16E9" w14:paraId="7CFC7167" w14:textId="77777777" w:rsidTr="008B16E9">
        <w:tc>
          <w:tcPr>
            <w:tcW w:w="936" w:type="dxa"/>
          </w:tcPr>
          <w:p w14:paraId="2EBC63CD"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w:t>
            </w:r>
          </w:p>
        </w:tc>
        <w:tc>
          <w:tcPr>
            <w:tcW w:w="5112" w:type="dxa"/>
          </w:tcPr>
          <w:p w14:paraId="0C4D7A41"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Corpus preparation, model adaptation</w:t>
            </w:r>
          </w:p>
        </w:tc>
        <w:tc>
          <w:tcPr>
            <w:tcW w:w="1655" w:type="dxa"/>
          </w:tcPr>
          <w:p w14:paraId="1357CDB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$10,400</w:t>
            </w:r>
          </w:p>
        </w:tc>
        <w:tc>
          <w:tcPr>
            <w:tcW w:w="1655" w:type="dxa"/>
          </w:tcPr>
          <w:p w14:paraId="2A7C48AA"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$17,600</w:t>
            </w:r>
          </w:p>
        </w:tc>
      </w:tr>
      <w:tr w:rsidR="00636371" w:rsidRPr="008B16E9" w14:paraId="50D27C22" w14:textId="77777777" w:rsidTr="008B16E9">
        <w:tc>
          <w:tcPr>
            <w:tcW w:w="936" w:type="dxa"/>
          </w:tcPr>
          <w:p w14:paraId="7B977FD7"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w:t>
            </w:r>
          </w:p>
        </w:tc>
        <w:tc>
          <w:tcPr>
            <w:tcW w:w="5112" w:type="dxa"/>
          </w:tcPr>
          <w:p w14:paraId="7E104BDE"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API, pgvector, UI workflow, calibration</w:t>
            </w:r>
          </w:p>
        </w:tc>
        <w:tc>
          <w:tcPr>
            <w:tcW w:w="1655" w:type="dxa"/>
          </w:tcPr>
          <w:p w14:paraId="523B921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$10,800</w:t>
            </w:r>
          </w:p>
        </w:tc>
        <w:tc>
          <w:tcPr>
            <w:tcW w:w="1655" w:type="dxa"/>
          </w:tcPr>
          <w:p w14:paraId="52603B5F"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$28,400</w:t>
            </w:r>
          </w:p>
        </w:tc>
      </w:tr>
      <w:tr w:rsidR="00636371" w:rsidRPr="008B16E9" w14:paraId="7E3C3BC6" w14:textId="77777777" w:rsidTr="008B16E9">
        <w:tc>
          <w:tcPr>
            <w:tcW w:w="936" w:type="dxa"/>
          </w:tcPr>
          <w:p w14:paraId="35F10F46"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4</w:t>
            </w:r>
          </w:p>
        </w:tc>
        <w:tc>
          <w:tcPr>
            <w:tcW w:w="5112" w:type="dxa"/>
          </w:tcPr>
          <w:p w14:paraId="7BE3D1F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QA, security, performance, pilot</w:t>
            </w:r>
          </w:p>
        </w:tc>
        <w:tc>
          <w:tcPr>
            <w:tcW w:w="1655" w:type="dxa"/>
          </w:tcPr>
          <w:p w14:paraId="6DFB9D6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$7,000</w:t>
            </w:r>
          </w:p>
        </w:tc>
        <w:tc>
          <w:tcPr>
            <w:tcW w:w="1655" w:type="dxa"/>
          </w:tcPr>
          <w:p w14:paraId="68D2E8D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$35,400</w:t>
            </w:r>
          </w:p>
        </w:tc>
      </w:tr>
      <w:tr w:rsidR="00636371" w:rsidRPr="008B16E9" w14:paraId="48CFAA21" w14:textId="77777777" w:rsidTr="008B16E9">
        <w:tc>
          <w:tcPr>
            <w:tcW w:w="936" w:type="dxa"/>
          </w:tcPr>
          <w:p w14:paraId="67CE24C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5</w:t>
            </w:r>
          </w:p>
        </w:tc>
        <w:tc>
          <w:tcPr>
            <w:tcW w:w="5112" w:type="dxa"/>
          </w:tcPr>
          <w:p w14:paraId="6A66885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Deployment, training, closure</w:t>
            </w:r>
          </w:p>
        </w:tc>
        <w:tc>
          <w:tcPr>
            <w:tcW w:w="1655" w:type="dxa"/>
          </w:tcPr>
          <w:p w14:paraId="7A89507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$2,788</w:t>
            </w:r>
          </w:p>
        </w:tc>
        <w:tc>
          <w:tcPr>
            <w:tcW w:w="1655" w:type="dxa"/>
          </w:tcPr>
          <w:p w14:paraId="00E0BD6D"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$38,188</w:t>
            </w:r>
          </w:p>
        </w:tc>
      </w:tr>
    </w:tbl>
    <w:p w14:paraId="61BEA24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quantified benefit case uses conservative planning assumptions for a medium sized university. If 2,500 thesis topics are screened each year and the module saves 15 minutes of coordinator or supervisor review per topic, it saves 625 hours. At a loaded labor rate of $25 per hour, that equals $15,625 per year. If better screening prevents 60 late duplicate remediation cases per year and each case costs about $350 in administrative and supervisory time, the avoided cost is $21,000. A reusable evaluation and reporting module adds an estimated $8,000 in internal analytics value. Total annual quantified benefit is therefore $44,625.</w:t>
      </w:r>
    </w:p>
    <w:p w14:paraId="696497D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Annual operating support is estimated at $8,000 for hosting, monitoring, small fixes, and periodic threshold review. Net annual benefit is $36,625. Against a </w:t>
      </w:r>
      <w:proofErr w:type="gramStart"/>
      <w:r w:rsidRPr="008B16E9">
        <w:rPr>
          <w:rFonts w:ascii="Times New Roman" w:hAnsi="Times New Roman" w:cs="Times New Roman"/>
          <w:color w:val="000000" w:themeColor="text1"/>
          <w:sz w:val="28"/>
          <w:szCs w:val="28"/>
        </w:rPr>
        <w:t>one time</w:t>
      </w:r>
      <w:proofErr w:type="gramEnd"/>
      <w:r w:rsidRPr="008B16E9">
        <w:rPr>
          <w:rFonts w:ascii="Times New Roman" w:hAnsi="Times New Roman" w:cs="Times New Roman"/>
          <w:color w:val="000000" w:themeColor="text1"/>
          <w:sz w:val="28"/>
          <w:szCs w:val="28"/>
        </w:rPr>
        <w:t xml:space="preserve"> planned budget of $43,916, the simple payback period is about 1.20 years. The </w:t>
      </w:r>
      <w:proofErr w:type="gramStart"/>
      <w:r w:rsidRPr="008B16E9">
        <w:rPr>
          <w:rFonts w:ascii="Times New Roman" w:hAnsi="Times New Roman" w:cs="Times New Roman"/>
          <w:color w:val="000000" w:themeColor="text1"/>
          <w:sz w:val="28"/>
          <w:szCs w:val="28"/>
        </w:rPr>
        <w:t>two year</w:t>
      </w:r>
      <w:proofErr w:type="gramEnd"/>
      <w:r w:rsidRPr="008B16E9">
        <w:rPr>
          <w:rFonts w:ascii="Times New Roman" w:hAnsi="Times New Roman" w:cs="Times New Roman"/>
          <w:color w:val="000000" w:themeColor="text1"/>
          <w:sz w:val="28"/>
          <w:szCs w:val="28"/>
        </w:rPr>
        <w:t xml:space="preserve"> ROI is approximately 67 percent: (2 x $36,625 - $43,916) / $43,916. These figures should be validated during the pilot through time tracking, duplicate case counts, and user feedback.</w:t>
      </w:r>
    </w:p>
    <w:p w14:paraId="532224B1"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noProof/>
          <w:color w:val="000000" w:themeColor="text1"/>
          <w:sz w:val="28"/>
          <w:szCs w:val="28"/>
        </w:rPr>
        <w:lastRenderedPageBreak/>
        <w:drawing>
          <wp:inline distT="0" distB="0" distL="0" distR="0" wp14:anchorId="479C66C3" wp14:editId="561F1C42">
            <wp:extent cx="5897880" cy="3022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table.png"/>
                    <pic:cNvPicPr/>
                  </pic:nvPicPr>
                  <pic:blipFill>
                    <a:blip r:embed="rId14"/>
                    <a:stretch>
                      <a:fillRect/>
                    </a:stretch>
                  </pic:blipFill>
                  <pic:spPr>
                    <a:xfrm>
                      <a:off x="0" y="0"/>
                      <a:ext cx="5897880" cy="3022664"/>
                    </a:xfrm>
                    <a:prstGeom prst="rect">
                      <a:avLst/>
                    </a:prstGeom>
                  </pic:spPr>
                </pic:pic>
              </a:graphicData>
            </a:graphic>
          </wp:inline>
        </w:drawing>
      </w:r>
    </w:p>
    <w:p w14:paraId="5FE6715E" w14:textId="77777777" w:rsidR="00636371" w:rsidRPr="008B16E9" w:rsidRDefault="00000000">
      <w:pPr>
        <w:spacing w:before="40" w:after="200"/>
        <w:jc w:val="center"/>
        <w:rPr>
          <w:rFonts w:ascii="Times New Roman" w:hAnsi="Times New Roman" w:cs="Times New Roman"/>
          <w:color w:val="000000" w:themeColor="text1"/>
          <w:sz w:val="28"/>
          <w:szCs w:val="28"/>
        </w:rPr>
      </w:pPr>
      <w:r w:rsidRPr="008B16E9">
        <w:rPr>
          <w:rFonts w:ascii="Times New Roman" w:hAnsi="Times New Roman" w:cs="Times New Roman"/>
          <w:i/>
          <w:color w:val="000000" w:themeColor="text1"/>
          <w:sz w:val="28"/>
          <w:szCs w:val="28"/>
        </w:rPr>
        <w:t>Figure 6. Pilot KPI targets for quality, usefulness, and operational performance.</w:t>
      </w:r>
    </w:p>
    <w:p w14:paraId="2697FF89"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br w:type="page"/>
      </w:r>
    </w:p>
    <w:p w14:paraId="30330330" w14:textId="77777777" w:rsidR="00636371" w:rsidRPr="008B16E9" w:rsidRDefault="00000000">
      <w:pPr>
        <w:pStyle w:val="1"/>
        <w:spacing w:before="320" w:after="120"/>
        <w:rPr>
          <w:rFonts w:ascii="Times New Roman" w:hAnsi="Times New Roman" w:cs="Times New Roman"/>
          <w:color w:val="000000" w:themeColor="text1"/>
          <w:sz w:val="28"/>
        </w:rPr>
      </w:pPr>
      <w:r w:rsidRPr="008B16E9">
        <w:rPr>
          <w:rFonts w:ascii="Times New Roman" w:hAnsi="Times New Roman" w:cs="Times New Roman"/>
          <w:color w:val="000000" w:themeColor="text1"/>
          <w:sz w:val="28"/>
        </w:rPr>
        <w:lastRenderedPageBreak/>
        <w:t>3 Critical Analysis</w:t>
      </w:r>
    </w:p>
    <w:p w14:paraId="300E08CD"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3.1 Main Risks and Challenges</w:t>
      </w:r>
    </w:p>
    <w:p w14:paraId="25747B70"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main project risk is that similarity detection looks simple to stakeholders but is difficult to govern. A high similarity score may indicate plagiarism, reuse of a common topic, normal terminology within a domain, or a legitimate continuation of earlier research. If the tool is treated as an automatic judgment system, it may damage student trust and academic fairness. The correct managerial approach is to define it as decision support and require human review for all </w:t>
      </w:r>
      <w:proofErr w:type="gramStart"/>
      <w:r w:rsidRPr="008B16E9">
        <w:rPr>
          <w:rFonts w:ascii="Times New Roman" w:hAnsi="Times New Roman" w:cs="Times New Roman"/>
          <w:color w:val="000000" w:themeColor="text1"/>
          <w:sz w:val="28"/>
          <w:szCs w:val="28"/>
        </w:rPr>
        <w:t>high risk</w:t>
      </w:r>
      <w:proofErr w:type="gramEnd"/>
      <w:r w:rsidRPr="008B16E9">
        <w:rPr>
          <w:rFonts w:ascii="Times New Roman" w:hAnsi="Times New Roman" w:cs="Times New Roman"/>
          <w:color w:val="000000" w:themeColor="text1"/>
          <w:sz w:val="28"/>
          <w:szCs w:val="28"/>
        </w:rPr>
        <w:t xml:space="preserve"> cases.</w:t>
      </w:r>
    </w:p>
    <w:tbl>
      <w:tblPr>
        <w:tblStyle w:val="aff0"/>
        <w:tblW w:w="9360" w:type="dxa"/>
        <w:tblLook w:val="04A0" w:firstRow="1" w:lastRow="0" w:firstColumn="1" w:lastColumn="0" w:noHBand="0" w:noVBand="1"/>
      </w:tblPr>
      <w:tblGrid>
        <w:gridCol w:w="2520"/>
        <w:gridCol w:w="3024"/>
        <w:gridCol w:w="3816"/>
      </w:tblGrid>
      <w:tr w:rsidR="00636371" w:rsidRPr="008B16E9" w14:paraId="670F040B" w14:textId="77777777" w:rsidTr="008B16E9">
        <w:tc>
          <w:tcPr>
            <w:tcW w:w="2520" w:type="dxa"/>
          </w:tcPr>
          <w:p w14:paraId="00B03EC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Risk</w:t>
            </w:r>
          </w:p>
        </w:tc>
        <w:tc>
          <w:tcPr>
            <w:tcW w:w="3024" w:type="dxa"/>
          </w:tcPr>
          <w:p w14:paraId="0465DA0D"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Impact</w:t>
            </w:r>
          </w:p>
        </w:tc>
        <w:tc>
          <w:tcPr>
            <w:tcW w:w="3816" w:type="dxa"/>
          </w:tcPr>
          <w:p w14:paraId="526AD234"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b/>
                <w:color w:val="000000" w:themeColor="text1"/>
                <w:sz w:val="28"/>
                <w:szCs w:val="28"/>
              </w:rPr>
              <w:t>Mitigation</w:t>
            </w:r>
          </w:p>
        </w:tc>
      </w:tr>
      <w:tr w:rsidR="00636371" w:rsidRPr="008B16E9" w14:paraId="21D7F2F3" w14:textId="77777777" w:rsidTr="008B16E9">
        <w:tc>
          <w:tcPr>
            <w:tcW w:w="2520" w:type="dxa"/>
          </w:tcPr>
          <w:p w14:paraId="461B18DA"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Historical data quality is inconsistent</w:t>
            </w:r>
          </w:p>
        </w:tc>
        <w:tc>
          <w:tcPr>
            <w:tcW w:w="3024" w:type="dxa"/>
          </w:tcPr>
          <w:p w14:paraId="18952A88"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Model returns noisy similarity results and weak keyword statistics</w:t>
            </w:r>
          </w:p>
        </w:tc>
        <w:tc>
          <w:tcPr>
            <w:tcW w:w="3816" w:type="dxa"/>
          </w:tcPr>
          <w:p w14:paraId="2D8D53E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Data audit, cleaning rules, minimum fields, and periodic corpus quality checks</w:t>
            </w:r>
          </w:p>
        </w:tc>
      </w:tr>
      <w:tr w:rsidR="00636371" w:rsidRPr="008B16E9" w14:paraId="74A4E7F8" w14:textId="77777777" w:rsidTr="008B16E9">
        <w:tc>
          <w:tcPr>
            <w:tcW w:w="2520" w:type="dxa"/>
          </w:tcPr>
          <w:p w14:paraId="749012B1"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False positives block novel topics</w:t>
            </w:r>
          </w:p>
        </w:tc>
        <w:tc>
          <w:tcPr>
            <w:tcW w:w="3024" w:type="dxa"/>
          </w:tcPr>
          <w:p w14:paraId="5629F5E7"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Students and supervisors lose trust in the platform</w:t>
            </w:r>
          </w:p>
        </w:tc>
        <w:tc>
          <w:tcPr>
            <w:tcW w:w="3816" w:type="dxa"/>
          </w:tcPr>
          <w:p w14:paraId="22CB8473"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Human in the loop review, appeal path, threshold tuning, and false high risk KPI</w:t>
            </w:r>
          </w:p>
        </w:tc>
      </w:tr>
      <w:tr w:rsidR="00636371" w:rsidRPr="008B16E9" w14:paraId="62DF47C5" w14:textId="77777777" w:rsidTr="008B16E9">
        <w:tc>
          <w:tcPr>
            <w:tcW w:w="2520" w:type="dxa"/>
          </w:tcPr>
          <w:p w14:paraId="75641E2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Language imbalance affects results</w:t>
            </w:r>
          </w:p>
        </w:tc>
        <w:tc>
          <w:tcPr>
            <w:tcW w:w="3024" w:type="dxa"/>
          </w:tcPr>
          <w:p w14:paraId="1CE50719"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Kazakh, Russian, and English topics may not perform equally</w:t>
            </w:r>
          </w:p>
        </w:tc>
        <w:tc>
          <w:tcPr>
            <w:tcW w:w="3816" w:type="dxa"/>
          </w:tcPr>
          <w:p w14:paraId="194E1098"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Language tagged validation sets and multilingual embedding tests</w:t>
            </w:r>
          </w:p>
        </w:tc>
      </w:tr>
      <w:tr w:rsidR="00636371" w:rsidRPr="008B16E9" w14:paraId="0C6D18A1" w14:textId="77777777" w:rsidTr="008B16E9">
        <w:tc>
          <w:tcPr>
            <w:tcW w:w="2520" w:type="dxa"/>
          </w:tcPr>
          <w:p w14:paraId="2AD1456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Data privacy constraints delay work</w:t>
            </w:r>
          </w:p>
        </w:tc>
        <w:tc>
          <w:tcPr>
            <w:tcW w:w="3024" w:type="dxa"/>
          </w:tcPr>
          <w:p w14:paraId="395F7AE6"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Schedule slips before model development starts</w:t>
            </w:r>
          </w:p>
        </w:tc>
        <w:tc>
          <w:tcPr>
            <w:tcW w:w="3816" w:type="dxa"/>
          </w:tcPr>
          <w:p w14:paraId="1EFA892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Early data owner approval, anonymization, and documented access controls</w:t>
            </w:r>
          </w:p>
        </w:tc>
      </w:tr>
      <w:tr w:rsidR="00636371" w:rsidRPr="008B16E9" w14:paraId="5339EC41" w14:textId="77777777" w:rsidTr="008B16E9">
        <w:tc>
          <w:tcPr>
            <w:tcW w:w="2520" w:type="dxa"/>
          </w:tcPr>
          <w:p w14:paraId="5056A271"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Integration defects affect review workflow</w:t>
            </w:r>
          </w:p>
        </w:tc>
        <w:tc>
          <w:tcPr>
            <w:tcW w:w="3024" w:type="dxa"/>
          </w:tcPr>
          <w:p w14:paraId="26A2AD9B"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Coordinators avoid the tool or duplicate manual work</w:t>
            </w:r>
          </w:p>
        </w:tc>
        <w:tc>
          <w:tcPr>
            <w:tcW w:w="3816" w:type="dxa"/>
          </w:tcPr>
          <w:p w14:paraId="49EAE402"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API contract tests, UI pilot, logging, and staged rollout</w:t>
            </w:r>
          </w:p>
        </w:tc>
      </w:tr>
      <w:tr w:rsidR="00636371" w:rsidRPr="008B16E9" w14:paraId="271986AD" w14:textId="77777777" w:rsidTr="008B16E9">
        <w:tc>
          <w:tcPr>
            <w:tcW w:w="2520" w:type="dxa"/>
          </w:tcPr>
          <w:p w14:paraId="7029570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Budget pressure removes validation work</w:t>
            </w:r>
          </w:p>
        </w:tc>
        <w:tc>
          <w:tcPr>
            <w:tcW w:w="3024" w:type="dxa"/>
          </w:tcPr>
          <w:p w14:paraId="7CFD549A"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Short term savings create quality and adoption failures</w:t>
            </w:r>
          </w:p>
        </w:tc>
        <w:tc>
          <w:tcPr>
            <w:tcW w:w="3816" w:type="dxa"/>
          </w:tcPr>
          <w:p w14:paraId="1DA391B5"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Protected QA budget, reserve release rules, and sponsor sign off for scope changes</w:t>
            </w:r>
          </w:p>
        </w:tc>
      </w:tr>
      <w:tr w:rsidR="00636371" w:rsidRPr="008B16E9" w14:paraId="35A6159A" w14:textId="77777777" w:rsidTr="008B16E9">
        <w:tc>
          <w:tcPr>
            <w:tcW w:w="2520" w:type="dxa"/>
          </w:tcPr>
          <w:p w14:paraId="19505DFC"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R&amp;D performance misses target</w:t>
            </w:r>
          </w:p>
        </w:tc>
        <w:tc>
          <w:tcPr>
            <w:tcW w:w="3024" w:type="dxa"/>
          </w:tcPr>
          <w:p w14:paraId="3B325CCC" w14:textId="77777777" w:rsidR="00636371" w:rsidRPr="008B16E9" w:rsidRDefault="00000000">
            <w:pPr>
              <w:spacing w:after="0" w:line="269"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Pilot cannot justify production rollout</w:t>
            </w:r>
          </w:p>
        </w:tc>
        <w:tc>
          <w:tcPr>
            <w:tcW w:w="3816" w:type="dxa"/>
          </w:tcPr>
          <w:p w14:paraId="161EC631" w14:textId="77777777" w:rsidR="00636371" w:rsidRPr="008B16E9" w:rsidRDefault="00000000">
            <w:pPr>
              <w:spacing w:after="0" w:line="269" w:lineRule="auto"/>
              <w:jc w:val="cente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Stage gate after evaluation, baseline comparison, and fallback to narrowed scope</w:t>
            </w:r>
          </w:p>
        </w:tc>
      </w:tr>
    </w:tbl>
    <w:p w14:paraId="3F977994"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These risks show why the lecture topics belong together. Scheduling without risk management would hide data approval and validation uncertainty. Budgeting without quality metrics would make the project appear cheaper than it is. Quality </w:t>
      </w:r>
      <w:r w:rsidRPr="008B16E9">
        <w:rPr>
          <w:rFonts w:ascii="Times New Roman" w:hAnsi="Times New Roman" w:cs="Times New Roman"/>
          <w:color w:val="000000" w:themeColor="text1"/>
          <w:sz w:val="28"/>
          <w:szCs w:val="28"/>
        </w:rPr>
        <w:lastRenderedPageBreak/>
        <w:t>management without financial justification would not explain why the university should fund the pilot. The manager needs all three views.</w:t>
      </w:r>
    </w:p>
    <w:p w14:paraId="31200B4B" w14:textId="77777777" w:rsidR="00636371" w:rsidRPr="008B16E9" w:rsidRDefault="00000000">
      <w:pPr>
        <w:pStyle w:val="21"/>
        <w:spacing w:after="120"/>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3.2 Control Tools and Quality Metrics</w:t>
      </w:r>
    </w:p>
    <w:p w14:paraId="355DFEA2"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recommended control system combines project controls with model controls:</w:t>
      </w:r>
    </w:p>
    <w:p w14:paraId="71FE6424"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Schedule control through a weekly Gantt review, critical path status, and dependency review for data access, API integration, and pilot readiness.</w:t>
      </w:r>
    </w:p>
    <w:p w14:paraId="4754AA5F"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Budget control through monthly planned versus actual cost, reserve drawdown tracking, and approval for any scope change that affects total cost.</w:t>
      </w:r>
    </w:p>
    <w:p w14:paraId="1618CA91"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Risk control through a live risk register with probability, impact, owner, mitigation status, and trigger date.</w:t>
      </w:r>
    </w:p>
    <w:p w14:paraId="501FDE2A"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Quality control through model metrics, API latency tests, security checks, reviewer audit, and user acceptance surveys.</w:t>
      </w:r>
    </w:p>
    <w:p w14:paraId="719AC1A7" w14:textId="77777777" w:rsidR="00636371" w:rsidRPr="008B16E9" w:rsidRDefault="00000000">
      <w:pPr>
        <w:pStyle w:val="a0"/>
        <w:spacing w:after="80" w:line="288" w:lineRule="auto"/>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Governance control through a rule that the model flags risk but does not make final academic decisions.</w:t>
      </w:r>
    </w:p>
    <w:p w14:paraId="5904200C"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most important quality metrics are duplicate detection F1, near duplicate recall, false </w:t>
      </w:r>
      <w:proofErr w:type="gramStart"/>
      <w:r w:rsidRPr="008B16E9">
        <w:rPr>
          <w:rFonts w:ascii="Times New Roman" w:hAnsi="Times New Roman" w:cs="Times New Roman"/>
          <w:color w:val="000000" w:themeColor="text1"/>
          <w:sz w:val="28"/>
          <w:szCs w:val="28"/>
        </w:rPr>
        <w:t>high risk</w:t>
      </w:r>
      <w:proofErr w:type="gramEnd"/>
      <w:r w:rsidRPr="008B16E9">
        <w:rPr>
          <w:rFonts w:ascii="Times New Roman" w:hAnsi="Times New Roman" w:cs="Times New Roman"/>
          <w:color w:val="000000" w:themeColor="text1"/>
          <w:sz w:val="28"/>
          <w:szCs w:val="28"/>
        </w:rPr>
        <w:t xml:space="preserve"> rate, top-k latency, explanation completeness, and reviewer agreement. Model accuracy alone is not enough. The system must also produce an explanation that reviewers can understand, such as which historical topics were similar, what the semantic similarity was, which keywords are common, and why the domain is rare or common.</w:t>
      </w:r>
    </w:p>
    <w:p w14:paraId="0E4E5A48" w14:textId="77777777" w:rsidR="00636371" w:rsidRPr="008B16E9" w:rsidRDefault="00000000">
      <w:pPr>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br w:type="page"/>
      </w:r>
    </w:p>
    <w:p w14:paraId="6EEA418A" w14:textId="77777777" w:rsidR="00636371" w:rsidRPr="008B16E9" w:rsidRDefault="00000000">
      <w:pPr>
        <w:pStyle w:val="1"/>
        <w:spacing w:before="320" w:after="120"/>
        <w:rPr>
          <w:rFonts w:ascii="Times New Roman" w:hAnsi="Times New Roman" w:cs="Times New Roman"/>
          <w:color w:val="000000" w:themeColor="text1"/>
          <w:sz w:val="28"/>
        </w:rPr>
      </w:pPr>
      <w:r w:rsidRPr="008B16E9">
        <w:rPr>
          <w:rFonts w:ascii="Times New Roman" w:hAnsi="Times New Roman" w:cs="Times New Roman"/>
          <w:color w:val="000000" w:themeColor="text1"/>
          <w:sz w:val="28"/>
        </w:rPr>
        <w:lastRenderedPageBreak/>
        <w:t>4 Conclusions and Recommendations</w:t>
      </w:r>
    </w:p>
    <w:p w14:paraId="2BE12C9E"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The most relevant lesson from Lecture No 2 is that project success depends on managing trade-offs explicitly. In the novelty similarity detection case, the team cannot maximize scope, speed, low cost, and quality at the same time. A short implementation without data governance and validation would be risky even if the code runs. A wider scope that also includes supervisor assignment and full thesis management would exceed the schedule and budget of the pilot. The recommended approach is therefore a narrow, measurable, stage gated implementation.</w:t>
      </w:r>
    </w:p>
    <w:p w14:paraId="78796902"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Scheduling methods apply directly to real grant funded, corporate, and startup projects. In a grant project, the Gantt chart and CPM show whether milestones can be met before reporting deadlines. In a corporate project, the schedule helps coordinate data owners, engineering, security, and users. In a startup project, it helps founders decide which features must wait until product market evidence is available. In each case, the critical path prevents management attention from spreading evenly across all activities when only some activities determine the finish date.</w:t>
      </w:r>
    </w:p>
    <w:p w14:paraId="64BE7A1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Financial justification methods also transfer across settings. A grant proposal needs a budget that connects resources to work packages and explains why the reserve is reasonable. A corporate project needs payback, ROI, operating cost, and KPI commitments. A startup project needs a burn plan and a clear reason why the work will create learning or revenue. The same discipline applies to this model: the project should be funded only if the pilot can measure review time saved, duplicate cases avoided, quality performance, and user adoption.</w:t>
      </w:r>
    </w:p>
    <w:p w14:paraId="7A5EDB08" w14:textId="77777777" w:rsidR="00636371" w:rsidRPr="008B16E9" w:rsidRDefault="00000000">
      <w:pPr>
        <w:jc w:val="both"/>
        <w:rPr>
          <w:rFonts w:ascii="Times New Roman" w:hAnsi="Times New Roman" w:cs="Times New Roman"/>
          <w:color w:val="000000" w:themeColor="text1"/>
          <w:sz w:val="28"/>
          <w:szCs w:val="28"/>
        </w:rPr>
      </w:pPr>
      <w:r w:rsidRPr="008B16E9">
        <w:rPr>
          <w:rFonts w:ascii="Times New Roman" w:hAnsi="Times New Roman" w:cs="Times New Roman"/>
          <w:color w:val="000000" w:themeColor="text1"/>
          <w:sz w:val="28"/>
          <w:szCs w:val="28"/>
        </w:rPr>
        <w:t xml:space="preserve">The final recommendation is to approve a controlled pilot with the $43,916 planned budget, a </w:t>
      </w:r>
      <w:proofErr w:type="gramStart"/>
      <w:r w:rsidRPr="008B16E9">
        <w:rPr>
          <w:rFonts w:ascii="Times New Roman" w:hAnsi="Times New Roman" w:cs="Times New Roman"/>
          <w:color w:val="000000" w:themeColor="text1"/>
          <w:sz w:val="28"/>
          <w:szCs w:val="28"/>
        </w:rPr>
        <w:t>17 week</w:t>
      </w:r>
      <w:proofErr w:type="gramEnd"/>
      <w:r w:rsidRPr="008B16E9">
        <w:rPr>
          <w:rFonts w:ascii="Times New Roman" w:hAnsi="Times New Roman" w:cs="Times New Roman"/>
          <w:color w:val="000000" w:themeColor="text1"/>
          <w:sz w:val="28"/>
          <w:szCs w:val="28"/>
        </w:rPr>
        <w:t xml:space="preserve"> schedule baseline, and the KPI targets shown above. Production rollout should be conditional on meeting quality gates, especially near duplicate recall, false </w:t>
      </w:r>
      <w:proofErr w:type="gramStart"/>
      <w:r w:rsidRPr="008B16E9">
        <w:rPr>
          <w:rFonts w:ascii="Times New Roman" w:hAnsi="Times New Roman" w:cs="Times New Roman"/>
          <w:color w:val="000000" w:themeColor="text1"/>
          <w:sz w:val="28"/>
          <w:szCs w:val="28"/>
        </w:rPr>
        <w:t>high risk</w:t>
      </w:r>
      <w:proofErr w:type="gramEnd"/>
      <w:r w:rsidRPr="008B16E9">
        <w:rPr>
          <w:rFonts w:ascii="Times New Roman" w:hAnsi="Times New Roman" w:cs="Times New Roman"/>
          <w:color w:val="000000" w:themeColor="text1"/>
          <w:sz w:val="28"/>
          <w:szCs w:val="28"/>
        </w:rPr>
        <w:t xml:space="preserve"> rate, and user acceptance. If those gates are not met, the team should use the remaining reserve for data improvement or threshold redesign rather than forcing deployment.</w:t>
      </w:r>
    </w:p>
    <w:p w14:paraId="7F795952" w14:textId="1656087A" w:rsidR="00636371" w:rsidRPr="00375A65" w:rsidRDefault="00636371" w:rsidP="008B16E9">
      <w:pPr>
        <w:pStyle w:val="a0"/>
        <w:numPr>
          <w:ilvl w:val="0"/>
          <w:numId w:val="0"/>
        </w:numPr>
        <w:spacing w:after="80" w:line="288" w:lineRule="auto"/>
        <w:ind w:left="360" w:hanging="360"/>
        <w:rPr>
          <w:rFonts w:ascii="Times New Roman" w:hAnsi="Times New Roman" w:cs="Times New Roman"/>
          <w:color w:val="000000" w:themeColor="text1"/>
          <w:sz w:val="28"/>
          <w:szCs w:val="28"/>
          <w:lang w:val="ru-RU"/>
        </w:rPr>
      </w:pPr>
    </w:p>
    <w:sectPr w:rsidR="00636371" w:rsidRPr="00375A65" w:rsidSect="0003461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C17290" w14:textId="77777777" w:rsidR="00617E3A" w:rsidRDefault="00617E3A">
      <w:pPr>
        <w:spacing w:after="0" w:line="240" w:lineRule="auto"/>
      </w:pPr>
      <w:r>
        <w:separator/>
      </w:r>
    </w:p>
  </w:endnote>
  <w:endnote w:type="continuationSeparator" w:id="0">
    <w:p w14:paraId="6A120C0E" w14:textId="77777777" w:rsidR="00617E3A" w:rsidRDefault="00617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1B593A" w14:textId="77777777" w:rsidR="00617E3A" w:rsidRDefault="00617E3A">
      <w:pPr>
        <w:spacing w:after="0" w:line="240" w:lineRule="auto"/>
      </w:pPr>
      <w:r>
        <w:separator/>
      </w:r>
    </w:p>
  </w:footnote>
  <w:footnote w:type="continuationSeparator" w:id="0">
    <w:p w14:paraId="7CFADE5A" w14:textId="77777777" w:rsidR="00617E3A" w:rsidRDefault="00617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7598419">
    <w:abstractNumId w:val="8"/>
  </w:num>
  <w:num w:numId="2" w16cid:durableId="2015692027">
    <w:abstractNumId w:val="6"/>
  </w:num>
  <w:num w:numId="3" w16cid:durableId="1123885570">
    <w:abstractNumId w:val="5"/>
  </w:num>
  <w:num w:numId="4" w16cid:durableId="818808498">
    <w:abstractNumId w:val="4"/>
  </w:num>
  <w:num w:numId="5" w16cid:durableId="1041368863">
    <w:abstractNumId w:val="7"/>
  </w:num>
  <w:num w:numId="6" w16cid:durableId="1612131051">
    <w:abstractNumId w:val="3"/>
  </w:num>
  <w:num w:numId="7" w16cid:durableId="244144044">
    <w:abstractNumId w:val="2"/>
  </w:num>
  <w:num w:numId="8" w16cid:durableId="434862113">
    <w:abstractNumId w:val="1"/>
  </w:num>
  <w:num w:numId="9" w16cid:durableId="82379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AAA"/>
    <w:rsid w:val="00326F90"/>
    <w:rsid w:val="00375A65"/>
    <w:rsid w:val="00617E3A"/>
    <w:rsid w:val="00636371"/>
    <w:rsid w:val="008B16E9"/>
    <w:rsid w:val="008E3A7E"/>
    <w:rsid w:val="00937A52"/>
    <w:rsid w:val="00A85BC6"/>
    <w:rsid w:val="00AA1D8D"/>
    <w:rsid w:val="00AF2F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831A3"/>
  <w14:defaultImageDpi w14:val="300"/>
  <w15:docId w15:val="{39E8831F-6D7B-CD47-98D2-B798CC12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140251371469596"/>
          <c:y val="4.2735042735042736E-2"/>
          <c:w val="0.7420096209248862"/>
          <c:h val="0.92165242165242167"/>
        </c:manualLayout>
      </c:layout>
      <c:barChart>
        <c:barDir val="bar"/>
        <c:grouping val="clustered"/>
        <c:varyColors val="0"/>
        <c:ser>
          <c:idx val="0"/>
          <c:order val="0"/>
          <c:tx>
            <c:strRef>
              <c:f>Sheet1!$B$1</c:f>
              <c:strCache>
                <c:ptCount val="1"/>
                <c:pt idx="0">
                  <c:v>Budget ($)</c:v>
                </c:pt>
              </c:strCache>
            </c:strRef>
          </c:tx>
          <c:spPr>
            <a:solidFill>
              <a:srgbClr val="1E2761"/>
            </a:solidFill>
            <a:effectLst/>
          </c:spPr>
          <c:invertIfNegative val="0"/>
          <c:dPt>
            <c:idx val="0"/>
            <c:invertIfNegative val="0"/>
            <c:bubble3D val="0"/>
            <c:extLst>
              <c:ext xmlns:c16="http://schemas.microsoft.com/office/drawing/2014/chart" uri="{C3380CC4-5D6E-409C-BE32-E72D297353CC}">
                <c16:uniqueId val="{00000000-A07C-214C-90FD-93CD6C4F26B2}"/>
              </c:ext>
            </c:extLst>
          </c:dPt>
          <c:dPt>
            <c:idx val="1"/>
            <c:invertIfNegative val="0"/>
            <c:bubble3D val="0"/>
            <c:extLst>
              <c:ext xmlns:c16="http://schemas.microsoft.com/office/drawing/2014/chart" uri="{C3380CC4-5D6E-409C-BE32-E72D297353CC}">
                <c16:uniqueId val="{00000001-A07C-214C-90FD-93CD6C4F26B2}"/>
              </c:ext>
            </c:extLst>
          </c:dPt>
          <c:dPt>
            <c:idx val="2"/>
            <c:invertIfNegative val="0"/>
            <c:bubble3D val="0"/>
            <c:extLst>
              <c:ext xmlns:c16="http://schemas.microsoft.com/office/drawing/2014/chart" uri="{C3380CC4-5D6E-409C-BE32-E72D297353CC}">
                <c16:uniqueId val="{00000002-A07C-214C-90FD-93CD6C4F26B2}"/>
              </c:ext>
            </c:extLst>
          </c:dPt>
          <c:dPt>
            <c:idx val="3"/>
            <c:invertIfNegative val="0"/>
            <c:bubble3D val="0"/>
            <c:extLst>
              <c:ext xmlns:c16="http://schemas.microsoft.com/office/drawing/2014/chart" uri="{C3380CC4-5D6E-409C-BE32-E72D297353CC}">
                <c16:uniqueId val="{00000003-A07C-214C-90FD-93CD6C4F26B2}"/>
              </c:ext>
            </c:extLst>
          </c:dPt>
          <c:dPt>
            <c:idx val="4"/>
            <c:invertIfNegative val="0"/>
            <c:bubble3D val="0"/>
            <c:spPr>
              <a:solidFill>
                <a:srgbClr val="D4A24C"/>
              </a:solidFill>
              <a:effectLst/>
            </c:spPr>
            <c:extLst>
              <c:ext xmlns:c16="http://schemas.microsoft.com/office/drawing/2014/chart" uri="{C3380CC4-5D6E-409C-BE32-E72D297353CC}">
                <c16:uniqueId val="{00000005-A07C-214C-90FD-93CD6C4F26B2}"/>
              </c:ext>
            </c:extLst>
          </c:dPt>
          <c:dLbls>
            <c:numFmt formatCode="\$#,##0" sourceLinked="0"/>
            <c:spPr>
              <a:noFill/>
              <a:ln>
                <a:noFill/>
              </a:ln>
              <a:effectLst/>
            </c:spPr>
            <c:txPr>
              <a:bodyPr/>
              <a:lstStyle/>
              <a:p>
                <a:pPr>
                  <a:defRPr sz="1000" b="0" i="0" u="none" strike="noStrike">
                    <a:solidFill>
                      <a:srgbClr val="1F2430"/>
                    </a:solidFill>
                    <a:latin typeface="Arial"/>
                  </a:defRPr>
                </a:pPr>
                <a:endParaRPr lang="ru-KZ"/>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Personnel</c:v>
                </c:pt>
                <c:pt idx="1">
                  <c:v>Infrastructure</c:v>
                </c:pt>
                <c:pt idx="2">
                  <c:v>Software &amp; data</c:v>
                </c:pt>
                <c:pt idx="3">
                  <c:v>Training</c:v>
                </c:pt>
                <c:pt idx="4">
                  <c:v>Contingency (15%)</c:v>
                </c:pt>
              </c:strCache>
            </c:strRef>
          </c:cat>
          <c:val>
            <c:numRef>
              <c:f>Sheet1!$B$2:$B$6</c:f>
              <c:numCache>
                <c:formatCode>General</c:formatCode>
                <c:ptCount val="5"/>
                <c:pt idx="0">
                  <c:v>27000</c:v>
                </c:pt>
                <c:pt idx="1">
                  <c:v>5500</c:v>
                </c:pt>
                <c:pt idx="2">
                  <c:v>3000</c:v>
                </c:pt>
                <c:pt idx="3">
                  <c:v>2688</c:v>
                </c:pt>
                <c:pt idx="4">
                  <c:v>5728</c:v>
                </c:pt>
              </c:numCache>
            </c:numRef>
          </c:val>
          <c:extLst>
            <c:ext xmlns:c16="http://schemas.microsoft.com/office/drawing/2014/chart" uri="{C3380CC4-5D6E-409C-BE32-E72D297353CC}">
              <c16:uniqueId val="{00000006-A07C-214C-90FD-93CD6C4F26B2}"/>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out"/>
        <c:minorTickMark val="none"/>
        <c:tickLblPos val="nextTo"/>
        <c:spPr>
          <a:ln w="12700" cap="flat">
            <a:noFill/>
            <a:prstDash val="solid"/>
            <a:round/>
          </a:ln>
        </c:spPr>
        <c:txPr>
          <a:bodyPr/>
          <a:lstStyle/>
          <a:p>
            <a:pPr>
              <a:defRPr sz="1100" b="0" i="0" u="none" strike="noStrike">
                <a:solidFill>
                  <a:srgbClr val="1F2430"/>
                </a:solidFill>
                <a:latin typeface="Arial"/>
              </a:defRPr>
            </a:pPr>
            <a:endParaRPr lang="en-US"/>
          </a:p>
        </c:txPr>
        <c:crossAx val="2094734552"/>
        <c:crosses val="autoZero"/>
        <c:auto val="1"/>
        <c:lblAlgn val="ctr"/>
        <c:lblOffset val="100"/>
        <c:noMultiLvlLbl val="1"/>
      </c:catAx>
      <c:valAx>
        <c:axId val="2094734552"/>
        <c:scaling>
          <c:orientation val="minMax"/>
        </c:scaling>
        <c:delete val="1"/>
        <c:axPos val="b"/>
        <c:numFmt formatCode="General" sourceLinked="0"/>
        <c:majorTickMark val="out"/>
        <c:minorTickMark val="none"/>
        <c:tickLblPos val="low"/>
        <c:crossAx val="2094734554"/>
        <c:crosses val="autoZero"/>
        <c:crossBetween val="between"/>
      </c:valAx>
      <c:spPr>
        <a:solidFill>
          <a:srgbClr val="FFFFFF"/>
        </a:solidFill>
        <a:ln>
          <a:noFill/>
        </a:ln>
        <a:effectLst/>
      </c:spPr>
    </c:plotArea>
    <c:plotVisOnly val="1"/>
    <c:dispBlanksAs val="span"/>
    <c:showDLblsOverMax val="1"/>
  </c:chart>
  <c:spPr>
    <a:no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Cashflow ($)</c:v>
                </c:pt>
              </c:strCache>
            </c:strRef>
          </c:tx>
          <c:spPr>
            <a:solidFill>
              <a:srgbClr val="1E2761"/>
            </a:solidFill>
            <a:effectLst/>
          </c:spPr>
          <c:invertIfNegative val="0"/>
          <c:dLbls>
            <c:numFmt formatCode="\$#,##0" sourceLinked="0"/>
            <c:spPr>
              <a:noFill/>
              <a:ln>
                <a:noFill/>
              </a:ln>
              <a:effectLst/>
            </c:spPr>
            <c:txPr>
              <a:bodyPr/>
              <a:lstStyle/>
              <a:p>
                <a:pPr>
                  <a:defRPr sz="1050" b="0" i="0" u="none" strike="noStrike">
                    <a:solidFill>
                      <a:srgbClr val="1F2430"/>
                    </a:solidFill>
                    <a:latin typeface="Arial"/>
                  </a:defRPr>
                </a:pPr>
                <a:endParaRPr lang="ru-KZ"/>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M1</c:v>
                </c:pt>
                <c:pt idx="1">
                  <c:v>M2</c:v>
                </c:pt>
                <c:pt idx="2">
                  <c:v>M3</c:v>
                </c:pt>
                <c:pt idx="3">
                  <c:v>M4</c:v>
                </c:pt>
                <c:pt idx="4">
                  <c:v>M5</c:v>
                </c:pt>
              </c:strCache>
            </c:strRef>
          </c:cat>
          <c:val>
            <c:numRef>
              <c:f>Sheet1!$B$2:$B$6</c:f>
              <c:numCache>
                <c:formatCode>General</c:formatCode>
                <c:ptCount val="5"/>
                <c:pt idx="0">
                  <c:v>7200</c:v>
                </c:pt>
                <c:pt idx="1">
                  <c:v>10400</c:v>
                </c:pt>
                <c:pt idx="2">
                  <c:v>10800</c:v>
                </c:pt>
                <c:pt idx="3">
                  <c:v>7000</c:v>
                </c:pt>
                <c:pt idx="4">
                  <c:v>2800</c:v>
                </c:pt>
              </c:numCache>
            </c:numRef>
          </c:val>
          <c:extLst>
            <c:ext xmlns:c16="http://schemas.microsoft.com/office/drawing/2014/chart" uri="{C3380CC4-5D6E-409C-BE32-E72D297353CC}">
              <c16:uniqueId val="{00000000-C010-5B46-9C40-CDADA5C4273D}"/>
            </c:ext>
          </c:extLst>
        </c:ser>
        <c:dLbls>
          <c:showLegendKey val="0"/>
          <c:showVal val="1"/>
          <c:showCatName val="0"/>
          <c:showSerName val="0"/>
          <c:showPercent val="0"/>
          <c:showBubbleSize val="0"/>
        </c:dLbls>
        <c:gapWidth val="4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D0D5E0"/>
            </a:solidFill>
            <a:prstDash val="solid"/>
            <a:round/>
          </a:ln>
        </c:spPr>
        <c:txPr>
          <a:bodyPr/>
          <a:lstStyle/>
          <a:p>
            <a:pPr>
              <a:defRPr sz="1200" b="0" i="0" u="none" strike="noStrike">
                <a:solidFill>
                  <a:srgbClr val="1F2430"/>
                </a:solidFill>
                <a:latin typeface="Arial"/>
              </a:defRPr>
            </a:pPr>
            <a:endParaRPr lang="en-US"/>
          </a:p>
        </c:txPr>
        <c:crossAx val="2094734552"/>
        <c:crosses val="autoZero"/>
        <c:auto val="1"/>
        <c:lblAlgn val="ctr"/>
        <c:lblOffset val="100"/>
        <c:noMultiLvlLbl val="1"/>
      </c:catAx>
      <c:valAx>
        <c:axId val="2094734552"/>
        <c:scaling>
          <c:orientation val="minMax"/>
        </c:scaling>
        <c:delete val="1"/>
        <c:axPos val="l"/>
        <c:numFmt formatCode="General" sourceLinked="0"/>
        <c:majorTickMark val="out"/>
        <c:minorTickMark val="none"/>
        <c:tickLblPos val="nextTo"/>
        <c:crossAx val="2094734554"/>
        <c:crosses val="autoZero"/>
        <c:crossBetween val="between"/>
      </c:valAx>
      <c:spPr>
        <a:solidFill>
          <a:srgbClr val="FFFFFF"/>
        </a:solidFill>
        <a:ln>
          <a:noFill/>
        </a:ln>
        <a:effectLst/>
      </c:spPr>
    </c:plotArea>
    <c:plotVisOnly val="1"/>
    <c:dispBlanksAs val="span"/>
    <c:showDLblsOverMax val="1"/>
  </c:chart>
  <c:spPr>
    <a:noFill/>
    <a:ln>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3127</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Alisher Tokesh</cp:lastModifiedBy>
  <cp:revision>6</cp:revision>
  <dcterms:created xsi:type="dcterms:W3CDTF">2026-09-18T15:10:00Z</dcterms:created>
  <dcterms:modified xsi:type="dcterms:W3CDTF">2026-09-18T15:23:00Z</dcterms:modified>
  <cp:category/>
</cp:coreProperties>
</file>