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b/>
          <w:color w:val="000000"/>
          <w:sz w:val="36"/>
        </w:rPr>
        <w:t>Hybrid Semantic Novelty Assessment for Thesis Topic Management: A Reproducible Model for Duplicate Detection in Academic Project Platforms</w:t>
      </w:r>
    </w:p>
    <w:p>
      <w:pPr>
        <w:pStyle w:val="Subtitle"/>
        <w:jc w:val="center"/>
      </w:pPr>
      <w:r>
        <w:rPr>
          <w:rFonts w:ascii="Calibri" w:hAnsi="Calibri" w:cs="Calibri"/>
          <w:color w:val="555555"/>
          <w:sz w:val="22"/>
        </w:rPr>
        <w:t>[Student Name], [University], [Department] | Original research article draft</w:t>
      </w:r>
    </w:p>
    <w:p>
      <w:pPr>
        <w:pStyle w:val="Heading1"/>
      </w:pPr>
      <w:r>
        <w:rPr>
          <w:rFonts w:ascii="Calibri" w:hAnsi="Calibri" w:cs="Calibri"/>
          <w:b/>
          <w:color w:val="2E74B5"/>
          <w:sz w:val="32"/>
        </w:rPr>
        <w:t>Abstract</w:t>
      </w:r>
    </w:p>
    <w:p>
      <w:pPr>
        <w:spacing w:after="160" w:line="320" w:lineRule="auto"/>
        <w:jc w:val="both"/>
      </w:pPr>
      <w:r>
        <w:rPr>
          <w:rFonts w:ascii="Calibri" w:hAnsi="Calibri" w:cs="Calibri"/>
        </w:rPr>
        <w:t>Universities increasingly manage diploma and master thesis projects through digital platforms, yet topic approval is often still based on manual checking, informal supervisor memory, or exact keyword matching. This creates a risk of duplicated topics, weakly differentiated research plans, and uneven supervisor allocation. This study proposes a hybrid semantic model for thesis topic novelty assessment and duplicate detection. The model combines multilingual sentence embeddings, cosine similarity search, keyword uniqueness, domain rarity, novelty scoring, and threshold-based duplicate classification. The proposed pipeline is designed for multilingual academic environments where Russian, English, Kazakh, and mixed-language thesis titles may occur in the same repository. The novelty score is formulated as a weighted combination of semantic distance, inverse keyword frequency, and domain-specific rarity. The architecture is compatible with Sentence-BERT, multilingual E5 embeddings, exact cosine search for small repositories, and PostgreSQL with pgvector for scalable deployment. A small prototype validation confirms computational consistency of the classification workflow; however, a full institutional evaluation with expert-labelled thesis-topic pairs is required before submission. The main contribution is a reproducible and explainable model that transforms topic approval from subjective manual comparison into measurable decision support for academic project management platforms.</w:t>
      </w:r>
    </w:p>
    <w:p>
      <w:pPr>
        <w:spacing w:after="160" w:line="320" w:lineRule="auto"/>
        <w:jc w:val="both"/>
      </w:pPr>
      <w:r>
        <w:rPr>
          <w:rFonts w:ascii="Calibri" w:hAnsi="Calibri" w:cs="Calibri"/>
        </w:rPr>
        <w:t>Keywords: thesis topic management; novelty assessment; duplicate detection; semantic similarity; Sentence-BERT; multilingual E5; academic project management; pgvector.</w:t>
      </w:r>
    </w:p>
    <w:p>
      <w:pPr>
        <w:pStyle w:val="Heading1"/>
      </w:pPr>
      <w:r>
        <w:rPr>
          <w:rFonts w:ascii="Calibri" w:hAnsi="Calibri" w:cs="Calibri"/>
          <w:b/>
          <w:color w:val="2E74B5"/>
          <w:sz w:val="32"/>
        </w:rPr>
        <w:t>1. Introduction</w:t>
      </w:r>
    </w:p>
    <w:p>
      <w:pPr>
        <w:spacing w:after="160" w:line="320" w:lineRule="auto"/>
        <w:jc w:val="both"/>
      </w:pPr>
      <w:r>
        <w:rPr>
          <w:rFonts w:ascii="Calibri" w:hAnsi="Calibri" w:cs="Calibri"/>
        </w:rPr>
        <w:t>The management of diploma and master thesis projects is a recurring administrative and academic challenge in higher education. Each academic year, departments approve large numbers of student research topics, assign supervisors, monitor milestones, and evaluate whether proposed work is sufficiently original. In practice, topic approval often depends on manual review by programme coordinators or supervisors. This process is slow, difficult to reproduce, and vulnerable to inconsistency when topic repositories contain hundreds or thousands of historical records.</w:t>
      </w:r>
    </w:p>
    <w:p>
      <w:pPr>
        <w:spacing w:after="160" w:line="320" w:lineRule="auto"/>
        <w:jc w:val="both"/>
      </w:pPr>
      <w:r>
        <w:rPr>
          <w:rFonts w:ascii="Calibri" w:hAnsi="Calibri" w:cs="Calibri"/>
        </w:rPr>
        <w:t>A particularly important problem is the detection of duplicated or near-duplicated thesis topics. Exact lexical matching is insufficient because two topics can express the same research intention with different wording, different languages, or different levels of specificity. For example, 'semantic similarity model for thesis duplicate detection' and 'intelligent system for identifying similar diploma topics' may be semantically close even if their surface forms differ. Conversely, two titles can share frequent academic words such as system, platform, management, or artificial intelligence while addressing substantially different research problems.</w:t>
      </w:r>
    </w:p>
    <w:p>
      <w:pPr>
        <w:spacing w:after="160" w:line="320" w:lineRule="auto"/>
        <w:jc w:val="both"/>
      </w:pPr>
      <w:r>
        <w:rPr>
          <w:rFonts w:ascii="Calibri" w:hAnsi="Calibri" w:cs="Calibri"/>
        </w:rPr>
        <w:t>Recent progress in transformer-based language models has made semantic text representation more practical for such tasks. BERT introduced deep bidirectional contextual representations [2], while Sentence-BERT adapted transformer encoders for efficient sentence-level similarity comparison [3]. The E5 family further demonstrated strong general-purpose text embeddings for retrieval, clustering, and classification tasks [4]. These developments make it possible to represent thesis topics as dense vectors and compare them through cosine similarity. However, semantic similarity alone does not fully capture novelty: a topic may be semantically close to previous work but still novel because it uses a rare method, dataset, language, or domain combination. Therefore, novelty assessment requires a hybrid model rather than a single similarity score.</w:t>
      </w:r>
    </w:p>
    <w:p>
      <w:pPr>
        <w:spacing w:after="160" w:line="320" w:lineRule="auto"/>
        <w:jc w:val="both"/>
      </w:pPr>
      <w:r>
        <w:rPr>
          <w:rFonts w:ascii="Calibri" w:hAnsi="Calibri" w:cs="Calibri"/>
        </w:rPr>
        <w:t>This paper addresses the following research question: how can a reproducible and explainable model assess the novelty of thesis topics and detect duplicates in a multilingual academic project management platform? The objective is to design a model that is technically feasible for a master research project, sufficiently modern for publication-oriented work, and transparent enough for academic administrators and supervisors to interpret.</w:t>
      </w:r>
    </w:p>
    <w:p>
      <w:pPr>
        <w:spacing w:after="160" w:line="320" w:lineRule="auto"/>
        <w:jc w:val="both"/>
      </w:pPr>
      <w:r>
        <w:rPr>
          <w:rFonts w:ascii="Calibri" w:hAnsi="Calibri" w:cs="Calibri"/>
        </w:rPr>
        <w:t>The contributions of this study are as follows:</w:t>
      </w:r>
    </w:p>
    <w:p>
      <w:pPr>
        <w:pStyle w:val="ListNumber"/>
        <w:spacing w:after="80" w:line="290" w:lineRule="auto"/>
      </w:pPr>
      <w:r>
        <w:rPr>
          <w:rFonts w:ascii="Calibri" w:hAnsi="Calibri" w:cs="Calibri"/>
        </w:rPr>
        <w:t>A hybrid thesis topic novelty assessment model combining semantic embeddings, keyword uniqueness, domain rarity, and duplicate classification.</w:t>
      </w:r>
    </w:p>
    <w:p>
      <w:pPr>
        <w:pStyle w:val="ListNumber"/>
        <w:spacing w:after="80" w:line="290" w:lineRule="auto"/>
      </w:pPr>
      <w:r>
        <w:rPr>
          <w:rFonts w:ascii="Calibri" w:hAnsi="Calibri" w:cs="Calibri"/>
        </w:rPr>
        <w:t>A reproducible scoring formula that distinguishes semantic similarity from research novelty.</w:t>
      </w:r>
    </w:p>
    <w:p>
      <w:pPr>
        <w:pStyle w:val="ListNumber"/>
        <w:spacing w:after="80" w:line="290" w:lineRule="auto"/>
      </w:pPr>
      <w:r>
        <w:rPr>
          <w:rFonts w:ascii="Calibri" w:hAnsi="Calibri" w:cs="Calibri"/>
        </w:rPr>
        <w:t>A deployment-oriented architecture compatible with FastAPI, PostgreSQL, pgvector, and exact vector search for small to medium university repositories.</w:t>
      </w:r>
    </w:p>
    <w:p>
      <w:pPr>
        <w:pStyle w:val="ListNumber"/>
        <w:spacing w:after="80" w:line="290" w:lineRule="auto"/>
      </w:pPr>
      <w:r>
        <w:rPr>
          <w:rFonts w:ascii="Calibri" w:hAnsi="Calibri" w:cs="Calibri"/>
        </w:rPr>
        <w:t>An evaluation protocol including baselines, threshold optimisation, ablation study, and expert-labelled validation pairs.</w:t>
      </w:r>
    </w:p>
    <w:p>
      <w:pPr>
        <w:pStyle w:val="Heading1"/>
      </w:pPr>
      <w:r>
        <w:rPr>
          <w:rFonts w:ascii="Calibri" w:hAnsi="Calibri" w:cs="Calibri"/>
          <w:b/>
          <w:color w:val="2E74B5"/>
          <w:sz w:val="32"/>
        </w:rPr>
        <w:t>2. Related Work</w:t>
      </w:r>
    </w:p>
    <w:p>
      <w:pPr>
        <w:pStyle w:val="Heading2"/>
      </w:pPr>
      <w:r>
        <w:rPr>
          <w:rFonts w:ascii="Calibri" w:hAnsi="Calibri" w:cs="Calibri"/>
          <w:b/>
          <w:color w:val="2E74B5"/>
          <w:sz w:val="26"/>
        </w:rPr>
        <w:t>2.1 Semantic Text Representation</w:t>
      </w:r>
    </w:p>
    <w:p>
      <w:pPr>
        <w:spacing w:after="160" w:line="320" w:lineRule="auto"/>
        <w:jc w:val="both"/>
      </w:pPr>
      <w:r>
        <w:rPr>
          <w:rFonts w:ascii="Calibri" w:hAnsi="Calibri" w:cs="Calibri"/>
        </w:rPr>
        <w:t>Transformer architectures have become a foundation for modern natural language processing. The original Transformer introduced attention-based sequence modelling without recurrence [1], and BERT extended this direction through bidirectional pre-training [2]. Although BERT is effective for many language understanding tasks, directly comparing raw BERT sentence representations is computationally inefficient for large pairwise similarity search. Sentence-BERT addresses this limitation by using siamese and triplet network structures to produce sentence embeddings that can be compared efficiently with cosine similarity [3]. This makes SBERT-style models suitable for semantic duplicate detection, retrieval, and clustering.</w:t>
      </w:r>
    </w:p>
    <w:p>
      <w:pPr>
        <w:spacing w:after="160" w:line="320" w:lineRule="auto"/>
        <w:jc w:val="both"/>
      </w:pPr>
      <w:r>
        <w:rPr>
          <w:rFonts w:ascii="Calibri" w:hAnsi="Calibri" w:cs="Calibri"/>
        </w:rPr>
        <w:t>For multilingual academic environments, multilingual embedding models are preferable to English-only models. The E5 family provides general-purpose embeddings trained through weakly supervised contrastive pre-training and has been reported as effective across retrieval and classification tasks [4]. Sentence-transformer models such as paraphrase-multilingual-MiniLM-L12-v2 offer a lighter alternative for multilingual sentence similarity where computational resources are limited [9].</w:t>
      </w:r>
    </w:p>
    <w:p>
      <w:pPr>
        <w:pStyle w:val="Heading2"/>
      </w:pPr>
      <w:r>
        <w:rPr>
          <w:rFonts w:ascii="Calibri" w:hAnsi="Calibri" w:cs="Calibri"/>
          <w:b/>
          <w:color w:val="2E74B5"/>
          <w:sz w:val="26"/>
        </w:rPr>
        <w:t>2.2 Semantic Search and Vector Storage</w:t>
      </w:r>
    </w:p>
    <w:p>
      <w:pPr>
        <w:spacing w:after="160" w:line="320" w:lineRule="auto"/>
        <w:jc w:val="both"/>
      </w:pPr>
      <w:r>
        <w:rPr>
          <w:rFonts w:ascii="Calibri" w:hAnsi="Calibri" w:cs="Calibri"/>
        </w:rPr>
        <w:t>Once text is converted into embeddings, nearest-neighbour search can be implemented through exact cosine similarity for small repositories or approximate indexing for larger collections. FAISS demonstrated efficient billion-scale similarity search using GPU-oriented algorithms [5]. In academic platform prototypes, however, a simpler architecture may be sufficient when the dataset contains a few hundred or a few thousand thesis topics. PostgreSQL with pgvector is a practical deployment option because embeddings, metadata, supervisor records, and similarity decisions can be stored in the same relational database while still supporting vector similarity search [8].</w:t>
      </w:r>
    </w:p>
    <w:p>
      <w:pPr>
        <w:pStyle w:val="Heading2"/>
      </w:pPr>
      <w:r>
        <w:rPr>
          <w:rFonts w:ascii="Calibri" w:hAnsi="Calibri" w:cs="Calibri"/>
          <w:b/>
          <w:color w:val="2E74B5"/>
          <w:sz w:val="26"/>
        </w:rPr>
        <w:t>2.3 Lexical Signals and Novelty</w:t>
      </w:r>
    </w:p>
    <w:p>
      <w:pPr>
        <w:spacing w:after="160" w:line="320" w:lineRule="auto"/>
        <w:jc w:val="both"/>
      </w:pPr>
      <w:r>
        <w:rPr>
          <w:rFonts w:ascii="Calibri" w:hAnsi="Calibri" w:cs="Calibri"/>
        </w:rPr>
        <w:t>Dense semantic representations are powerful, but they can hide interpretable lexical signals. Information retrieval research has long used term weighting and probabilistic relevance models such as BM25 to estimate the importance of query terms in a document collection [6]. In the context of thesis topic evaluation, rare keywords can indicate a potentially novel method, dataset, or domain, whereas highly frequent terms such as platform, management, or artificial intelligence contribute little evidence of originality. Therefore, keyword uniqueness should complement semantic similarity.</w:t>
      </w:r>
    </w:p>
    <w:p>
      <w:pPr>
        <w:pStyle w:val="Heading2"/>
      </w:pPr>
      <w:r>
        <w:rPr>
          <w:rFonts w:ascii="Calibri" w:hAnsi="Calibri" w:cs="Calibri"/>
          <w:b/>
          <w:color w:val="2E74B5"/>
          <w:sz w:val="26"/>
        </w:rPr>
        <w:t>2.4 Research Gap</w:t>
      </w:r>
    </w:p>
    <w:p>
      <w:pPr>
        <w:spacing w:after="160" w:line="320" w:lineRule="auto"/>
        <w:jc w:val="both"/>
      </w:pPr>
      <w:r>
        <w:rPr>
          <w:rFonts w:ascii="Calibri" w:hAnsi="Calibri" w:cs="Calibri"/>
        </w:rPr>
        <w:t>Existing approaches to academic project administration often focus on workflow management, document submission, or supervisor allocation. At the same time, semantic duplicate detection methods often focus on document-level plagiarism or general paraphrase similarity. There is a practical gap between these areas: thesis topic approval requires short-text semantic comparison, multilingual support, novelty scoring, and explainable warnings that supervisors can understand. This study addresses that gap by proposing a hybrid model specifically designed for thesis topic repositories.</w:t>
      </w:r>
    </w:p>
    <w:p>
      <w:pPr>
        <w:pStyle w:val="Heading1"/>
      </w:pPr>
      <w:r>
        <w:rPr>
          <w:rFonts w:ascii="Calibri" w:hAnsi="Calibri" w:cs="Calibri"/>
          <w:b/>
          <w:color w:val="2E74B5"/>
          <w:sz w:val="32"/>
        </w:rPr>
        <w:t>3. Materials and Methods</w:t>
      </w:r>
    </w:p>
    <w:p>
      <w:pPr>
        <w:pStyle w:val="Heading2"/>
      </w:pPr>
      <w:r>
        <w:rPr>
          <w:rFonts w:ascii="Calibri" w:hAnsi="Calibri" w:cs="Calibri"/>
          <w:b/>
          <w:color w:val="2E74B5"/>
          <w:sz w:val="26"/>
        </w:rPr>
        <w:t>3.1 Problem Formalisation</w:t>
      </w:r>
    </w:p>
    <w:p>
      <w:pPr>
        <w:spacing w:after="160" w:line="320" w:lineRule="auto"/>
        <w:jc w:val="both"/>
      </w:pPr>
      <w:r>
        <w:rPr>
          <w:rFonts w:ascii="Calibri" w:hAnsi="Calibri" w:cs="Calibri"/>
        </w:rPr>
        <w:t>Let a thesis topic record be represented as T = (title, abstract, keywords, domain, supervisor, year, language). Given a new topic q and a repository R = {T1, T2, ..., Tn}, the task is to estimate the novelty of q and classify it into one of three categories: duplicate, near duplicate, or novel. The model must also return the most similar historical topics and explain which components influenced the decision.</w:t>
      </w:r>
    </w:p>
    <w:p>
      <w:pPr>
        <w:spacing w:after="160" w:line="320" w:lineRule="auto"/>
        <w:jc w:val="both"/>
      </w:pPr>
      <w:r>
        <w:rPr>
          <w:rFonts w:ascii="Calibri" w:hAnsi="Calibri" w:cs="Calibri"/>
        </w:rPr>
        <w:t>The task differs from conventional document similarity because thesis titles are short, often multilingual, and domain-specific. In addition, the objective is not only to find the nearest topic, but also to evaluate whether the proposed topic contributes enough methodological, domain, or keyword novelty to justify approval.</w:t>
      </w:r>
    </w:p>
    <w:p>
      <w:pPr>
        <w:pStyle w:val="Heading2"/>
      </w:pPr>
      <w:r>
        <w:rPr>
          <w:rFonts w:ascii="Calibri" w:hAnsi="Calibri" w:cs="Calibri"/>
          <w:b/>
          <w:color w:val="2E74B5"/>
          <w:sz w:val="26"/>
        </w:rPr>
        <w:t>3.2 Proposed Hybrid Architecture</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F4F6F9"/>
          </w:tcPr>
          <w:p>
            <w:pPr>
              <w:spacing w:after="80"/>
            </w:pPr>
            <w:r>
              <w:rPr>
                <w:rFonts w:ascii="Calibri" w:hAnsi="Calibri" w:cs="Calibri"/>
                <w:b/>
                <w:color w:val="1F4D78"/>
                <w:sz w:val="21"/>
              </w:rPr>
              <w:t>Figure 1. Proposed model pipeline</w:t>
            </w:r>
          </w:p>
          <w:p>
            <w:pPr>
              <w:spacing w:after="40" w:line="276" w:lineRule="auto"/>
            </w:pPr>
            <w:r>
              <w:rPr>
                <w:rFonts w:ascii="Calibri" w:hAnsi="Calibri" w:cs="Calibri"/>
                <w:sz w:val="20"/>
              </w:rPr>
              <w:t>New topic -&gt; preprocessing -&gt; multilingual sentence embedding -&gt; cosine similarity search -&gt; keyword uniqueness -&gt; domain rarity -&gt; novelty score -&gt; duplicate classification -&gt; recommendation.</w:t>
            </w:r>
          </w:p>
        </w:tc>
      </w:tr>
    </w:tbl>
    <w:p/>
    <w:p>
      <w:pPr>
        <w:spacing w:after="160" w:line="320" w:lineRule="auto"/>
        <w:jc w:val="both"/>
      </w:pPr>
      <w:r>
        <w:rPr>
          <w:rFonts w:ascii="Calibri" w:hAnsi="Calibri" w:cs="Calibri"/>
        </w:rPr>
        <w:t>The architecture contains six main stages. First, the topic text is normalised and tokenised. Second, the title, abstract, keywords, and domain are encoded into a dense vector using a multilingual sentence embedding model. Third, cosine similarity is computed between the query embedding and all stored topic embeddings. Fourth, keywords are analysed using corpus-level document frequency. Fifth, domain rarity is estimated from the frequency of domain-keyword combinations. Finally, the components are combined into a novelty score and mapped to a duplicate label.</w:t>
      </w:r>
    </w:p>
    <w:p>
      <w:pPr>
        <w:spacing w:before="80" w:after="80"/>
      </w:pPr>
      <w:r>
        <w:rPr>
          <w:rFonts w:ascii="Calibri" w:hAnsi="Calibri" w:cs="Calibri"/>
          <w:i/>
          <w:color w:val="555555"/>
          <w:sz w:val="20"/>
        </w:rPr>
        <w:t>Table 1. Components of the proposed hybrid novelty model.</w:t>
      </w:r>
    </w:p>
    <w:tbl>
      <w:tblPr>
        <w:tblStyle w:val="TableGrid"/>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4600"/>
        <w:gridCol w:w="2560"/>
      </w:tblGrid>
      <w:tr>
        <w:tc>
          <w:tcPr>
            <w:tcW w:type="dxa" w:w="2200"/>
            <w:tcMar>
              <w:top w:w="80" w:type="dxa"/>
              <w:start w:w="120" w:type="dxa"/>
              <w:bottom w:w="80" w:type="dxa"/>
              <w:end w:w="120" w:type="dxa"/>
            </w:tcMar>
            <w:vAlign w:val="center"/>
            <w:shd w:fill="F4F6F9"/>
          </w:tcPr>
          <w:p>
            <w:pPr>
              <w:spacing w:after="40" w:line="276" w:lineRule="auto"/>
            </w:pPr>
            <w:r>
              <w:rPr>
                <w:rFonts w:ascii="Calibri" w:hAnsi="Calibri" w:cs="Calibri"/>
                <w:b/>
                <w:color w:val="000000"/>
                <w:sz w:val="20"/>
              </w:rPr>
              <w:t>Component</w:t>
            </w:r>
          </w:p>
        </w:tc>
        <w:tc>
          <w:tcPr>
            <w:tcW w:type="dxa" w:w="4600"/>
            <w:tcMar>
              <w:top w:w="80" w:type="dxa"/>
              <w:start w:w="120" w:type="dxa"/>
              <w:bottom w:w="80" w:type="dxa"/>
              <w:end w:w="120" w:type="dxa"/>
            </w:tcMar>
            <w:vAlign w:val="center"/>
            <w:shd w:fill="F4F6F9"/>
          </w:tcPr>
          <w:p>
            <w:pPr>
              <w:spacing w:after="40" w:line="276" w:lineRule="auto"/>
            </w:pPr>
            <w:r>
              <w:rPr>
                <w:rFonts w:ascii="Calibri" w:hAnsi="Calibri" w:cs="Calibri"/>
                <w:b/>
                <w:color w:val="000000"/>
                <w:sz w:val="20"/>
              </w:rPr>
              <w:t>Purpose</w:t>
            </w:r>
          </w:p>
        </w:tc>
        <w:tc>
          <w:tcPr>
            <w:tcW w:type="dxa" w:w="2560"/>
            <w:tcMar>
              <w:top w:w="80" w:type="dxa"/>
              <w:start w:w="120" w:type="dxa"/>
              <w:bottom w:w="80" w:type="dxa"/>
              <w:end w:w="120" w:type="dxa"/>
            </w:tcMar>
            <w:vAlign w:val="center"/>
            <w:shd w:fill="F4F6F9"/>
          </w:tcPr>
          <w:p>
            <w:pPr>
              <w:spacing w:after="40" w:line="276" w:lineRule="auto"/>
            </w:pPr>
            <w:r>
              <w:rPr>
                <w:rFonts w:ascii="Calibri" w:hAnsi="Calibri" w:cs="Calibri"/>
                <w:b/>
                <w:color w:val="000000"/>
                <w:sz w:val="20"/>
              </w:rPr>
              <w:t>Output</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Semantic similarity</w:t>
            </w:r>
          </w:p>
        </w:tc>
        <w:tc>
          <w:tcPr>
            <w:tcW w:type="dxa" w:w="4600"/>
            <w:tcMar>
              <w:top w:w="80" w:type="dxa"/>
              <w:start w:w="120" w:type="dxa"/>
              <w:bottom w:w="80" w:type="dxa"/>
              <w:end w:w="120" w:type="dxa"/>
            </w:tcMar>
            <w:vAlign w:val="center"/>
          </w:tcPr>
          <w:p>
            <w:pPr>
              <w:spacing w:after="40" w:line="276" w:lineRule="auto"/>
            </w:pPr>
            <w:r>
              <w:rPr>
                <w:rFonts w:ascii="Calibri" w:hAnsi="Calibri" w:cs="Calibri"/>
                <w:b w:val="0"/>
                <w:color w:val="000000"/>
                <w:sz w:val="20"/>
              </w:rPr>
              <w:t>Measures meaning-level closeness between the new topic and existing topics.</w:t>
            </w:r>
          </w:p>
        </w:tc>
        <w:tc>
          <w:tcPr>
            <w:tcW w:type="dxa" w:w="2560"/>
            <w:tcMar>
              <w:top w:w="80" w:type="dxa"/>
              <w:start w:w="120" w:type="dxa"/>
              <w:bottom w:w="80" w:type="dxa"/>
              <w:end w:w="120" w:type="dxa"/>
            </w:tcMar>
            <w:vAlign w:val="center"/>
          </w:tcPr>
          <w:p>
            <w:pPr>
              <w:spacing w:after="40" w:line="276" w:lineRule="auto"/>
            </w:pPr>
            <w:r>
              <w:rPr>
                <w:rFonts w:ascii="Calibri" w:hAnsi="Calibri" w:cs="Calibri"/>
                <w:b w:val="0"/>
                <w:color w:val="000000"/>
                <w:sz w:val="20"/>
              </w:rPr>
              <w:t>Maximum cosine similarity and top-k nearest topics</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Keyword uniqueness</w:t>
            </w:r>
          </w:p>
        </w:tc>
        <w:tc>
          <w:tcPr>
            <w:tcW w:type="dxa" w:w="4600"/>
            <w:tcMar>
              <w:top w:w="80" w:type="dxa"/>
              <w:start w:w="120" w:type="dxa"/>
              <w:bottom w:w="80" w:type="dxa"/>
              <w:end w:w="120" w:type="dxa"/>
            </w:tcMar>
            <w:vAlign w:val="center"/>
          </w:tcPr>
          <w:p>
            <w:pPr>
              <w:spacing w:after="40" w:line="276" w:lineRule="auto"/>
            </w:pPr>
            <w:r>
              <w:rPr>
                <w:rFonts w:ascii="Calibri" w:hAnsi="Calibri" w:cs="Calibri"/>
                <w:b w:val="0"/>
                <w:color w:val="000000"/>
                <w:sz w:val="20"/>
              </w:rPr>
              <w:t>Identifies whether the topic contains rare method, dataset, language, or domain terms.</w:t>
            </w:r>
          </w:p>
        </w:tc>
        <w:tc>
          <w:tcPr>
            <w:tcW w:type="dxa" w:w="2560"/>
            <w:tcMar>
              <w:top w:w="80" w:type="dxa"/>
              <w:start w:w="120" w:type="dxa"/>
              <w:bottom w:w="80" w:type="dxa"/>
              <w:end w:w="120" w:type="dxa"/>
            </w:tcMar>
            <w:vAlign w:val="center"/>
          </w:tcPr>
          <w:p>
            <w:pPr>
              <w:spacing w:after="40" w:line="276" w:lineRule="auto"/>
            </w:pPr>
            <w:r>
              <w:rPr>
                <w:rFonts w:ascii="Calibri" w:hAnsi="Calibri" w:cs="Calibri"/>
                <w:b w:val="0"/>
                <w:color w:val="000000"/>
                <w:sz w:val="20"/>
              </w:rPr>
              <w:t>Normalised inverse document-frequency score</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Domain rarity</w:t>
            </w:r>
          </w:p>
        </w:tc>
        <w:tc>
          <w:tcPr>
            <w:tcW w:type="dxa" w:w="4600"/>
            <w:tcMar>
              <w:top w:w="80" w:type="dxa"/>
              <w:start w:w="120" w:type="dxa"/>
              <w:bottom w:w="80" w:type="dxa"/>
              <w:end w:w="120" w:type="dxa"/>
            </w:tcMar>
            <w:vAlign w:val="center"/>
          </w:tcPr>
          <w:p>
            <w:pPr>
              <w:spacing w:after="40" w:line="276" w:lineRule="auto"/>
            </w:pPr>
            <w:r>
              <w:rPr>
                <w:rFonts w:ascii="Calibri" w:hAnsi="Calibri" w:cs="Calibri"/>
                <w:b w:val="0"/>
                <w:color w:val="000000"/>
                <w:sz w:val="20"/>
              </w:rPr>
              <w:t>Estimates whether the domain and keyword combination is common in the repository.</w:t>
            </w:r>
          </w:p>
        </w:tc>
        <w:tc>
          <w:tcPr>
            <w:tcW w:type="dxa" w:w="2560"/>
            <w:tcMar>
              <w:top w:w="80" w:type="dxa"/>
              <w:start w:w="120" w:type="dxa"/>
              <w:bottom w:w="80" w:type="dxa"/>
              <w:end w:w="120" w:type="dxa"/>
            </w:tcMar>
            <w:vAlign w:val="center"/>
          </w:tcPr>
          <w:p>
            <w:pPr>
              <w:spacing w:after="40" w:line="276" w:lineRule="auto"/>
            </w:pPr>
            <w:r>
              <w:rPr>
                <w:rFonts w:ascii="Calibri" w:hAnsi="Calibri" w:cs="Calibri"/>
                <w:b w:val="0"/>
                <w:color w:val="000000"/>
                <w:sz w:val="20"/>
              </w:rPr>
              <w:t>Domain-keyword rarity score</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Novelty score</w:t>
            </w:r>
          </w:p>
        </w:tc>
        <w:tc>
          <w:tcPr>
            <w:tcW w:type="dxa" w:w="4600"/>
            <w:tcMar>
              <w:top w:w="80" w:type="dxa"/>
              <w:start w:w="120" w:type="dxa"/>
              <w:bottom w:w="80" w:type="dxa"/>
              <w:end w:w="120" w:type="dxa"/>
            </w:tcMar>
            <w:vAlign w:val="center"/>
          </w:tcPr>
          <w:p>
            <w:pPr>
              <w:spacing w:after="40" w:line="276" w:lineRule="auto"/>
            </w:pPr>
            <w:r>
              <w:rPr>
                <w:rFonts w:ascii="Calibri" w:hAnsi="Calibri" w:cs="Calibri"/>
                <w:b w:val="0"/>
                <w:color w:val="000000"/>
                <w:sz w:val="20"/>
              </w:rPr>
              <w:t>Combines distance, keyword uniqueness, and domain rarity into one interpretable measure.</w:t>
            </w:r>
          </w:p>
        </w:tc>
        <w:tc>
          <w:tcPr>
            <w:tcW w:type="dxa" w:w="2560"/>
            <w:tcMar>
              <w:top w:w="80" w:type="dxa"/>
              <w:start w:w="120" w:type="dxa"/>
              <w:bottom w:w="80" w:type="dxa"/>
              <w:end w:w="120" w:type="dxa"/>
            </w:tcMar>
            <w:vAlign w:val="center"/>
          </w:tcPr>
          <w:p>
            <w:pPr>
              <w:spacing w:after="40" w:line="276" w:lineRule="auto"/>
            </w:pPr>
            <w:r>
              <w:rPr>
                <w:rFonts w:ascii="Calibri" w:hAnsi="Calibri" w:cs="Calibri"/>
                <w:b w:val="0"/>
                <w:color w:val="000000"/>
                <w:sz w:val="20"/>
              </w:rPr>
              <w:t>Continuous value from 0 to 1</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Duplicate classification</w:t>
            </w:r>
          </w:p>
        </w:tc>
        <w:tc>
          <w:tcPr>
            <w:tcW w:type="dxa" w:w="4600"/>
            <w:tcMar>
              <w:top w:w="80" w:type="dxa"/>
              <w:start w:w="120" w:type="dxa"/>
              <w:bottom w:w="80" w:type="dxa"/>
              <w:end w:w="120" w:type="dxa"/>
            </w:tcMar>
            <w:vAlign w:val="center"/>
          </w:tcPr>
          <w:p>
            <w:pPr>
              <w:spacing w:after="40" w:line="276" w:lineRule="auto"/>
            </w:pPr>
            <w:r>
              <w:rPr>
                <w:rFonts w:ascii="Calibri" w:hAnsi="Calibri" w:cs="Calibri"/>
                <w:b w:val="0"/>
                <w:color w:val="000000"/>
                <w:sz w:val="20"/>
              </w:rPr>
              <w:t>Transforms similarity evidence into an operational warning for the platform.</w:t>
            </w:r>
          </w:p>
        </w:tc>
        <w:tc>
          <w:tcPr>
            <w:tcW w:type="dxa" w:w="2560"/>
            <w:tcMar>
              <w:top w:w="80" w:type="dxa"/>
              <w:start w:w="120" w:type="dxa"/>
              <w:bottom w:w="80" w:type="dxa"/>
              <w:end w:w="120" w:type="dxa"/>
            </w:tcMar>
            <w:vAlign w:val="center"/>
          </w:tcPr>
          <w:p>
            <w:pPr>
              <w:spacing w:after="40" w:line="276" w:lineRule="auto"/>
            </w:pPr>
            <w:r>
              <w:rPr>
                <w:rFonts w:ascii="Calibri" w:hAnsi="Calibri" w:cs="Calibri"/>
                <w:b w:val="0"/>
                <w:color w:val="000000"/>
                <w:sz w:val="20"/>
              </w:rPr>
              <w:t>duplicate / near_duplicate / novel</w:t>
            </w:r>
          </w:p>
        </w:tc>
      </w:tr>
    </w:tbl>
    <w:p/>
    <w:p>
      <w:pPr>
        <w:pStyle w:val="Heading2"/>
      </w:pPr>
      <w:r>
        <w:rPr>
          <w:rFonts w:ascii="Calibri" w:hAnsi="Calibri" w:cs="Calibri"/>
          <w:b/>
          <w:color w:val="2E74B5"/>
          <w:sz w:val="26"/>
        </w:rPr>
        <w:t>3.3 Semantic Similarity</w:t>
      </w:r>
    </w:p>
    <w:p>
      <w:pPr>
        <w:spacing w:after="160" w:line="320" w:lineRule="auto"/>
        <w:jc w:val="both"/>
      </w:pPr>
      <w:r>
        <w:rPr>
          <w:rFonts w:ascii="Calibri" w:hAnsi="Calibri" w:cs="Calibri"/>
        </w:rPr>
        <w:t>For each topic, the model forms a text representation by combining the title, abstract, keywords, and domain. The title and keywords are treated as high-signal fields because they usually contain the main object, method, and application area of a thesis project. The resulting text is encoded as an embedding vector e. For E5-style models, query and passage prefixes are used to align inference with the model's retrieval-oriented training format.</w:t>
      </w:r>
    </w:p>
    <w:p>
      <w:pPr>
        <w:spacing w:after="160" w:line="320" w:lineRule="auto"/>
        <w:jc w:val="both"/>
      </w:pPr>
      <w:r>
        <w:rPr>
          <w:rFonts w:ascii="Calibri" w:hAnsi="Calibri" w:cs="Calibri"/>
        </w:rPr>
        <w:t>The semantic similarity between a query topic q and an existing topic Ti is computed using cosine similarity: cos(eq, ei) = (eq * ei) / (||eq|| ||ei||). The semantic similarity component of the model is the maximum similarity over the repository: SemSim(q) = max_i cos(eq, ei). A high value indicates that at least one existing topic is semantically close to the proposed topic.</w:t>
      </w:r>
    </w:p>
    <w:p>
      <w:pPr>
        <w:pStyle w:val="Heading2"/>
      </w:pPr>
      <w:r>
        <w:rPr>
          <w:rFonts w:ascii="Calibri" w:hAnsi="Calibri" w:cs="Calibri"/>
          <w:b/>
          <w:color w:val="2E74B5"/>
          <w:sz w:val="26"/>
        </w:rPr>
        <w:t>3.4 Keyword Uniqueness</w:t>
      </w:r>
    </w:p>
    <w:p>
      <w:pPr>
        <w:spacing w:after="160" w:line="320" w:lineRule="auto"/>
        <w:jc w:val="both"/>
      </w:pPr>
      <w:r>
        <w:rPr>
          <w:rFonts w:ascii="Calibri" w:hAnsi="Calibri" w:cs="Calibri"/>
        </w:rPr>
        <w:t>Semantic similarity is not equivalent to novelty. Therefore, the model computes a keyword uniqueness component. Candidate keywords are taken from the user-provided keyword list and from extracted unigrams and bigrams in the title and abstract. For each keyword k, document frequency df(k) is computed over the repository. The uniqueness of a keyword is estimated through a normalised inverse document-frequency score. Unseen or rare keywords receive higher scores, while frequent generic terms receive lower scores.</w:t>
      </w:r>
    </w:p>
    <w:p>
      <w:pPr>
        <w:spacing w:after="160" w:line="320" w:lineRule="auto"/>
        <w:jc w:val="both"/>
      </w:pPr>
      <w:r>
        <w:rPr>
          <w:rFonts w:ascii="Calibri" w:hAnsi="Calibri" w:cs="Calibri"/>
        </w:rPr>
        <w:t>The keyword uniqueness score KWU(q) is the mean normalised uniqueness score of the candidate keywords in q. The model also returns rare and common keywords to make the decision interpretable for academic users.</w:t>
      </w:r>
    </w:p>
    <w:p>
      <w:pPr>
        <w:pStyle w:val="Heading2"/>
      </w:pPr>
      <w:r>
        <w:rPr>
          <w:rFonts w:ascii="Calibri" w:hAnsi="Calibri" w:cs="Calibri"/>
          <w:b/>
          <w:color w:val="2E74B5"/>
          <w:sz w:val="26"/>
        </w:rPr>
        <w:t>3.5 Domain Rarity</w:t>
      </w:r>
    </w:p>
    <w:p>
      <w:pPr>
        <w:spacing w:after="160" w:line="320" w:lineRule="auto"/>
        <w:jc w:val="both"/>
      </w:pPr>
      <w:r>
        <w:rPr>
          <w:rFonts w:ascii="Calibri" w:hAnsi="Calibri" w:cs="Calibri"/>
        </w:rPr>
        <w:t>Domain rarity captures whether the proposed combination of domain and keywords is common in the institutional repository. If a domain appears frequently, a new topic in that domain is not automatically non-novel; however, a frequently repeated domain-keyword pair can indicate duplication. The domain rarity component combines two signals: the inverse frequency of the domain itself and the inverse frequency of each domain-keyword pair.</w:t>
      </w:r>
    </w:p>
    <w:p>
      <w:pPr>
        <w:spacing w:after="160" w:line="320" w:lineRule="auto"/>
        <w:jc w:val="both"/>
      </w:pPr>
      <w:r>
        <w:rPr>
          <w:rFonts w:ascii="Calibri" w:hAnsi="Calibri" w:cs="Calibri"/>
        </w:rPr>
        <w:t>The domain rarity score is defined as DR(q) = 0.4 * DomainInverseFrequency + 0.6 * MeanPairRarity. This weighting prioritises rare domain-keyword combinations while still accounting for heavily saturated domains.</w:t>
      </w:r>
    </w:p>
    <w:p>
      <w:pPr>
        <w:pStyle w:val="Heading2"/>
      </w:pPr>
      <w:r>
        <w:rPr>
          <w:rFonts w:ascii="Calibri" w:hAnsi="Calibri" w:cs="Calibri"/>
          <w:b/>
          <w:color w:val="2E74B5"/>
          <w:sz w:val="26"/>
        </w:rPr>
        <w:t>3.6 Final Novelty Score and Classification</w:t>
      </w:r>
    </w:p>
    <w:p>
      <w:pPr>
        <w:spacing w:after="160" w:line="320" w:lineRule="auto"/>
        <w:jc w:val="both"/>
      </w:pPr>
      <w:r>
        <w:rPr>
          <w:rFonts w:ascii="Calibri" w:hAnsi="Calibri" w:cs="Calibri"/>
        </w:rPr>
        <w:t>The final novelty score is calculated as:</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tcMar>
              <w:top w:w="80" w:type="dxa"/>
              <w:start w:w="120" w:type="dxa"/>
              <w:bottom w:w="80" w:type="dxa"/>
              <w:end w:w="120" w:type="dxa"/>
            </w:tcMar>
            <w:vAlign w:val="center"/>
            <w:shd w:fill="F4F6F9"/>
          </w:tcPr>
          <w:p>
            <w:pPr>
              <w:spacing w:after="80"/>
            </w:pPr>
            <w:r>
              <w:rPr>
                <w:rFonts w:ascii="Calibri" w:hAnsi="Calibri" w:cs="Calibri"/>
                <w:b/>
                <w:color w:val="1F4D78"/>
                <w:sz w:val="21"/>
              </w:rPr>
              <w:t>Novelty scoring formula</w:t>
            </w:r>
          </w:p>
          <w:p>
            <w:pPr>
              <w:spacing w:after="40" w:line="276" w:lineRule="auto"/>
            </w:pPr>
            <w:r>
              <w:rPr>
                <w:rFonts w:ascii="Calibri" w:hAnsi="Calibri" w:cs="Calibri"/>
                <w:sz w:val="20"/>
              </w:rPr>
              <w:t>NoveltyScore(q) = alpha * (1 - SemSim(q)) + beta * KWU(q) + gamma * DR(q), where alpha = 0.60, beta = 0.25, and gamma = 0.15 by default.</w:t>
            </w:r>
          </w:p>
        </w:tc>
      </w:tr>
    </w:tbl>
    <w:p/>
    <w:p>
      <w:pPr>
        <w:spacing w:after="160" w:line="320" w:lineRule="auto"/>
        <w:jc w:val="both"/>
      </w:pPr>
      <w:r>
        <w:rPr>
          <w:rFonts w:ascii="Calibri" w:hAnsi="Calibri" w:cs="Calibri"/>
        </w:rPr>
        <w:t>The default weights reflect the assumption that semantic distance is the strongest signal, while keyword uniqueness and domain rarity provide additional evidence of research novelty. The weights can be tuned experimentally using expert-labelled validation pairs.</w:t>
      </w:r>
    </w:p>
    <w:p>
      <w:pPr>
        <w:spacing w:after="160" w:line="320" w:lineRule="auto"/>
        <w:jc w:val="both"/>
      </w:pPr>
      <w:r>
        <w:rPr>
          <w:rFonts w:ascii="Calibri" w:hAnsi="Calibri" w:cs="Calibri"/>
        </w:rPr>
        <w:t>Duplicate classification is based primarily on maximum semantic similarity. If SemSim(q) &gt;= 0.90, the topic is classified as duplicate. If 0.75 &lt;= SemSim(q) &lt; 0.90, it is classified as near duplicate. Otherwise, it is classified as novel. These thresholds are initial values and should be optimised for the institutional dataset.</w:t>
      </w:r>
    </w:p>
    <w:p>
      <w:pPr>
        <w:pStyle w:val="Heading2"/>
      </w:pPr>
      <w:r>
        <w:rPr>
          <w:rFonts w:ascii="Calibri" w:hAnsi="Calibri" w:cs="Calibri"/>
          <w:b/>
          <w:color w:val="2E74B5"/>
          <w:sz w:val="26"/>
        </w:rPr>
        <w:t>3.7 Implementation Architecture</w:t>
      </w:r>
    </w:p>
    <w:p>
      <w:pPr>
        <w:spacing w:after="160" w:line="320" w:lineRule="auto"/>
        <w:jc w:val="both"/>
      </w:pPr>
      <w:r>
        <w:rPr>
          <w:rFonts w:ascii="Calibri" w:hAnsi="Calibri" w:cs="Calibri"/>
        </w:rPr>
        <w:t>The prototype is implemented as a modular Python package. The core model can run with a deterministic hashing embedding backend for offline testing or with SentenceTransformer models for production-like semantic evaluation. A FastAPI service exposes the model through an /assess endpoint. PostgreSQL and pgvector are used in the deployment design to store topic metadata and embedding vectors in one database. For repositories with fewer than several thousand topics, exact cosine similarity is sufficient. For larger repositories, pgvector or FAISS-style nearest-neighbour indexing can be used.</w:t>
      </w:r>
    </w:p>
    <w:p>
      <w:pPr>
        <w:pStyle w:val="Heading1"/>
      </w:pPr>
      <w:r>
        <w:rPr>
          <w:rFonts w:ascii="Calibri" w:hAnsi="Calibri" w:cs="Calibri"/>
          <w:b/>
          <w:color w:val="2E74B5"/>
          <w:sz w:val="32"/>
        </w:rPr>
        <w:t>4. Experimental Design</w:t>
      </w:r>
    </w:p>
    <w:p>
      <w:pPr>
        <w:spacing w:after="160" w:line="320" w:lineRule="auto"/>
        <w:jc w:val="both"/>
      </w:pPr>
      <w:r>
        <w:rPr>
          <w:rFonts w:ascii="Calibri" w:hAnsi="Calibri" w:cs="Calibri"/>
        </w:rPr>
        <w:t>Following the methodology of a result-oriented research article, the evaluation should prove not only that the model can compute similarity, but that the hybrid approach improves duplicate detection and novelty assessment compared with simpler baselines. The final experiment should use real anonymised institutional thesis topic records and expert-labelled topic pairs.</w:t>
      </w:r>
    </w:p>
    <w:p>
      <w:pPr>
        <w:spacing w:before="80" w:after="80"/>
      </w:pPr>
      <w:r>
        <w:rPr>
          <w:rFonts w:ascii="Calibri" w:hAnsi="Calibri" w:cs="Calibri"/>
          <w:i/>
          <w:color w:val="555555"/>
          <w:sz w:val="20"/>
        </w:rPr>
        <w:t>Table 2. Recommended experimental protocol for the full study.</w:t>
      </w:r>
    </w:p>
    <w:tbl>
      <w:tblPr>
        <w:tblStyle w:val="TableGrid"/>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7160"/>
      </w:tblGrid>
      <w:tr>
        <w:tc>
          <w:tcPr>
            <w:tcW w:type="dxa" w:w="2200"/>
            <w:tcMar>
              <w:top w:w="80" w:type="dxa"/>
              <w:start w:w="120" w:type="dxa"/>
              <w:bottom w:w="80" w:type="dxa"/>
              <w:end w:w="120" w:type="dxa"/>
            </w:tcMar>
            <w:vAlign w:val="center"/>
            <w:shd w:fill="F4F6F9"/>
          </w:tcPr>
          <w:p>
            <w:pPr>
              <w:spacing w:after="40" w:line="276" w:lineRule="auto"/>
            </w:pPr>
            <w:r>
              <w:rPr>
                <w:rFonts w:ascii="Calibri" w:hAnsi="Calibri" w:cs="Calibri"/>
                <w:b/>
                <w:color w:val="000000"/>
                <w:sz w:val="20"/>
              </w:rPr>
              <w:t>Element</w:t>
            </w:r>
          </w:p>
        </w:tc>
        <w:tc>
          <w:tcPr>
            <w:tcW w:type="dxa" w:w="7160"/>
            <w:tcMar>
              <w:top w:w="80" w:type="dxa"/>
              <w:start w:w="120" w:type="dxa"/>
              <w:bottom w:w="80" w:type="dxa"/>
              <w:end w:w="120" w:type="dxa"/>
            </w:tcMar>
            <w:vAlign w:val="center"/>
            <w:shd w:fill="F4F6F9"/>
          </w:tcPr>
          <w:p>
            <w:pPr>
              <w:spacing w:after="40" w:line="276" w:lineRule="auto"/>
            </w:pPr>
            <w:r>
              <w:rPr>
                <w:rFonts w:ascii="Calibri" w:hAnsi="Calibri" w:cs="Calibri"/>
                <w:b/>
                <w:color w:val="000000"/>
                <w:sz w:val="20"/>
              </w:rPr>
              <w:t>Recommended design</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Dataset</w:t>
            </w:r>
          </w:p>
        </w:tc>
        <w:tc>
          <w:tcPr>
            <w:tcW w:type="dxa" w:w="7160"/>
            <w:tcMar>
              <w:top w:w="80" w:type="dxa"/>
              <w:start w:w="120" w:type="dxa"/>
              <w:bottom w:w="80" w:type="dxa"/>
              <w:end w:w="120" w:type="dxa"/>
            </w:tcMar>
            <w:vAlign w:val="center"/>
          </w:tcPr>
          <w:p>
            <w:pPr>
              <w:spacing w:after="40" w:line="276" w:lineRule="auto"/>
            </w:pPr>
            <w:r>
              <w:rPr>
                <w:rFonts w:ascii="Calibri" w:hAnsi="Calibri" w:cs="Calibri"/>
                <w:b w:val="0"/>
                <w:color w:val="000000"/>
                <w:sz w:val="20"/>
              </w:rPr>
              <w:t>Anonymised historical diploma and master thesis topics from the university repository.</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Minimum fields</w:t>
            </w:r>
          </w:p>
        </w:tc>
        <w:tc>
          <w:tcPr>
            <w:tcW w:type="dxa" w:w="7160"/>
            <w:tcMar>
              <w:top w:w="80" w:type="dxa"/>
              <w:start w:w="120" w:type="dxa"/>
              <w:bottom w:w="80" w:type="dxa"/>
              <w:end w:w="120" w:type="dxa"/>
            </w:tcMar>
            <w:vAlign w:val="center"/>
          </w:tcPr>
          <w:p>
            <w:pPr>
              <w:spacing w:after="40" w:line="276" w:lineRule="auto"/>
            </w:pPr>
            <w:r>
              <w:rPr>
                <w:rFonts w:ascii="Calibri" w:hAnsi="Calibri" w:cs="Calibri"/>
                <w:b w:val="0"/>
                <w:color w:val="000000"/>
                <w:sz w:val="20"/>
              </w:rPr>
              <w:t>Title, abstract or description, keywords, domain, supervisor, year, language.</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Labels</w:t>
            </w:r>
          </w:p>
        </w:tc>
        <w:tc>
          <w:tcPr>
            <w:tcW w:type="dxa" w:w="7160"/>
            <w:tcMar>
              <w:top w:w="80" w:type="dxa"/>
              <w:start w:w="120" w:type="dxa"/>
              <w:bottom w:w="80" w:type="dxa"/>
              <w:end w:w="120" w:type="dxa"/>
            </w:tcMar>
            <w:vAlign w:val="center"/>
          </w:tcPr>
          <w:p>
            <w:pPr>
              <w:spacing w:after="40" w:line="276" w:lineRule="auto"/>
            </w:pPr>
            <w:r>
              <w:rPr>
                <w:rFonts w:ascii="Calibri" w:hAnsi="Calibri" w:cs="Calibri"/>
                <w:b w:val="0"/>
                <w:color w:val="000000"/>
                <w:sz w:val="20"/>
              </w:rPr>
              <w:t>Expert-labelled pairs: duplicate, near duplicate, novel.</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Baselines</w:t>
            </w:r>
          </w:p>
        </w:tc>
        <w:tc>
          <w:tcPr>
            <w:tcW w:type="dxa" w:w="7160"/>
            <w:tcMar>
              <w:top w:w="80" w:type="dxa"/>
              <w:start w:w="120" w:type="dxa"/>
              <w:bottom w:w="80" w:type="dxa"/>
              <w:end w:w="120" w:type="dxa"/>
            </w:tcMar>
            <w:vAlign w:val="center"/>
          </w:tcPr>
          <w:p>
            <w:pPr>
              <w:spacing w:after="40" w:line="276" w:lineRule="auto"/>
            </w:pPr>
            <w:r>
              <w:rPr>
                <w:rFonts w:ascii="Calibri" w:hAnsi="Calibri" w:cs="Calibri"/>
                <w:b w:val="0"/>
                <w:color w:val="000000"/>
                <w:sz w:val="20"/>
              </w:rPr>
              <w:t>TF-IDF cosine, BM25 or keyword overlap, Sentence-BERT-only, E5-only.</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Proposed model</w:t>
            </w:r>
          </w:p>
        </w:tc>
        <w:tc>
          <w:tcPr>
            <w:tcW w:type="dxa" w:w="7160"/>
            <w:tcMar>
              <w:top w:w="80" w:type="dxa"/>
              <w:start w:w="120" w:type="dxa"/>
              <w:bottom w:w="80" w:type="dxa"/>
              <w:end w:w="120" w:type="dxa"/>
            </w:tcMar>
            <w:vAlign w:val="center"/>
          </w:tcPr>
          <w:p>
            <w:pPr>
              <w:spacing w:after="40" w:line="276" w:lineRule="auto"/>
            </w:pPr>
            <w:r>
              <w:rPr>
                <w:rFonts w:ascii="Calibri" w:hAnsi="Calibri" w:cs="Calibri"/>
                <w:b w:val="0"/>
                <w:color w:val="000000"/>
                <w:sz w:val="20"/>
              </w:rPr>
              <w:t>Hybrid semantic similarity + keyword uniqueness + domain rarity.</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Metrics</w:t>
            </w:r>
          </w:p>
        </w:tc>
        <w:tc>
          <w:tcPr>
            <w:tcW w:type="dxa" w:w="7160"/>
            <w:tcMar>
              <w:top w:w="80" w:type="dxa"/>
              <w:start w:w="120" w:type="dxa"/>
              <w:bottom w:w="80" w:type="dxa"/>
              <w:end w:w="120" w:type="dxa"/>
            </w:tcMar>
            <w:vAlign w:val="center"/>
          </w:tcPr>
          <w:p>
            <w:pPr>
              <w:spacing w:after="40" w:line="276" w:lineRule="auto"/>
            </w:pPr>
            <w:r>
              <w:rPr>
                <w:rFonts w:ascii="Calibri" w:hAnsi="Calibri" w:cs="Calibri"/>
                <w:b w:val="0"/>
                <w:color w:val="000000"/>
                <w:sz w:val="20"/>
              </w:rPr>
              <w:t>Precision, recall, macro-F1, class-wise F1, confusion matrix, ROC-AUC if binary setup is used.</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Validation</w:t>
            </w:r>
          </w:p>
        </w:tc>
        <w:tc>
          <w:tcPr>
            <w:tcW w:type="dxa" w:w="7160"/>
            <w:tcMar>
              <w:top w:w="80" w:type="dxa"/>
              <w:start w:w="120" w:type="dxa"/>
              <w:bottom w:w="80" w:type="dxa"/>
              <w:end w:w="120" w:type="dxa"/>
            </w:tcMar>
            <w:vAlign w:val="center"/>
          </w:tcPr>
          <w:p>
            <w:pPr>
              <w:spacing w:after="40" w:line="276" w:lineRule="auto"/>
            </w:pPr>
            <w:r>
              <w:rPr>
                <w:rFonts w:ascii="Calibri" w:hAnsi="Calibri" w:cs="Calibri"/>
                <w:b w:val="0"/>
                <w:color w:val="000000"/>
                <w:sz w:val="20"/>
              </w:rPr>
              <w:t>Stratified split or k-fold validation over labelled pairs; threshold tuning on validation set.</w:t>
            </w:r>
          </w:p>
        </w:tc>
      </w:tr>
      <w:tr>
        <w:tc>
          <w:tcPr>
            <w:tcW w:type="dxa" w:w="2200"/>
            <w:tcMar>
              <w:top w:w="80" w:type="dxa"/>
              <w:start w:w="120" w:type="dxa"/>
              <w:bottom w:w="80" w:type="dxa"/>
              <w:end w:w="120" w:type="dxa"/>
            </w:tcMar>
            <w:vAlign w:val="center"/>
          </w:tcPr>
          <w:p>
            <w:pPr>
              <w:spacing w:after="40" w:line="276" w:lineRule="auto"/>
            </w:pPr>
            <w:r>
              <w:rPr>
                <w:rFonts w:ascii="Calibri" w:hAnsi="Calibri" w:cs="Calibri"/>
                <w:b w:val="0"/>
                <w:color w:val="000000"/>
                <w:sz w:val="20"/>
              </w:rPr>
              <w:t>Ablation</w:t>
            </w:r>
          </w:p>
        </w:tc>
        <w:tc>
          <w:tcPr>
            <w:tcW w:type="dxa" w:w="7160"/>
            <w:tcMar>
              <w:top w:w="80" w:type="dxa"/>
              <w:start w:w="120" w:type="dxa"/>
              <w:bottom w:w="80" w:type="dxa"/>
              <w:end w:w="120" w:type="dxa"/>
            </w:tcMar>
            <w:vAlign w:val="center"/>
          </w:tcPr>
          <w:p>
            <w:pPr>
              <w:spacing w:after="40" w:line="276" w:lineRule="auto"/>
            </w:pPr>
            <w:r>
              <w:rPr>
                <w:rFonts w:ascii="Calibri" w:hAnsi="Calibri" w:cs="Calibri"/>
                <w:b w:val="0"/>
                <w:color w:val="000000"/>
                <w:sz w:val="20"/>
              </w:rPr>
              <w:t>Remove keyword uniqueness, remove domain rarity, compare with semantic-only scoring.</w:t>
            </w:r>
          </w:p>
        </w:tc>
      </w:tr>
    </w:tbl>
    <w:p/>
    <w:p>
      <w:pPr>
        <w:spacing w:after="160" w:line="320" w:lineRule="auto"/>
        <w:jc w:val="both"/>
      </w:pPr>
      <w:r>
        <w:rPr>
          <w:rFonts w:ascii="Calibri" w:hAnsi="Calibri" w:cs="Calibri"/>
        </w:rPr>
        <w:t>The dataset should be split so that threshold tuning and final testing are separated. If the number of labelled pairs is small, k-fold cross-validation is preferable. Because near-duplicate cases are usually less frequent than novel pairs, macro-F1 and class-wise recall should be reported rather than accuracy alone.</w:t>
      </w:r>
    </w:p>
    <w:p>
      <w:pPr>
        <w:pStyle w:val="Heading1"/>
      </w:pPr>
      <w:r>
        <w:rPr>
          <w:rFonts w:ascii="Calibri" w:hAnsi="Calibri" w:cs="Calibri"/>
          <w:b/>
          <w:color w:val="2E74B5"/>
          <w:sz w:val="32"/>
        </w:rPr>
        <w:t>5. Prototype Validation</w:t>
      </w:r>
    </w:p>
    <w:p>
      <w:pPr>
        <w:spacing w:after="160" w:line="320" w:lineRule="auto"/>
        <w:jc w:val="both"/>
      </w:pPr>
      <w:r>
        <w:rPr>
          <w:rFonts w:ascii="Calibri" w:hAnsi="Calibri" w:cs="Calibri"/>
        </w:rPr>
        <w:t>A preliminary prototype validation was conducted to verify the computational consistency of the pipeline. The pilot set contained 10 synthetic or manually prepared topic records and 6 labelled topic pairs. This test was not intended to prove generalisation; its purpose was to verify that the model pipeline, thresholds, and output schema behave correctly before institutional data collection.</w:t>
      </w:r>
    </w:p>
    <w:p>
      <w:pPr>
        <w:spacing w:before="80" w:after="80"/>
      </w:pPr>
      <w:r>
        <w:rPr>
          <w:rFonts w:ascii="Calibri" w:hAnsi="Calibri" w:cs="Calibri"/>
          <w:i/>
          <w:color w:val="555555"/>
          <w:sz w:val="20"/>
        </w:rPr>
        <w:t>Table 3. Prototype sanity-check results on the small pilot pair set.</w:t>
      </w:r>
    </w:p>
    <w:tbl>
      <w:tblPr>
        <w:tblStyle w:val="TableGrid"/>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00"/>
        <w:gridCol w:w="1700"/>
        <w:gridCol w:w="1700"/>
        <w:gridCol w:w="1700"/>
        <w:gridCol w:w="1960"/>
      </w:tblGrid>
      <w:tr>
        <w:tc>
          <w:tcPr>
            <w:tcW w:type="dxa" w:w="2300"/>
            <w:tcMar>
              <w:top w:w="80" w:type="dxa"/>
              <w:start w:w="120" w:type="dxa"/>
              <w:bottom w:w="80" w:type="dxa"/>
              <w:end w:w="120" w:type="dxa"/>
            </w:tcMar>
            <w:vAlign w:val="center"/>
            <w:shd w:fill="F4F6F9"/>
          </w:tcPr>
          <w:p>
            <w:pPr>
              <w:spacing w:after="40" w:line="276" w:lineRule="auto"/>
            </w:pPr>
            <w:r>
              <w:rPr>
                <w:rFonts w:ascii="Calibri" w:hAnsi="Calibri" w:cs="Calibri"/>
                <w:b/>
                <w:color w:val="000000"/>
                <w:sz w:val="20"/>
              </w:rPr>
              <w:t>Class</w:t>
            </w:r>
          </w:p>
        </w:tc>
        <w:tc>
          <w:tcPr>
            <w:tcW w:type="dxa" w:w="1700"/>
            <w:tcMar>
              <w:top w:w="80" w:type="dxa"/>
              <w:start w:w="120" w:type="dxa"/>
              <w:bottom w:w="80" w:type="dxa"/>
              <w:end w:w="120" w:type="dxa"/>
            </w:tcMar>
            <w:vAlign w:val="center"/>
            <w:shd w:fill="F4F6F9"/>
          </w:tcPr>
          <w:p>
            <w:pPr>
              <w:spacing w:after="40" w:line="276" w:lineRule="auto"/>
            </w:pPr>
            <w:r>
              <w:rPr>
                <w:rFonts w:ascii="Calibri" w:hAnsi="Calibri" w:cs="Calibri"/>
                <w:b/>
                <w:color w:val="000000"/>
                <w:sz w:val="20"/>
              </w:rPr>
              <w:t>Precision</w:t>
            </w:r>
          </w:p>
        </w:tc>
        <w:tc>
          <w:tcPr>
            <w:tcW w:type="dxa" w:w="1700"/>
            <w:tcMar>
              <w:top w:w="80" w:type="dxa"/>
              <w:start w:w="120" w:type="dxa"/>
              <w:bottom w:w="80" w:type="dxa"/>
              <w:end w:w="120" w:type="dxa"/>
            </w:tcMar>
            <w:vAlign w:val="center"/>
            <w:shd w:fill="F4F6F9"/>
          </w:tcPr>
          <w:p>
            <w:pPr>
              <w:spacing w:after="40" w:line="276" w:lineRule="auto"/>
            </w:pPr>
            <w:r>
              <w:rPr>
                <w:rFonts w:ascii="Calibri" w:hAnsi="Calibri" w:cs="Calibri"/>
                <w:b/>
                <w:color w:val="000000"/>
                <w:sz w:val="20"/>
              </w:rPr>
              <w:t>Recall</w:t>
            </w:r>
          </w:p>
        </w:tc>
        <w:tc>
          <w:tcPr>
            <w:tcW w:type="dxa" w:w="1700"/>
            <w:tcMar>
              <w:top w:w="80" w:type="dxa"/>
              <w:start w:w="120" w:type="dxa"/>
              <w:bottom w:w="80" w:type="dxa"/>
              <w:end w:w="120" w:type="dxa"/>
            </w:tcMar>
            <w:vAlign w:val="center"/>
            <w:shd w:fill="F4F6F9"/>
          </w:tcPr>
          <w:p>
            <w:pPr>
              <w:spacing w:after="40" w:line="276" w:lineRule="auto"/>
            </w:pPr>
            <w:r>
              <w:rPr>
                <w:rFonts w:ascii="Calibri" w:hAnsi="Calibri" w:cs="Calibri"/>
                <w:b/>
                <w:color w:val="000000"/>
                <w:sz w:val="20"/>
              </w:rPr>
              <w:t>F1-score</w:t>
            </w:r>
          </w:p>
        </w:tc>
        <w:tc>
          <w:tcPr>
            <w:tcW w:type="dxa" w:w="1960"/>
            <w:tcMar>
              <w:top w:w="80" w:type="dxa"/>
              <w:start w:w="120" w:type="dxa"/>
              <w:bottom w:w="80" w:type="dxa"/>
              <w:end w:w="120" w:type="dxa"/>
            </w:tcMar>
            <w:vAlign w:val="center"/>
            <w:shd w:fill="F4F6F9"/>
          </w:tcPr>
          <w:p>
            <w:pPr>
              <w:spacing w:after="40" w:line="276" w:lineRule="auto"/>
            </w:pPr>
            <w:r>
              <w:rPr>
                <w:rFonts w:ascii="Calibri" w:hAnsi="Calibri" w:cs="Calibri"/>
                <w:b/>
                <w:color w:val="000000"/>
                <w:sz w:val="20"/>
              </w:rPr>
              <w:t>Support</w:t>
            </w:r>
          </w:p>
        </w:tc>
      </w:tr>
      <w:tr>
        <w:tc>
          <w:tcPr>
            <w:tcW w:type="dxa" w:w="2300"/>
            <w:tcMar>
              <w:top w:w="80" w:type="dxa"/>
              <w:start w:w="120" w:type="dxa"/>
              <w:bottom w:w="80" w:type="dxa"/>
              <w:end w:w="120" w:type="dxa"/>
            </w:tcMar>
            <w:vAlign w:val="center"/>
          </w:tcPr>
          <w:p>
            <w:pPr>
              <w:spacing w:after="40" w:line="276" w:lineRule="auto"/>
            </w:pPr>
            <w:r>
              <w:rPr>
                <w:rFonts w:ascii="Calibri" w:hAnsi="Calibri" w:cs="Calibri"/>
                <w:b w:val="0"/>
                <w:color w:val="000000"/>
                <w:sz w:val="20"/>
              </w:rPr>
              <w:t>duplicate</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960"/>
            <w:tcMar>
              <w:top w:w="80" w:type="dxa"/>
              <w:start w:w="120" w:type="dxa"/>
              <w:bottom w:w="80" w:type="dxa"/>
              <w:end w:w="120" w:type="dxa"/>
            </w:tcMar>
            <w:vAlign w:val="center"/>
          </w:tcPr>
          <w:p>
            <w:pPr>
              <w:spacing w:after="40" w:line="276" w:lineRule="auto"/>
            </w:pPr>
            <w:r>
              <w:rPr>
                <w:rFonts w:ascii="Calibri" w:hAnsi="Calibri" w:cs="Calibri"/>
                <w:b w:val="0"/>
                <w:color w:val="000000"/>
                <w:sz w:val="20"/>
              </w:rPr>
              <w:t>2</w:t>
            </w:r>
          </w:p>
        </w:tc>
      </w:tr>
      <w:tr>
        <w:tc>
          <w:tcPr>
            <w:tcW w:type="dxa" w:w="2300"/>
            <w:tcMar>
              <w:top w:w="80" w:type="dxa"/>
              <w:start w:w="120" w:type="dxa"/>
              <w:bottom w:w="80" w:type="dxa"/>
              <w:end w:w="120" w:type="dxa"/>
            </w:tcMar>
            <w:vAlign w:val="center"/>
          </w:tcPr>
          <w:p>
            <w:pPr>
              <w:spacing w:after="40" w:line="276" w:lineRule="auto"/>
            </w:pPr>
            <w:r>
              <w:rPr>
                <w:rFonts w:ascii="Calibri" w:hAnsi="Calibri" w:cs="Calibri"/>
                <w:b w:val="0"/>
                <w:color w:val="000000"/>
                <w:sz w:val="20"/>
              </w:rPr>
              <w:t>near_duplicate</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960"/>
            <w:tcMar>
              <w:top w:w="80" w:type="dxa"/>
              <w:start w:w="120" w:type="dxa"/>
              <w:bottom w:w="80" w:type="dxa"/>
              <w:end w:w="120" w:type="dxa"/>
            </w:tcMar>
            <w:vAlign w:val="center"/>
          </w:tcPr>
          <w:p>
            <w:pPr>
              <w:spacing w:after="40" w:line="276" w:lineRule="auto"/>
            </w:pPr>
            <w:r>
              <w:rPr>
                <w:rFonts w:ascii="Calibri" w:hAnsi="Calibri" w:cs="Calibri"/>
                <w:b w:val="0"/>
                <w:color w:val="000000"/>
                <w:sz w:val="20"/>
              </w:rPr>
              <w:t>2</w:t>
            </w:r>
          </w:p>
        </w:tc>
      </w:tr>
      <w:tr>
        <w:tc>
          <w:tcPr>
            <w:tcW w:type="dxa" w:w="2300"/>
            <w:tcMar>
              <w:top w:w="80" w:type="dxa"/>
              <w:start w:w="120" w:type="dxa"/>
              <w:bottom w:w="80" w:type="dxa"/>
              <w:end w:w="120" w:type="dxa"/>
            </w:tcMar>
            <w:vAlign w:val="center"/>
          </w:tcPr>
          <w:p>
            <w:pPr>
              <w:spacing w:after="40" w:line="276" w:lineRule="auto"/>
            </w:pPr>
            <w:r>
              <w:rPr>
                <w:rFonts w:ascii="Calibri" w:hAnsi="Calibri" w:cs="Calibri"/>
                <w:b w:val="0"/>
                <w:color w:val="000000"/>
                <w:sz w:val="20"/>
              </w:rPr>
              <w:t>novel</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960"/>
            <w:tcMar>
              <w:top w:w="80" w:type="dxa"/>
              <w:start w:w="120" w:type="dxa"/>
              <w:bottom w:w="80" w:type="dxa"/>
              <w:end w:w="120" w:type="dxa"/>
            </w:tcMar>
            <w:vAlign w:val="center"/>
          </w:tcPr>
          <w:p>
            <w:pPr>
              <w:spacing w:after="40" w:line="276" w:lineRule="auto"/>
            </w:pPr>
            <w:r>
              <w:rPr>
                <w:rFonts w:ascii="Calibri" w:hAnsi="Calibri" w:cs="Calibri"/>
                <w:b w:val="0"/>
                <w:color w:val="000000"/>
                <w:sz w:val="20"/>
              </w:rPr>
              <w:t>2</w:t>
            </w:r>
          </w:p>
        </w:tc>
      </w:tr>
      <w:tr>
        <w:tc>
          <w:tcPr>
            <w:tcW w:type="dxa" w:w="2300"/>
            <w:tcMar>
              <w:top w:w="80" w:type="dxa"/>
              <w:start w:w="120" w:type="dxa"/>
              <w:bottom w:w="80" w:type="dxa"/>
              <w:end w:w="120" w:type="dxa"/>
            </w:tcMar>
            <w:vAlign w:val="center"/>
          </w:tcPr>
          <w:p>
            <w:pPr>
              <w:spacing w:after="40" w:line="276" w:lineRule="auto"/>
            </w:pPr>
            <w:r>
              <w:rPr>
                <w:rFonts w:ascii="Calibri" w:hAnsi="Calibri" w:cs="Calibri"/>
                <w:b w:val="0"/>
                <w:color w:val="000000"/>
                <w:sz w:val="20"/>
              </w:rPr>
              <w:t>macro average</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700"/>
            <w:tcMar>
              <w:top w:w="80" w:type="dxa"/>
              <w:start w:w="120" w:type="dxa"/>
              <w:bottom w:w="80" w:type="dxa"/>
              <w:end w:w="120" w:type="dxa"/>
            </w:tcMar>
            <w:vAlign w:val="center"/>
          </w:tcPr>
          <w:p>
            <w:pPr>
              <w:spacing w:after="40" w:line="276" w:lineRule="auto"/>
            </w:pPr>
            <w:r>
              <w:rPr>
                <w:rFonts w:ascii="Calibri" w:hAnsi="Calibri" w:cs="Calibri"/>
                <w:b w:val="0"/>
                <w:color w:val="000000"/>
                <w:sz w:val="20"/>
              </w:rPr>
              <w:t>1.000</w:t>
            </w:r>
          </w:p>
        </w:tc>
        <w:tc>
          <w:tcPr>
            <w:tcW w:type="dxa" w:w="1960"/>
            <w:tcMar>
              <w:top w:w="80" w:type="dxa"/>
              <w:start w:w="120" w:type="dxa"/>
              <w:bottom w:w="80" w:type="dxa"/>
              <w:end w:w="120" w:type="dxa"/>
            </w:tcMar>
            <w:vAlign w:val="center"/>
          </w:tcPr>
          <w:p>
            <w:pPr>
              <w:spacing w:after="40" w:line="276" w:lineRule="auto"/>
            </w:pPr>
            <w:r>
              <w:rPr>
                <w:rFonts w:ascii="Calibri" w:hAnsi="Calibri" w:cs="Calibri"/>
                <w:b w:val="0"/>
                <w:color w:val="000000"/>
                <w:sz w:val="20"/>
              </w:rPr>
              <w:t>6</w:t>
            </w:r>
          </w:p>
        </w:tc>
      </w:tr>
    </w:tbl>
    <w:p/>
    <w:p>
      <w:pPr>
        <w:spacing w:after="160" w:line="320" w:lineRule="auto"/>
        <w:jc w:val="both"/>
      </w:pPr>
      <w:r>
        <w:rPr>
          <w:rFonts w:ascii="Calibri" w:hAnsi="Calibri" w:cs="Calibri"/>
        </w:rPr>
        <w:t>These values must be interpreted cautiously. The pilot set is small and partly constructed to test edge cases. Therefore, the table demonstrates that the model implementation is operational, not that the model has achieved publication-ready performance. A full Scopus-oriented submission should replace this section with results from a larger, independently labelled institutional dataset.</w:t>
      </w:r>
    </w:p>
    <w:p>
      <w:pPr>
        <w:pStyle w:val="Heading1"/>
      </w:pPr>
      <w:r>
        <w:rPr>
          <w:rFonts w:ascii="Calibri" w:hAnsi="Calibri" w:cs="Calibri"/>
          <w:b/>
          <w:color w:val="2E74B5"/>
          <w:sz w:val="32"/>
        </w:rPr>
        <w:t>6. Discussion</w:t>
      </w:r>
    </w:p>
    <w:p>
      <w:pPr>
        <w:spacing w:after="160" w:line="320" w:lineRule="auto"/>
        <w:jc w:val="both"/>
      </w:pPr>
      <w:r>
        <w:rPr>
          <w:rFonts w:ascii="Calibri" w:hAnsi="Calibri" w:cs="Calibri"/>
        </w:rPr>
        <w:t>The proposed hybrid model has several practical advantages for academic project management platforms. First, it provides a measurable warning when a proposed topic is too close to existing work. Second, it avoids the limitation of exact keyword search by using semantic embeddings. Third, it remains interpretable because the final decision is accompanied by similar topics, rare keywords, common keywords, and component-level scores. This is important in academic administration, where automated recommendations should support rather than replace supervisor judgement.</w:t>
      </w:r>
    </w:p>
    <w:p>
      <w:pPr>
        <w:spacing w:after="160" w:line="320" w:lineRule="auto"/>
        <w:jc w:val="both"/>
      </w:pPr>
      <w:r>
        <w:rPr>
          <w:rFonts w:ascii="Calibri" w:hAnsi="Calibri" w:cs="Calibri"/>
        </w:rPr>
        <w:t>The model is also suitable for multilingual repositories. In universities where thesis topics may be written in Russian, English, Kazakh, or mixed language, monolingual English embeddings can miss semantic similarity across languages. A multilingual E5 or multilingual MiniLM backend is therefore more appropriate than an English-only embedding model. The architecture also allows additional institution-specific components, such as supervisor workload, department research areas, or approved topic templates.</w:t>
      </w:r>
    </w:p>
    <w:p>
      <w:pPr>
        <w:spacing w:after="160" w:line="320" w:lineRule="auto"/>
        <w:jc w:val="both"/>
      </w:pPr>
      <w:r>
        <w:rPr>
          <w:rFonts w:ascii="Calibri" w:hAnsi="Calibri" w:cs="Calibri"/>
        </w:rPr>
        <w:t>From a research perspective, the main novelty is not the invention of a new transformer architecture. Rather, the contribution is the design and validation of an explainable hybrid pipeline for a concrete academic management problem. This aligns with applied machine learning research where novelty can be demonstrated through a reproducible pipeline, new feature combination, domain-specific evaluation, and clear comparison against baselines.</w:t>
      </w:r>
    </w:p>
    <w:p>
      <w:pPr>
        <w:pStyle w:val="Heading1"/>
      </w:pPr>
      <w:r>
        <w:rPr>
          <w:rFonts w:ascii="Calibri" w:hAnsi="Calibri" w:cs="Calibri"/>
          <w:b/>
          <w:color w:val="2E74B5"/>
          <w:sz w:val="32"/>
        </w:rPr>
        <w:t>7. Limitations</w:t>
      </w:r>
    </w:p>
    <w:p>
      <w:pPr>
        <w:spacing w:after="160" w:line="320" w:lineRule="auto"/>
        <w:jc w:val="both"/>
      </w:pPr>
      <w:r>
        <w:rPr>
          <w:rFonts w:ascii="Calibri" w:hAnsi="Calibri" w:cs="Calibri"/>
        </w:rPr>
        <w:t>The current version has several limitations. First, the preliminary validation uses a very small pilot set and cannot support strong claims about generalisation. Second, threshold values such as 0.90 and 0.75 are initial assumptions and must be tuned on real expert-labelled data. Third, keyword extraction is intentionally lightweight; domain-specific terminology dictionaries or supervised keyphrase extraction may improve performance. Fourth, the model focuses on topic novelty and duplicate risk, not on the scientific quality or feasibility of the proposed research plan. Finally, expert judgement remains necessary for borderline cases.</w:t>
      </w:r>
    </w:p>
    <w:p>
      <w:pPr>
        <w:pStyle w:val="Heading1"/>
      </w:pPr>
      <w:r>
        <w:rPr>
          <w:rFonts w:ascii="Calibri" w:hAnsi="Calibri" w:cs="Calibri"/>
          <w:b/>
          <w:color w:val="2E74B5"/>
          <w:sz w:val="32"/>
        </w:rPr>
        <w:t>8. Conclusion</w:t>
      </w:r>
    </w:p>
    <w:p>
      <w:pPr>
        <w:spacing w:after="160" w:line="320" w:lineRule="auto"/>
        <w:jc w:val="both"/>
      </w:pPr>
      <w:r>
        <w:rPr>
          <w:rFonts w:ascii="Calibri" w:hAnsi="Calibri" w:cs="Calibri"/>
        </w:rPr>
        <w:t>This study proposed a hybrid semantic model for thesis topic novelty assessment and duplicate detection in academic project management platforms. The model combines multilingual sentence embeddings, cosine similarity, keyword uniqueness, domain rarity, novelty scoring, and threshold-based classification. The approach is reproducible, explainable, and compatible with practical deployment using FastAPI and PostgreSQL with pgvector. A pilot validation confirmed that the implementation operates as expected, while a full institutional experiment is required to establish empirical performance. Future work will focus on collecting expert-labelled topic pairs, comparing multilingual embedding backends, optimising thresholds, conducting ablation studies, and integrating the novelty module with supervisor assignment and milestone monitoring functions.</w:t>
      </w:r>
    </w:p>
    <w:p>
      <w:pPr>
        <w:pStyle w:val="Heading1"/>
      </w:pPr>
      <w:r>
        <w:rPr>
          <w:rFonts w:ascii="Calibri" w:hAnsi="Calibri" w:cs="Calibri"/>
          <w:b/>
          <w:color w:val="2E74B5"/>
          <w:sz w:val="32"/>
        </w:rPr>
        <w:t>References</w:t>
      </w:r>
    </w:p>
    <w:p>
      <w:pPr>
        <w:pStyle w:val="ListNumber"/>
        <w:spacing w:after="80" w:line="276" w:lineRule="auto"/>
      </w:pPr>
      <w:r>
        <w:rPr>
          <w:rFonts w:ascii="Calibri" w:hAnsi="Calibri" w:cs="Calibri"/>
          <w:sz w:val="20"/>
        </w:rPr>
        <w:t>A. Vaswani, N. Shazeer, N. Parmar, J. Uszkoreit, L. Jones, A. N. Gomez, L. Kaiser, and I. Polosukhin, "Attention Is All You Need," Advances in Neural Information Processing Systems, 2017. https://arxiv.org/abs/1706.03762</w:t>
      </w:r>
    </w:p>
    <w:p>
      <w:pPr>
        <w:pStyle w:val="ListNumber"/>
        <w:spacing w:after="80" w:line="276" w:lineRule="auto"/>
      </w:pPr>
      <w:r>
        <w:rPr>
          <w:rFonts w:ascii="Calibri" w:hAnsi="Calibri" w:cs="Calibri"/>
          <w:sz w:val="20"/>
        </w:rPr>
        <w:t>J. Devlin, M.-W. Chang, K. Lee, and K. Toutanova, "BERT: Pre-training of Deep Bidirectional Transformers for Language Understanding," NAACL-HLT, 2019. https://arxiv.org/abs/1810.04805</w:t>
      </w:r>
    </w:p>
    <w:p>
      <w:pPr>
        <w:pStyle w:val="ListNumber"/>
        <w:spacing w:after="80" w:line="276" w:lineRule="auto"/>
      </w:pPr>
      <w:r>
        <w:rPr>
          <w:rFonts w:ascii="Calibri" w:hAnsi="Calibri" w:cs="Calibri"/>
          <w:sz w:val="20"/>
        </w:rPr>
        <w:t>N. Reimers and I. Gurevych, "Sentence-BERT: Sentence Embeddings using Siamese BERT-Networks," EMNLP-IJCNLP, 2019. https://arxiv.org/abs/1908.10084</w:t>
      </w:r>
    </w:p>
    <w:p>
      <w:pPr>
        <w:pStyle w:val="ListNumber"/>
        <w:spacing w:after="80" w:line="276" w:lineRule="auto"/>
      </w:pPr>
      <w:r>
        <w:rPr>
          <w:rFonts w:ascii="Calibri" w:hAnsi="Calibri" w:cs="Calibri"/>
          <w:sz w:val="20"/>
        </w:rPr>
        <w:t>L. Wang, N. Yang, X. Huang, B. Jiao, L. Yang, D. Jiang, R. Majumder, and F. Wei, "Text Embeddings by Weakly-Supervised Contrastive Pre-training," arXiv:2212.03533, 2022. https://arxiv.org/abs/2212.03533</w:t>
      </w:r>
    </w:p>
    <w:p>
      <w:pPr>
        <w:pStyle w:val="ListNumber"/>
        <w:spacing w:after="80" w:line="276" w:lineRule="auto"/>
      </w:pPr>
      <w:r>
        <w:rPr>
          <w:rFonts w:ascii="Calibri" w:hAnsi="Calibri" w:cs="Calibri"/>
          <w:sz w:val="20"/>
        </w:rPr>
        <w:t>J. Johnson, M. Douze, and H. Jegou, "Billion-scale similarity search with GPUs," IEEE Transactions on Big Data, vol. 7, no. 3, pp. 535-547, 2021. https://arxiv.org/abs/1702.08734</w:t>
      </w:r>
    </w:p>
    <w:p>
      <w:pPr>
        <w:pStyle w:val="ListNumber"/>
        <w:spacing w:after="80" w:line="276" w:lineRule="auto"/>
      </w:pPr>
      <w:r>
        <w:rPr>
          <w:rFonts w:ascii="Calibri" w:hAnsi="Calibri" w:cs="Calibri"/>
          <w:sz w:val="20"/>
        </w:rPr>
        <w:t>S. Robertson and H. Zaragoza, "The Probabilistic Relevance Framework: BM25 and Beyond," Foundations and Trends in Information Retrieval, vol. 3, no. 4, pp. 333-389, 2009. https://ir.webis.de/anthology/2009.ftir_journal-ir0anthology0volumeA3A4.0/</w:t>
      </w:r>
    </w:p>
    <w:p>
      <w:pPr>
        <w:pStyle w:val="ListNumber"/>
        <w:spacing w:after="80" w:line="276" w:lineRule="auto"/>
      </w:pPr>
      <w:r>
        <w:rPr>
          <w:rFonts w:ascii="Calibri" w:hAnsi="Calibri" w:cs="Calibri"/>
          <w:sz w:val="20"/>
        </w:rPr>
        <w:t>F. Pedregosa et al., "Scikit-learn: Machine Learning in Python," Journal of Machine Learning Research, vol. 12, pp. 2825-2830, 2011. https://www.jmlr.org/papers/v12/pedregosa11a.html</w:t>
      </w:r>
    </w:p>
    <w:p>
      <w:pPr>
        <w:pStyle w:val="ListNumber"/>
        <w:spacing w:after="80" w:line="276" w:lineRule="auto"/>
      </w:pPr>
      <w:r>
        <w:rPr>
          <w:rFonts w:ascii="Calibri" w:hAnsi="Calibri" w:cs="Calibri"/>
          <w:sz w:val="20"/>
        </w:rPr>
        <w:t>pgvector, "Open-source vector similarity search for Postgres," official repository/documentation. https://github.com/pgvector/pgvector</w:t>
      </w:r>
    </w:p>
    <w:p>
      <w:pPr>
        <w:pStyle w:val="ListNumber"/>
        <w:spacing w:after="80" w:line="276" w:lineRule="auto"/>
      </w:pPr>
      <w:r>
        <w:rPr>
          <w:rFonts w:ascii="Calibri" w:hAnsi="Calibri" w:cs="Calibri"/>
          <w:sz w:val="20"/>
        </w:rPr>
        <w:t>Sentence Transformers, "paraphrase-multilingual-MiniLM-L12-v2 model card," Hugging Face. https://huggingface.co/sentence-transformers/paraphrase-multilingual-MiniLM-L12-v2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color w:val="555555"/>
        <w:sz w:val="18"/>
      </w:rPr>
      <w:t>Draft manuscript for academic revision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s="Calibri"/>
        <w:color w:val="555555"/>
        <w:sz w:val="18"/>
      </w:rPr>
      <w:t>Hybrid Thesis Topic Novelty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Calibri" w:hAnsi="Calibri" w:cs="Calibr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Calibri" w:hAnsi="Calibri" w:cs="Calibr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cs="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cs="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