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200"/>
      </w:pPr>
    </w:p>
    <w:p>
      <w:pPr>
        <w:spacing w:before="0" w:after="440" w:line="264" w:lineRule="auto"/>
        <w:jc w:val="center"/>
      </w:pPr>
      <w:r>
        <w:rPr>
          <w:rFonts w:ascii="Times New Roman" w:hAnsi="Times New Roman"/>
          <w:b w:val="0"/>
          <w:i w:val="0"/>
          <w:color w:val="000000"/>
          <w:sz w:val="40"/>
        </w:rPr>
        <w:t>Development Methodology and Architecture Assessment for a Novelty Similarity Detection Model</w:t>
      </w:r>
    </w:p>
    <w:p>
      <w:pPr>
        <w:spacing w:before="0" w:after="720" w:line="259" w:lineRule="auto"/>
        <w:jc w:val="center"/>
      </w:pPr>
      <w:r>
        <w:rPr>
          <w:rFonts w:ascii="Times New Roman" w:hAnsi="Times New Roman"/>
          <w:b w:val="0"/>
          <w:i w:val="0"/>
          <w:color w:val="000000"/>
          <w:sz w:val="32"/>
        </w:rPr>
        <w:t>Alisher Tokesh | CSE-2507M</w:t>
      </w:r>
    </w:p>
    <w:p>
      <w:pPr>
        <w:spacing w:before="0" w:after="1800" w:line="259" w:lineRule="auto"/>
        <w:jc w:val="center"/>
      </w:pPr>
      <w:r>
        <w:rPr>
          <w:rFonts w:ascii="Times New Roman" w:hAnsi="Times New Roman"/>
          <w:b w:val="0"/>
          <w:i w:val="0"/>
          <w:color w:val="000000"/>
          <w:sz w:val="32"/>
        </w:rPr>
        <w:t>Assignment 2</w:t>
      </w:r>
    </w:p>
    <w:p>
      <w:pPr>
        <w:spacing w:before="0" w:after="280" w:line="259" w:lineRule="auto"/>
        <w:jc w:val="both"/>
      </w:pPr>
      <w:r>
        <w:rPr>
          <w:rFonts w:ascii="Times New Roman" w:hAnsi="Times New Roman"/>
          <w:b w:val="0"/>
          <w:i w:val="0"/>
          <w:color w:val="000000"/>
          <w:sz w:val="24"/>
        </w:rPr>
        <w:t>This report continues Assignment 1 and assesses whether the recommended development methodology and architecture fit the same novelty similarity detection pilot. The analysis keeps the 17-week critical path, USD 43,916 budget, human review policy, and quality targets established in the preceding project plan.</w:t>
      </w:r>
    </w:p>
    <w:p>
      <w:pPr>
        <w:spacing w:before="0" w:after="0" w:line="259" w:lineRule="auto"/>
        <w:jc w:val="both"/>
      </w:pPr>
      <w:r>
        <w:rPr>
          <w:rFonts w:ascii="Times New Roman" w:hAnsi="Times New Roman"/>
          <w:b w:val="0"/>
          <w:i w:val="0"/>
          <w:color w:val="000000"/>
          <w:sz w:val="24"/>
        </w:rPr>
        <w:t>Main conclusion. A stage-gated iterative R&amp;D approach and a modular monolith with explicit adapters are appropriate for the pilot. They preserve the ability to calibrate the multilingual model and validate reviewers feedback, while preventing budget and integration complexity from outrunning the evidence needed for a production decision.</w:t>
      </w:r>
    </w:p>
    <w:p>
      <w:r>
        <w:br w:type="page"/>
      </w:r>
    </w:p>
    <w:p>
      <w:pPr>
        <w:spacing w:before="240" w:after="100" w:line="240" w:lineRule="auto"/>
        <w:jc w:val="left"/>
      </w:pPr>
      <w:r>
        <w:rPr>
          <w:rFonts w:ascii="Times New Roman" w:hAnsi="Times New Roman"/>
          <w:b/>
          <w:i w:val="0"/>
          <w:color w:val="000000"/>
          <w:sz w:val="32"/>
        </w:rPr>
        <w:t>Table of Contents</w:t>
      </w:r>
    </w:p>
    <w:p>
      <w:pPr>
        <w:spacing w:before="0" w:after="80" w:line="259" w:lineRule="auto"/>
      </w:pPr>
      <w:r>
        <w:rPr>
          <w:rFonts w:ascii="Times New Roman" w:hAnsi="Times New Roman"/>
          <w:b w:val="0"/>
          <w:i w:val="0"/>
          <w:color w:val="000000"/>
          <w:sz w:val="22"/>
        </w:rPr>
        <w:t>1 Project Analysis ........................................ 3</w:t>
      </w:r>
    </w:p>
    <w:p>
      <w:pPr>
        <w:spacing w:before="0" w:after="80" w:line="259" w:lineRule="auto"/>
      </w:pPr>
      <w:r>
        <w:rPr>
          <w:rFonts w:ascii="Times New Roman" w:hAnsi="Times New Roman"/>
          <w:b w:val="0"/>
          <w:i w:val="0"/>
          <w:color w:val="000000"/>
          <w:sz w:val="22"/>
        </w:rPr>
        <w:t>1.1 Goals Requirements and Context ........................ 3</w:t>
      </w:r>
    </w:p>
    <w:p>
      <w:pPr>
        <w:spacing w:before="0" w:after="80" w:line="259" w:lineRule="auto"/>
      </w:pPr>
      <w:r>
        <w:rPr>
          <w:rFonts w:ascii="Times New Roman" w:hAnsi="Times New Roman"/>
          <w:b w:val="0"/>
          <w:i w:val="0"/>
          <w:color w:val="000000"/>
          <w:sz w:val="22"/>
        </w:rPr>
        <w:t>1.2 Constraints Risks and Priorities ...................... 4</w:t>
      </w:r>
    </w:p>
    <w:p>
      <w:pPr>
        <w:spacing w:before="0" w:after="80" w:line="259" w:lineRule="auto"/>
      </w:pPr>
      <w:r>
        <w:rPr>
          <w:rFonts w:ascii="Times New Roman" w:hAnsi="Times New Roman"/>
          <w:b w:val="0"/>
          <w:i w:val="0"/>
          <w:color w:val="000000"/>
          <w:sz w:val="22"/>
        </w:rPr>
        <w:t>2 Development Methodology Assessment ...................... 5</w:t>
      </w:r>
    </w:p>
    <w:p>
      <w:pPr>
        <w:spacing w:before="0" w:after="80" w:line="259" w:lineRule="auto"/>
      </w:pPr>
      <w:r>
        <w:rPr>
          <w:rFonts w:ascii="Times New Roman" w:hAnsi="Times New Roman"/>
          <w:b w:val="0"/>
          <w:i w:val="0"/>
          <w:color w:val="000000"/>
          <w:sz w:val="22"/>
        </w:rPr>
        <w:t>2.1 Selected Method and Fit ............................... 5</w:t>
      </w:r>
    </w:p>
    <w:p>
      <w:pPr>
        <w:spacing w:before="0" w:after="80" w:line="259" w:lineRule="auto"/>
      </w:pPr>
      <w:r>
        <w:rPr>
          <w:rFonts w:ascii="Times New Roman" w:hAnsi="Times New Roman"/>
          <w:b w:val="0"/>
          <w:i w:val="0"/>
          <w:color w:val="000000"/>
          <w:sz w:val="22"/>
        </w:rPr>
        <w:t>2.2 Method Risks and Alternatives .......................... 6</w:t>
      </w:r>
    </w:p>
    <w:p>
      <w:pPr>
        <w:spacing w:before="0" w:after="80" w:line="259" w:lineRule="auto"/>
      </w:pPr>
      <w:r>
        <w:rPr>
          <w:rFonts w:ascii="Times New Roman" w:hAnsi="Times New Roman"/>
          <w:b w:val="0"/>
          <w:i w:val="0"/>
          <w:color w:val="000000"/>
          <w:sz w:val="22"/>
        </w:rPr>
        <w:t>3 Architectural Approach Assessment ........................ 7</w:t>
      </w:r>
    </w:p>
    <w:p>
      <w:pPr>
        <w:spacing w:before="0" w:after="80" w:line="259" w:lineRule="auto"/>
      </w:pPr>
      <w:r>
        <w:rPr>
          <w:rFonts w:ascii="Times New Roman" w:hAnsi="Times New Roman"/>
          <w:b w:val="0"/>
          <w:i w:val="0"/>
          <w:color w:val="000000"/>
          <w:sz w:val="22"/>
        </w:rPr>
        <w:t>3.1 Architectural Style and Alignment ..................... 7</w:t>
      </w:r>
    </w:p>
    <w:p>
      <w:pPr>
        <w:spacing w:before="0" w:after="80" w:line="259" w:lineRule="auto"/>
      </w:pPr>
      <w:r>
        <w:rPr>
          <w:rFonts w:ascii="Times New Roman" w:hAnsi="Times New Roman"/>
          <w:b w:val="0"/>
          <w:i w:val="0"/>
          <w:color w:val="000000"/>
          <w:sz w:val="22"/>
        </w:rPr>
        <w:t>3.2 Quality Attributes and Adjustments .................... 8</w:t>
      </w:r>
    </w:p>
    <w:p>
      <w:pPr>
        <w:spacing w:before="0" w:after="80" w:line="259" w:lineRule="auto"/>
      </w:pPr>
      <w:r>
        <w:rPr>
          <w:rFonts w:ascii="Times New Roman" w:hAnsi="Times New Roman"/>
          <w:b w:val="0"/>
          <w:i w:val="0"/>
          <w:color w:val="000000"/>
          <w:sz w:val="22"/>
        </w:rPr>
        <w:t>4 Conclusions and Recommendations .......................... 9</w:t>
      </w:r>
    </w:p>
    <w:p>
      <w:pPr>
        <w:spacing w:before="0" w:after="80" w:line="259" w:lineRule="auto"/>
      </w:pPr>
      <w:r>
        <w:rPr>
          <w:rFonts w:ascii="Times New Roman" w:hAnsi="Times New Roman"/>
          <w:b w:val="0"/>
          <w:i w:val="0"/>
          <w:color w:val="000000"/>
          <w:sz w:val="22"/>
        </w:rPr>
        <w:t>References ................................................ 9</w:t>
      </w:r>
    </w:p>
    <w:p>
      <w:pPr>
        <w:spacing w:before="160" w:after="100" w:line="240" w:lineRule="auto"/>
        <w:jc w:val="left"/>
      </w:pPr>
      <w:r>
        <w:rPr>
          <w:rFonts w:ascii="Times New Roman" w:hAnsi="Times New Roman"/>
          <w:b/>
          <w:i w:val="0"/>
          <w:color w:val="000000"/>
          <w:sz w:val="28"/>
        </w:rPr>
        <w:t>Continuation from Assignment 1</w:t>
      </w:r>
    </w:p>
    <w:p>
      <w:pPr>
        <w:spacing w:before="0" w:after="160" w:line="259" w:lineRule="auto"/>
        <w:jc w:val="both"/>
      </w:pPr>
      <w:r>
        <w:rPr>
          <w:rFonts w:ascii="Times New Roman" w:hAnsi="Times New Roman"/>
          <w:b w:val="0"/>
          <w:i w:val="0"/>
          <w:color w:val="000000"/>
          <w:sz w:val="24"/>
        </w:rPr>
        <w:t>Assignment 1 defined the novelty model as a controlled decision-support service rather than an autonomous approval system. Its scope includes a cleaned historical corpus, threshold calibration, FastAPI with pgvector search, a coordinator workflow, quality monitoring, pilot training, and closure. The present report evaluates the development decisions required to deliver those outputs within the approved baseline.</w:t>
      </w:r>
    </w:p>
    <w:p>
      <w:pPr>
        <w:spacing w:before="0" w:after="160" w:line="259" w:lineRule="auto"/>
        <w:ind w:firstLine="360"/>
        <w:jc w:val="both"/>
      </w:pPr>
      <w:r>
        <w:rPr>
          <w:rFonts w:ascii="Times New Roman" w:hAnsi="Times New Roman"/>
          <w:b/>
          <w:i w:val="0"/>
          <w:color w:val="000000"/>
          <w:sz w:val="24"/>
        </w:rPr>
        <w:t xml:space="preserve">Project baseline. </w:t>
      </w:r>
      <w:r>
        <w:rPr>
          <w:rFonts w:ascii="Times New Roman" w:hAnsi="Times New Roman"/>
          <w:b w:val="0"/>
          <w:i w:val="0"/>
          <w:color w:val="000000"/>
          <w:sz w:val="24"/>
        </w:rPr>
        <w:t>The planned implementation lasts 17 weeks. The direct cost is USD 38,188 with a 15 percent contingency reserve of USD 5,728, giving a total budget of USD 43,916. These values are treated as constraints for methodology and architecture decisions, not merely as financial background.</w:t>
      </w:r>
    </w:p>
    <w:p>
      <w:r>
        <w:br w:type="page"/>
      </w:r>
    </w:p>
    <w:p>
      <w:pPr>
        <w:spacing w:before="240" w:after="100" w:line="240" w:lineRule="auto"/>
        <w:jc w:val="left"/>
      </w:pPr>
      <w:r>
        <w:rPr>
          <w:rFonts w:ascii="Times New Roman" w:hAnsi="Times New Roman"/>
          <w:b/>
          <w:i w:val="0"/>
          <w:color w:val="000000"/>
          <w:sz w:val="32"/>
        </w:rPr>
        <w:t>1 Project Analysis</w:t>
      </w:r>
    </w:p>
    <w:p>
      <w:pPr>
        <w:spacing w:before="160" w:after="100" w:line="240" w:lineRule="auto"/>
        <w:jc w:val="left"/>
      </w:pPr>
      <w:r>
        <w:rPr>
          <w:rFonts w:ascii="Times New Roman" w:hAnsi="Times New Roman"/>
          <w:b/>
          <w:i w:val="0"/>
          <w:color w:val="000000"/>
          <w:sz w:val="28"/>
        </w:rPr>
        <w:t>1.1 Goals Requirements and Context</w:t>
      </w:r>
    </w:p>
    <w:p>
      <w:pPr>
        <w:spacing w:before="0" w:after="160" w:line="259" w:lineRule="auto"/>
        <w:jc w:val="both"/>
      </w:pPr>
      <w:r>
        <w:rPr>
          <w:rFonts w:ascii="Times New Roman" w:hAnsi="Times New Roman"/>
          <w:b w:val="0"/>
          <w:i w:val="0"/>
          <w:color w:val="000000"/>
          <w:sz w:val="24"/>
        </w:rPr>
        <w:t>The project aims to identify duplicate and near-duplicate thesis topics before final academic approval. It accepts a title, abstract, keywords, domain and language, compares the proposal with historical topics, and returns a novelty score, similarity evidence, and a decision label. Reviewers remain responsible for the final approval, especially when a topic is classified as high risk.</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29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7"/>
              </w:rPr>
              <w:t>Category</w:t>
            </w:r>
          </w:p>
        </w:tc>
        <w:tc>
          <w:tcPr>
            <w:tcW w:type="dxa" w:w="1007"/>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7"/>
              </w:rPr>
              <w:t>Priority</w:t>
            </w:r>
          </w:p>
        </w:tc>
        <w:tc>
          <w:tcPr>
            <w:tcW w:type="dxa" w:w="4031"/>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7"/>
              </w:rPr>
              <w:t>Requirement</w:t>
            </w:r>
          </w:p>
        </w:tc>
        <w:tc>
          <w:tcPr>
            <w:tcW w:type="dxa" w:w="302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7"/>
              </w:rPr>
              <w:t>Evidence of completion</w:t>
            </w:r>
          </w:p>
        </w:tc>
      </w:tr>
      <w:tr>
        <w:tc>
          <w:tcPr>
            <w:tcW w:type="dxa" w:w="129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Functional</w:t>
            </w:r>
          </w:p>
        </w:tc>
        <w:tc>
          <w:tcPr>
            <w:tcW w:type="dxa" w:w="1007"/>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Must</w:t>
            </w:r>
          </w:p>
        </w:tc>
        <w:tc>
          <w:tcPr>
            <w:tcW w:type="dxa" w:w="4031"/>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Load a cleaned historical corpus and calculate top-k similar topics.</w:t>
            </w:r>
          </w:p>
        </w:tc>
        <w:tc>
          <w:tcPr>
            <w:tcW w:type="dxa" w:w="302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Versioned corpus and reproducible search result.</w:t>
            </w:r>
          </w:p>
        </w:tc>
      </w:tr>
      <w:tr>
        <w:tc>
          <w:tcPr>
            <w:tcW w:type="dxa" w:w="129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Functional</w:t>
            </w:r>
          </w:p>
        </w:tc>
        <w:tc>
          <w:tcPr>
            <w:tcW w:type="dxa" w:w="1007"/>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Must</w:t>
            </w:r>
          </w:p>
        </w:tc>
        <w:tc>
          <w:tcPr>
            <w:tcW w:type="dxa" w:w="4031"/>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Return score components, label and similar topics through FastAPI.</w:t>
            </w:r>
          </w:p>
        </w:tc>
        <w:tc>
          <w:tcPr>
            <w:tcW w:type="dxa" w:w="302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API contract and reviewer-readable explanation.</w:t>
            </w:r>
          </w:p>
        </w:tc>
      </w:tr>
      <w:tr>
        <w:tc>
          <w:tcPr>
            <w:tcW w:type="dxa" w:w="129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Functional</w:t>
            </w:r>
          </w:p>
        </w:tc>
        <w:tc>
          <w:tcPr>
            <w:tcW w:type="dxa" w:w="1007"/>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Should</w:t>
            </w:r>
          </w:p>
        </w:tc>
        <w:tc>
          <w:tcPr>
            <w:tcW w:type="dxa" w:w="4031"/>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Support reviewer confirmation or override with a reason.</w:t>
            </w:r>
          </w:p>
        </w:tc>
        <w:tc>
          <w:tcPr>
            <w:tcW w:type="dxa" w:w="302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Auditable decision record.</w:t>
            </w:r>
          </w:p>
        </w:tc>
      </w:tr>
      <w:tr>
        <w:tc>
          <w:tcPr>
            <w:tcW w:type="dxa" w:w="129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Functional</w:t>
            </w:r>
          </w:p>
        </w:tc>
        <w:tc>
          <w:tcPr>
            <w:tcW w:type="dxa" w:w="1007"/>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Should</w:t>
            </w:r>
          </w:p>
        </w:tc>
        <w:tc>
          <w:tcPr>
            <w:tcW w:type="dxa" w:w="4031"/>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Provide a coordinator workflow and quality dashboard.</w:t>
            </w:r>
          </w:p>
        </w:tc>
        <w:tc>
          <w:tcPr>
            <w:tcW w:type="dxa" w:w="302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Pilot users can inspect cases and metrics.</w:t>
            </w:r>
          </w:p>
        </w:tc>
      </w:tr>
      <w:tr>
        <w:tc>
          <w:tcPr>
            <w:tcW w:type="dxa" w:w="129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Nonfunctional</w:t>
            </w:r>
          </w:p>
        </w:tc>
        <w:tc>
          <w:tcPr>
            <w:tcW w:type="dxa" w:w="1007"/>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Must</w:t>
            </w:r>
          </w:p>
        </w:tc>
        <w:tc>
          <w:tcPr>
            <w:tcW w:type="dxa" w:w="4031"/>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Protect topic data and avoid automatic rejection.</w:t>
            </w:r>
          </w:p>
        </w:tc>
        <w:tc>
          <w:tcPr>
            <w:tcW w:type="dxa" w:w="302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Role-based access and human-in-the-loop policy.</w:t>
            </w:r>
          </w:p>
        </w:tc>
      </w:tr>
      <w:tr>
        <w:tc>
          <w:tcPr>
            <w:tcW w:type="dxa" w:w="129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Nonfunctional</w:t>
            </w:r>
          </w:p>
        </w:tc>
        <w:tc>
          <w:tcPr>
            <w:tcW w:type="dxa" w:w="1007"/>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Must</w:t>
            </w:r>
          </w:p>
        </w:tc>
        <w:tc>
          <w:tcPr>
            <w:tcW w:type="dxa" w:w="4031"/>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Produce reproducible calibration and evaluation results.</w:t>
            </w:r>
          </w:p>
        </w:tc>
        <w:tc>
          <w:tcPr>
            <w:tcW w:type="dxa" w:w="302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Dataset, model and threshold versions are recorded.</w:t>
            </w:r>
          </w:p>
        </w:tc>
      </w:tr>
      <w:tr>
        <w:tc>
          <w:tcPr>
            <w:tcW w:type="dxa" w:w="129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Nonfunctional</w:t>
            </w:r>
          </w:p>
        </w:tc>
        <w:tc>
          <w:tcPr>
            <w:tcW w:type="dxa" w:w="1007"/>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Should</w:t>
            </w:r>
          </w:p>
        </w:tc>
        <w:tc>
          <w:tcPr>
            <w:tcW w:type="dxa" w:w="4031"/>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Meet response and quality targets under pilot load.</w:t>
            </w:r>
          </w:p>
        </w:tc>
        <w:tc>
          <w:tcPr>
            <w:tcW w:type="dxa" w:w="302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KPI report and load-test evidence.</w:t>
            </w:r>
          </w:p>
        </w:tc>
      </w:tr>
    </w:tbl>
    <w:p>
      <w:pPr>
        <w:spacing w:before="80" w:after="140" w:line="240" w:lineRule="auto"/>
        <w:jc w:val="center"/>
      </w:pPr>
      <w:r>
        <w:rPr>
          <w:rFonts w:ascii="Times New Roman" w:hAnsi="Times New Roman"/>
          <w:b w:val="0"/>
          <w:i/>
          <w:color w:val="000000"/>
          <w:sz w:val="20"/>
        </w:rPr>
        <w:t>Table 1. Prioritized requirements derived from the Assignment 1 scope.</w:t>
      </w:r>
    </w:p>
    <w:p>
      <w:r>
        <w:br w:type="page"/>
      </w:r>
    </w:p>
    <w:p>
      <w:pPr>
        <w:spacing w:before="160" w:after="100" w:line="240" w:lineRule="auto"/>
        <w:jc w:val="left"/>
      </w:pPr>
      <w:r>
        <w:rPr>
          <w:rFonts w:ascii="Times New Roman" w:hAnsi="Times New Roman"/>
          <w:b/>
          <w:i w:val="0"/>
          <w:color w:val="000000"/>
          <w:sz w:val="28"/>
        </w:rPr>
        <w:t>1.2 Constraints Risks and Priorities</w:t>
      </w:r>
    </w:p>
    <w:p>
      <w:pPr>
        <w:spacing w:before="0" w:after="160" w:line="259" w:lineRule="auto"/>
        <w:jc w:val="both"/>
      </w:pPr>
      <w:r>
        <w:rPr>
          <w:rFonts w:ascii="Times New Roman" w:hAnsi="Times New Roman"/>
          <w:b w:val="0"/>
          <w:i w:val="0"/>
          <w:color w:val="000000"/>
          <w:sz w:val="24"/>
        </w:rPr>
        <w:t>The project is an applied ML and integration pilot, so its principal uncertainty is not only engineering effort. Historical data may be incomplete, language coverage may be uneven, and a technically high similarity score may still require contextual academic judgement. The schedule gives only two weeks of slack to corpus preparation and hybrid calibration; the API and workflow integration stream is critical.</w:t>
      </w:r>
    </w:p>
    <w:tbl>
      <w:tblPr>
        <w:tblW w:type="auto" w:w="0"/>
        <w:jc w:val="center"/>
        <w:tblLayout w:type="fixed"/>
        <w:tblLook w:firstColumn="1" w:firstRow="1" w:lastColumn="0" w:lastRow="0" w:noHBand="0" w:noVBand="1" w:val="04A0"/>
      </w:tblPr>
      <w:tblGrid>
        <w:gridCol w:w="3120"/>
        <w:gridCol w:w="3120"/>
        <w:gridCol w:w="3120"/>
      </w:tblGrid>
      <w:tr>
        <w:tc>
          <w:tcPr>
            <w:tcW w:type="dxa" w:w="2160"/>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7"/>
              </w:rPr>
              <w:t>Constraint or risk</w:t>
            </w:r>
          </w:p>
        </w:tc>
        <w:tc>
          <w:tcPr>
            <w:tcW w:type="dxa" w:w="345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7"/>
              </w:rPr>
              <w:t>Effect on project</w:t>
            </w:r>
          </w:p>
        </w:tc>
        <w:tc>
          <w:tcPr>
            <w:tcW w:type="dxa" w:w="374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7"/>
              </w:rPr>
              <w:t>Required control</w:t>
            </w:r>
          </w:p>
        </w:tc>
      </w:tr>
      <w:tr>
        <w:tc>
          <w:tcPr>
            <w:tcW w:type="dxa" w:w="2160"/>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17-week critical path</w:t>
            </w:r>
          </w:p>
        </w:tc>
        <w:tc>
          <w:tcPr>
            <w:tcW w:type="dxa" w:w="345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A delay in approvals, backend integration or pilot readiness delays closure.</w:t>
            </w:r>
          </w:p>
        </w:tc>
        <w:tc>
          <w:tcPr>
            <w:tcW w:type="dxa" w:w="374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Stage gates and weekly critical-path review.</w:t>
            </w:r>
          </w:p>
        </w:tc>
      </w:tr>
      <w:tr>
        <w:tc>
          <w:tcPr>
            <w:tcW w:type="dxa" w:w="2160"/>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Budget USD 43,916</w:t>
            </w:r>
          </w:p>
        </w:tc>
        <w:tc>
          <w:tcPr>
            <w:tcW w:type="dxa" w:w="345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Premature service separation or excess experimentation consumes the reserve.</w:t>
            </w:r>
          </w:p>
        </w:tc>
        <w:tc>
          <w:tcPr>
            <w:tcW w:type="dxa" w:w="374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Release reserve only by approved change request.</w:t>
            </w:r>
          </w:p>
        </w:tc>
      </w:tr>
      <w:tr>
        <w:tc>
          <w:tcPr>
            <w:tcW w:type="dxa" w:w="2160"/>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Inconsistent historical data</w:t>
            </w:r>
          </w:p>
        </w:tc>
        <w:tc>
          <w:tcPr>
            <w:tcW w:type="dxa" w:w="345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Noisy similarity and weak keyword statistics reduce trust.</w:t>
            </w:r>
          </w:p>
        </w:tc>
        <w:tc>
          <w:tcPr>
            <w:tcW w:type="dxa" w:w="374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Data audit, minimum fields and sampled label review.</w:t>
            </w:r>
          </w:p>
        </w:tc>
      </w:tr>
      <w:tr>
        <w:tc>
          <w:tcPr>
            <w:tcW w:type="dxa" w:w="2160"/>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Kazakh Russian English coverage</w:t>
            </w:r>
          </w:p>
        </w:tc>
        <w:tc>
          <w:tcPr>
            <w:tcW w:type="dxa" w:w="345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Uneven language quality can create unfair results.</w:t>
            </w:r>
          </w:p>
        </w:tc>
        <w:tc>
          <w:tcPr>
            <w:tcW w:type="dxa" w:w="374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Language-tagged validation sets and multilingual embeddings.</w:t>
            </w:r>
          </w:p>
        </w:tc>
      </w:tr>
      <w:tr>
        <w:tc>
          <w:tcPr>
            <w:tcW w:type="dxa" w:w="2160"/>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False high-risk flags</w:t>
            </w:r>
          </w:p>
        </w:tc>
        <w:tc>
          <w:tcPr>
            <w:tcW w:type="dxa" w:w="345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Students can lose trust if a flag is treated as a decision.</w:t>
            </w:r>
          </w:p>
        </w:tc>
        <w:tc>
          <w:tcPr>
            <w:tcW w:type="dxa" w:w="374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Mandatory reviewer review, appeal path and threshold tuning.</w:t>
            </w:r>
          </w:p>
        </w:tc>
      </w:tr>
      <w:tr>
        <w:tc>
          <w:tcPr>
            <w:tcW w:type="dxa" w:w="2160"/>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Privacy and access controls</w:t>
            </w:r>
          </w:p>
        </w:tc>
        <w:tc>
          <w:tcPr>
            <w:tcW w:type="dxa" w:w="345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Approval delays can block model work and pilot use.</w:t>
            </w:r>
          </w:p>
        </w:tc>
        <w:tc>
          <w:tcPr>
            <w:tcW w:type="dxa" w:w="374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Early data-owner approval, restricted logging and RBAC.</w:t>
            </w:r>
          </w:p>
        </w:tc>
      </w:tr>
    </w:tbl>
    <w:p>
      <w:pPr>
        <w:spacing w:before="80" w:after="140" w:line="240" w:lineRule="auto"/>
        <w:jc w:val="center"/>
      </w:pPr>
      <w:r>
        <w:rPr>
          <w:rFonts w:ascii="Times New Roman" w:hAnsi="Times New Roman"/>
          <w:b w:val="0"/>
          <w:i/>
          <w:color w:val="000000"/>
          <w:sz w:val="20"/>
        </w:rPr>
        <w:t>Table 2. Project constraints and risk controls inherited from Assignment 1.</w:t>
      </w:r>
    </w:p>
    <w:p>
      <w:pPr>
        <w:spacing w:before="160" w:after="100" w:line="240" w:lineRule="auto"/>
        <w:jc w:val="left"/>
      </w:pPr>
      <w:r>
        <w:rPr>
          <w:rFonts w:ascii="Times New Roman" w:hAnsi="Times New Roman"/>
          <w:b/>
          <w:i w:val="0"/>
          <w:color w:val="000000"/>
          <w:sz w:val="28"/>
        </w:rPr>
        <w:t>Pilot Quality Targets</w:t>
      </w:r>
    </w:p>
    <w:p>
      <w:pPr>
        <w:spacing w:before="0" w:after="160" w:line="259" w:lineRule="auto"/>
        <w:jc w:val="both"/>
      </w:pPr>
      <w:r>
        <w:rPr>
          <w:rFonts w:ascii="Times New Roman" w:hAnsi="Times New Roman"/>
          <w:b w:val="0"/>
          <w:i w:val="0"/>
          <w:color w:val="000000"/>
          <w:sz w:val="24"/>
        </w:rPr>
        <w:t>The architecture and process are accepted only if they support duplicate-detection F1 of at least 0.82, near-duplicate recall of at least 0.75, top-k latency of no more than 1.5 seconds, at least 25 percent review-time saving, user acceptance of at least 4.0 out of 5, and a false high-risk rate no greater than 8 percent.</w:t>
      </w:r>
    </w:p>
    <w:p>
      <w:r>
        <w:br w:type="page"/>
      </w:r>
    </w:p>
    <w:p>
      <w:pPr>
        <w:spacing w:before="240" w:after="100" w:line="240" w:lineRule="auto"/>
        <w:jc w:val="left"/>
      </w:pPr>
      <w:r>
        <w:rPr>
          <w:rFonts w:ascii="Times New Roman" w:hAnsi="Times New Roman"/>
          <w:b/>
          <w:i w:val="0"/>
          <w:color w:val="000000"/>
          <w:sz w:val="32"/>
        </w:rPr>
        <w:t>2 Development Methodology Assessment</w:t>
      </w:r>
    </w:p>
    <w:p>
      <w:pPr>
        <w:spacing w:before="160" w:after="100" w:line="240" w:lineRule="auto"/>
        <w:jc w:val="left"/>
      </w:pPr>
      <w:r>
        <w:rPr>
          <w:rFonts w:ascii="Times New Roman" w:hAnsi="Times New Roman"/>
          <w:b/>
          <w:i w:val="0"/>
          <w:color w:val="000000"/>
          <w:sz w:val="28"/>
        </w:rPr>
        <w:t>2.1 Selected Method and Fit</w:t>
      </w:r>
    </w:p>
    <w:p>
      <w:pPr>
        <w:spacing w:before="0" w:after="160" w:line="259" w:lineRule="auto"/>
        <w:jc w:val="both"/>
      </w:pPr>
      <w:r>
        <w:rPr>
          <w:rFonts w:ascii="Times New Roman" w:hAnsi="Times New Roman"/>
          <w:b w:val="0"/>
          <w:i w:val="0"/>
          <w:color w:val="000000"/>
          <w:sz w:val="24"/>
        </w:rPr>
        <w:t>The proposed method is stage-gated iterative R&amp;D delivery: short Scrum-style planning and review cycles for software and model work, a Kanban board with work-in-progress limits for data remediation, and formal gates at points where evidence or funding must be released. It is not a full bureaucratic waterfall. The gates protect the schedule, budget and academic-risk controls that Assignment 1 already established.</w:t>
      </w:r>
    </w:p>
    <w:tbl>
      <w:tblPr>
        <w:tblW w:type="auto" w:w="0"/>
        <w:jc w:val="center"/>
        <w:tblLayout w:type="fixed"/>
        <w:tblLook w:firstColumn="1" w:firstRow="1" w:lastColumn="0" w:lastRow="0" w:noHBand="0" w:noVBand="1" w:val="04A0"/>
      </w:tblPr>
      <w:tblGrid>
        <w:gridCol w:w="3120"/>
        <w:gridCol w:w="3120"/>
        <w:gridCol w:w="3120"/>
      </w:tblGrid>
      <w:tr>
        <w:tc>
          <w:tcPr>
            <w:tcW w:type="dxa" w:w="158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7"/>
              </w:rPr>
              <w:t>Period</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7"/>
              </w:rPr>
              <w:t>Increment and decision gate</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7"/>
              </w:rPr>
              <w:t>Primary evidence</w:t>
            </w:r>
          </w:p>
        </w:tc>
      </w:tr>
      <w:tr>
        <w:tc>
          <w:tcPr>
            <w:tcW w:type="dxa" w:w="158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Weeks 1 to 3</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Scope, data access and baseline preparation</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Data approval, duplicate policy, labelled-pair protocol.</w:t>
            </w:r>
          </w:p>
        </w:tc>
      </w:tr>
      <w:tr>
        <w:tc>
          <w:tcPr>
            <w:tcW w:type="dxa" w:w="158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Weeks 3 to 6</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Baseline model and corpus work</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Reproducible hashing baseline and corpus quality report.</w:t>
            </w:r>
          </w:p>
        </w:tc>
      </w:tr>
      <w:tr>
        <w:tc>
          <w:tcPr>
            <w:tcW w:type="dxa" w:w="158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Weeks 5 to 11</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Multilingual embedding, pgvector and API integration</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Top-k retrieval, service contract and versioned configuration.</w:t>
            </w:r>
          </w:p>
        </w:tc>
      </w:tr>
      <w:tr>
        <w:tc>
          <w:tcPr>
            <w:tcW w:type="dxa" w:w="158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Weeks 11 to 13</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Quality security and performance validation</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F1, recall, latency, security and error analysis.</w:t>
            </w:r>
          </w:p>
        </w:tc>
      </w:tr>
      <w:tr>
        <w:tc>
          <w:tcPr>
            <w:tcW w:type="dxa" w:w="158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Weeks 13 to 15</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Coordinator pilot</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Reviewer decisions, disagreement analysis and acceptance feedback.</w:t>
            </w:r>
          </w:p>
        </w:tc>
      </w:tr>
      <w:tr>
        <w:tc>
          <w:tcPr>
            <w:tcW w:type="dxa" w:w="158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Weeks 15 to 17</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Deployment training and closure</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Rollout decision, training record and lessons learned.</w:t>
            </w:r>
          </w:p>
        </w:tc>
      </w:tr>
    </w:tbl>
    <w:p>
      <w:pPr>
        <w:spacing w:before="80" w:after="140" w:line="240" w:lineRule="auto"/>
        <w:jc w:val="center"/>
      </w:pPr>
      <w:r>
        <w:rPr>
          <w:rFonts w:ascii="Times New Roman" w:hAnsi="Times New Roman"/>
          <w:b w:val="0"/>
          <w:i/>
          <w:color w:val="000000"/>
          <w:sz w:val="20"/>
        </w:rPr>
        <w:t>Table 3. Iterative delivery aligned with the 17-week CPM baseline.</w:t>
      </w:r>
    </w:p>
    <w:p>
      <w:pPr>
        <w:spacing w:before="0" w:after="160" w:line="259" w:lineRule="auto"/>
        <w:ind w:firstLine="360"/>
        <w:jc w:val="both"/>
      </w:pPr>
      <w:r>
        <w:rPr>
          <w:rFonts w:ascii="Times New Roman" w:hAnsi="Times New Roman"/>
          <w:b/>
          <w:i w:val="0"/>
          <w:color w:val="000000"/>
          <w:sz w:val="24"/>
        </w:rPr>
        <w:t xml:space="preserve">Why the fit is strong. </w:t>
      </w:r>
      <w:r>
        <w:rPr>
          <w:rFonts w:ascii="Times New Roman" w:hAnsi="Times New Roman"/>
          <w:b w:val="0"/>
          <w:i w:val="0"/>
          <w:color w:val="000000"/>
          <w:sz w:val="24"/>
        </w:rPr>
        <w:t>Model thresholds, corpus quality and reviewer expectations cannot be fixed with confidence at the start. Iterations expose those uncertainties early; gates stop the team from treating a working API as proof that the decision-support service is trustworthy.</w:t>
      </w:r>
    </w:p>
    <w:p>
      <w:r>
        <w:br w:type="page"/>
      </w:r>
    </w:p>
    <w:p>
      <w:pPr>
        <w:spacing w:before="160" w:after="100" w:line="240" w:lineRule="auto"/>
        <w:jc w:val="left"/>
      </w:pPr>
      <w:r>
        <w:rPr>
          <w:rFonts w:ascii="Times New Roman" w:hAnsi="Times New Roman"/>
          <w:b/>
          <w:i w:val="0"/>
          <w:color w:val="000000"/>
          <w:sz w:val="28"/>
        </w:rPr>
        <w:t>2.2 Method Risks and Alternatives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6"/>
              </w:rPr>
              <w:t>Criterion</w:t>
            </w:r>
          </w:p>
        </w:tc>
        <w:tc>
          <w:tcPr>
            <w:tcW w:type="dxa" w:w="2880"/>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6"/>
              </w:rPr>
              <w:t>Stage-gated iterative R&amp;D</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6"/>
              </w:rPr>
              <w:t>Waterfall</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6"/>
              </w:rPr>
              <w:t>Kanban only</w:t>
            </w:r>
          </w:p>
        </w:tc>
      </w:tr>
      <w:tr>
        <w:tc>
          <w:tcPr>
            <w:tcW w:type="dxa" w:w="1800"/>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6"/>
              </w:rPr>
              <w:t>Data and model uncertainty</w:t>
            </w:r>
          </w:p>
        </w:tc>
        <w:tc>
          <w:tcPr>
            <w:tcW w:type="dxa" w:w="2880"/>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High fit: baseline and calibration can change from evidence.</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Low fit: feedback arrives after detailed commitments.</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Medium fit: flexible but needs quality gates.</w:t>
            </w:r>
          </w:p>
        </w:tc>
      </w:tr>
      <w:tr>
        <w:tc>
          <w:tcPr>
            <w:tcW w:type="dxa" w:w="1800"/>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6"/>
              </w:rPr>
              <w:t>17-week deadline</w:t>
            </w:r>
          </w:p>
        </w:tc>
        <w:tc>
          <w:tcPr>
            <w:tcW w:type="dxa" w:w="2880"/>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High fit: time boxes expose delays on critical activities.</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Medium fit: predictable but inflexible around evidence.</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Medium fit: flow may hide fixed milestones.</w:t>
            </w:r>
          </w:p>
        </w:tc>
      </w:tr>
      <w:tr>
        <w:tc>
          <w:tcPr>
            <w:tcW w:type="dxa" w:w="1800"/>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6"/>
              </w:rPr>
              <w:t>Budget reserve control</w:t>
            </w:r>
          </w:p>
        </w:tc>
        <w:tc>
          <w:tcPr>
            <w:tcW w:type="dxa" w:w="2880"/>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High fit: funding and reserve link to gate evidence.</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High fit: approval controls are simple.</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Low fit unless added financial controls exist.</w:t>
            </w:r>
          </w:p>
        </w:tc>
      </w:tr>
      <w:tr>
        <w:tc>
          <w:tcPr>
            <w:tcW w:type="dxa" w:w="1800"/>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6"/>
              </w:rPr>
              <w:t>Reviewer involvement</w:t>
            </w:r>
          </w:p>
        </w:tc>
        <w:tc>
          <w:tcPr>
            <w:tcW w:type="dxa" w:w="2880"/>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High fit: regular demos and label reviews.</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Low fit: reviewers see the product late.</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Medium fit: possible but not time-boxed.</w:t>
            </w:r>
          </w:p>
        </w:tc>
      </w:tr>
      <w:tr>
        <w:tc>
          <w:tcPr>
            <w:tcW w:type="dxa" w:w="1800"/>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6"/>
              </w:rPr>
              <w:t>Operations after pilot</w:t>
            </w:r>
          </w:p>
        </w:tc>
        <w:tc>
          <w:tcPr>
            <w:tcW w:type="dxa" w:w="2880"/>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Medium fit: switch to Kanban after release.</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Low fit: change requests become slow.</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High fit: suitable for maintenance.</w:t>
            </w:r>
          </w:p>
        </w:tc>
      </w:tr>
    </w:tbl>
    <w:p>
      <w:pPr>
        <w:spacing w:before="80" w:after="140" w:line="240" w:lineRule="auto"/>
        <w:jc w:val="center"/>
      </w:pPr>
      <w:r>
        <w:rPr>
          <w:rFonts w:ascii="Times New Roman" w:hAnsi="Times New Roman"/>
          <w:b w:val="0"/>
          <w:i/>
          <w:color w:val="000000"/>
          <w:sz w:val="20"/>
        </w:rPr>
        <w:t>Table 4. Comparative methodology assessment.</w:t>
      </w:r>
    </w:p>
    <w:p>
      <w:pPr>
        <w:spacing w:before="160" w:after="100" w:line="240" w:lineRule="auto"/>
        <w:jc w:val="left"/>
      </w:pPr>
      <w:r>
        <w:rPr>
          <w:rFonts w:ascii="Times New Roman" w:hAnsi="Times New Roman"/>
          <w:b/>
          <w:i w:val="0"/>
          <w:color w:val="000000"/>
          <w:sz w:val="28"/>
        </w:rPr>
        <w:t>Methodology Risks and Responses</w:t>
      </w:r>
    </w:p>
    <w:p>
      <w:pPr>
        <w:spacing w:before="0" w:after="160" w:line="259" w:lineRule="auto"/>
        <w:jc w:val="both"/>
      </w:pPr>
      <w:r>
        <w:rPr>
          <w:rFonts w:ascii="Times New Roman" w:hAnsi="Times New Roman"/>
          <w:b w:val="0"/>
          <w:i w:val="0"/>
          <w:color w:val="000000"/>
          <w:sz w:val="24"/>
        </w:rPr>
        <w:t>The chosen method can fail if experimentation has no stopping rule, if reviewers miss every review, or if the data-remediation queue grows without a limit. The response is to freeze a small benchmark before calibration, assign a named academic decision delegate, apply Kanban WIP limits, and treat a change that exceeds one iteration as a scoped research decision. A limited waterfall phase is justified only for privacy approval and procurement documents whose acceptance criteria are stable.</w:t>
      </w:r>
    </w:p>
    <w:p>
      <w:pPr>
        <w:spacing w:before="0" w:after="160" w:line="259" w:lineRule="auto"/>
        <w:ind w:firstLine="360"/>
        <w:jc w:val="both"/>
      </w:pPr>
      <w:r>
        <w:rPr>
          <w:rFonts w:ascii="Times New Roman" w:hAnsi="Times New Roman"/>
          <w:b/>
          <w:i w:val="0"/>
          <w:color w:val="000000"/>
          <w:sz w:val="24"/>
        </w:rPr>
        <w:t xml:space="preserve">Recommendation. </w:t>
      </w:r>
      <w:r>
        <w:rPr>
          <w:rFonts w:ascii="Times New Roman" w:hAnsi="Times New Roman"/>
          <w:b w:val="0"/>
          <w:i w:val="0"/>
          <w:color w:val="000000"/>
          <w:sz w:val="24"/>
        </w:rPr>
        <w:t>Use Kanban as the operational control within the iterative method, not as a replacement for sprint reviews, pilot gates and budget authority.</w:t>
      </w:r>
    </w:p>
    <w:p>
      <w:r>
        <w:br w:type="page"/>
      </w:r>
    </w:p>
    <w:p>
      <w:pPr>
        <w:spacing w:before="240" w:after="100" w:line="240" w:lineRule="auto"/>
        <w:jc w:val="left"/>
      </w:pPr>
      <w:r>
        <w:rPr>
          <w:rFonts w:ascii="Times New Roman" w:hAnsi="Times New Roman"/>
          <w:b/>
          <w:i w:val="0"/>
          <w:color w:val="000000"/>
          <w:sz w:val="32"/>
        </w:rPr>
        <w:t>3 Architectural Approach Assessment</w:t>
      </w:r>
    </w:p>
    <w:p>
      <w:pPr>
        <w:spacing w:before="160" w:after="100" w:line="240" w:lineRule="auto"/>
        <w:jc w:val="left"/>
      </w:pPr>
      <w:r>
        <w:rPr>
          <w:rFonts w:ascii="Times New Roman" w:hAnsi="Times New Roman"/>
          <w:b/>
          <w:i w:val="0"/>
          <w:color w:val="000000"/>
          <w:sz w:val="28"/>
        </w:rPr>
        <w:t>3.1 Architectural Style and Alignment</w:t>
      </w:r>
    </w:p>
    <w:p>
      <w:pPr>
        <w:spacing w:before="0" w:after="160" w:line="259" w:lineRule="auto"/>
        <w:jc w:val="both"/>
      </w:pPr>
      <w:r>
        <w:rPr>
          <w:rFonts w:ascii="Times New Roman" w:hAnsi="Times New Roman"/>
          <w:b w:val="0"/>
          <w:i w:val="0"/>
          <w:color w:val="000000"/>
          <w:sz w:val="24"/>
        </w:rPr>
        <w:t>The existing repository is already organized like a modular monolith: preprocessing, embeddings, keyword analysis, configuration, schemas, scoring, CSV I/O, CLI and FastAPI are separated. The EmbeddingBackend abstraction supports both a deterministic hashing fallback and a SentenceTransformer backend. The present prototype ranks in process memory, while the Assignment 1 plan reserves pgvector for production-style similarity search.</w:t>
      </w:r>
    </w:p>
    <w:p>
      <w:pPr>
        <w:spacing w:before="0" w:after="160" w:line="259" w:lineRule="auto"/>
        <w:jc w:val="both"/>
      </w:pPr>
      <w:r>
        <w:rPr>
          <w:rFonts w:ascii="Times New Roman" w:hAnsi="Times New Roman"/>
          <w:b w:val="0"/>
          <w:i w:val="0"/>
          <w:color w:val="000000"/>
          <w:sz w:val="24"/>
        </w:rPr>
        <w:t>The recommended target remains a modular monolith with hexagonal boundaries. The assessment application service owns the use case; the hybrid scorer and policy remain independent of infrastructure; adapters connect the service to FastAPI, the topic repository, the embedding provider, audit logging, metrics and background evaluation. This is more proportionate than microservices for the 17-week, USD 43,916 pilot.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8"/>
              </w:rPr>
              <w:t>Coordinator or reviewer</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8"/>
              </w:rPr>
              <w:t>FastAPI adapter</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8"/>
              </w:rPr>
              <w:t>Assessment service</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8"/>
              </w:rPr>
              <w:t>Hybrid scoring policy</w:t>
            </w:r>
          </w:p>
        </w:tc>
      </w:tr>
      <w:tr>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8"/>
              </w:rPr>
              <w:t>Reviewer decision and audit</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8"/>
              </w:rPr>
              <w:t>Topic repository port</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8"/>
              </w:rPr>
              <w:t>Embedding provider port</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8"/>
              </w:rPr>
              <w:t>Configuration registry</w:t>
            </w:r>
          </w:p>
        </w:tc>
      </w:tr>
      <w:tr>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8"/>
              </w:rPr>
              <w:t>PostgreSQL with pgvector</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8"/>
              </w:rPr>
              <w:t>Multilingual embedding model</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8"/>
              </w:rPr>
              <w:t>Metrics and quality dashboard</w:t>
            </w:r>
          </w:p>
        </w:tc>
        <w:tc>
          <w:tcPr>
            <w:tcW w:type="dxa" w:w="230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8"/>
              </w:rPr>
              <w:t>Background evaluation jobs</w:t>
            </w:r>
          </w:p>
        </w:tc>
      </w:tr>
    </w:tbl>
    <w:p>
      <w:pPr>
        <w:spacing w:before="80" w:after="140" w:line="240" w:lineRule="auto"/>
        <w:jc w:val="center"/>
      </w:pPr>
      <w:r>
        <w:rPr>
          <w:rFonts w:ascii="Times New Roman" w:hAnsi="Times New Roman"/>
          <w:b w:val="0"/>
          <w:i/>
          <w:color w:val="000000"/>
          <w:sz w:val="20"/>
        </w:rPr>
        <w:t>Figure 1. Target modular monolith with adapters and operational boundaries.</w:t>
      </w:r>
    </w:p>
    <w:p>
      <w:r>
        <w:br w:type="page"/>
      </w:r>
    </w:p>
    <w:p>
      <w:pPr>
        <w:spacing w:before="160" w:after="100" w:line="240" w:lineRule="auto"/>
        <w:jc w:val="left"/>
      </w:pPr>
      <w:r>
        <w:rPr>
          <w:rFonts w:ascii="Times New Roman" w:hAnsi="Times New Roman"/>
          <w:b/>
          <w:i w:val="0"/>
          <w:color w:val="000000"/>
          <w:sz w:val="28"/>
        </w:rPr>
        <w:t>3.2 Quality Attributes and Adjustments</w:t>
      </w:r>
    </w:p>
    <w:tbl>
      <w:tblPr>
        <w:tblW w:type="auto" w:w="0"/>
        <w:jc w:val="center"/>
        <w:tblLayout w:type="fixed"/>
        <w:tblLook w:firstColumn="1" w:firstRow="1" w:lastColumn="0" w:lastRow="0" w:noHBand="0" w:noVBand="1" w:val="04A0"/>
      </w:tblPr>
      <w:tblGrid>
        <w:gridCol w:w="3120"/>
        <w:gridCol w:w="3120"/>
        <w:gridCol w:w="3120"/>
      </w:tblGrid>
      <w:tr>
        <w:tc>
          <w:tcPr>
            <w:tcW w:type="dxa" w:w="1655"/>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6"/>
              </w:rPr>
              <w:t>Attribute</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6"/>
              </w:rPr>
              <w:t>Current support</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6"/>
              </w:rPr>
              <w:t>Required adjustment</w:t>
            </w:r>
          </w:p>
        </w:tc>
      </w:tr>
      <w:tr>
        <w:tc>
          <w:tcPr>
            <w:tcW w:type="dxa" w:w="1655"/>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6"/>
              </w:rPr>
              <w:t>Reliability</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Unit tests cover duplicate and unrelated cases; health endpoint exists.</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Add integration tests for storage, restart recovery and malformed corpus data.</w:t>
            </w:r>
          </w:p>
        </w:tc>
      </w:tr>
      <w:tr>
        <w:tc>
          <w:tcPr>
            <w:tcW w:type="dxa" w:w="1655"/>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6"/>
              </w:rPr>
              <w:t>Performance</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In-memory search is simple; pgvector HNSW schema is planned.</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Use indexed pgvector retrieval, batch embedding and measured p95 latency.</w:t>
            </w:r>
          </w:p>
        </w:tc>
      </w:tr>
      <w:tr>
        <w:tc>
          <w:tcPr>
            <w:tcW w:type="dxa" w:w="1655"/>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6"/>
              </w:rPr>
              <w:t>Security and privacy</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No application authentication or audit adapter is visible.</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Add platform RBAC, TLS, least-privilege DB role and redacted logs.</w:t>
            </w:r>
          </w:p>
        </w:tc>
      </w:tr>
      <w:tr>
        <w:tc>
          <w:tcPr>
            <w:tcW w:type="dxa" w:w="1655"/>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6"/>
              </w:rPr>
              <w:t>Explainability</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Score components and similar topics are returned by the model.</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Persist configuration, candidates and reviewer rationale with each assessment.</w:t>
            </w:r>
          </w:p>
        </w:tc>
      </w:tr>
      <w:tr>
        <w:tc>
          <w:tcPr>
            <w:tcW w:type="dxa" w:w="1655"/>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6"/>
              </w:rPr>
              <w:t>Maintainability</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Modules and embedding abstraction isolate many changes.</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Formalize repository, audit and provider ports; record ADRs and API versions.</w:t>
            </w:r>
          </w:p>
        </w:tc>
      </w:tr>
      <w:tr>
        <w:tc>
          <w:tcPr>
            <w:tcW w:type="dxa" w:w="1655"/>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6"/>
              </w:rPr>
              <w:t>Reproducibility</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Configurable weights, thresholds and deterministic fallback exist.</w:t>
            </w:r>
          </w:p>
        </w:tc>
        <w:tc>
          <w:tcPr>
            <w:tcW w:type="dxa" w:w="3888"/>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6"/>
              </w:rPr>
              <w:t>Version corpus, embedding model, threshold report and benchmark together.</w:t>
            </w:r>
          </w:p>
        </w:tc>
      </w:tr>
    </w:tbl>
    <w:p>
      <w:pPr>
        <w:spacing w:before="80" w:after="140" w:line="240" w:lineRule="auto"/>
        <w:jc w:val="center"/>
      </w:pPr>
      <w:r>
        <w:rPr>
          <w:rFonts w:ascii="Times New Roman" w:hAnsi="Times New Roman"/>
          <w:b w:val="0"/>
          <w:i/>
          <w:color w:val="000000"/>
          <w:sz w:val="20"/>
        </w:rPr>
        <w:t>Table 5. Architecture alignment with nonfunctional requirements and KPI targets.</w:t>
      </w:r>
    </w:p>
    <w:p>
      <w:pPr>
        <w:spacing w:before="160" w:after="100" w:line="240" w:lineRule="auto"/>
        <w:jc w:val="left"/>
      </w:pPr>
      <w:r>
        <w:rPr>
          <w:rFonts w:ascii="Times New Roman" w:hAnsi="Times New Roman"/>
          <w:b/>
          <w:i w:val="0"/>
          <w:color w:val="000000"/>
          <w:sz w:val="28"/>
        </w:rPr>
        <w:t>Justified Architectural Adjustments</w:t>
      </w:r>
    </w:p>
    <w:p>
      <w:pPr>
        <w:spacing w:before="0" w:after="160" w:line="259" w:lineRule="auto"/>
        <w:jc w:val="both"/>
      </w:pPr>
      <w:r>
        <w:rPr>
          <w:rFonts w:ascii="Times New Roman" w:hAnsi="Times New Roman"/>
          <w:b w:val="0"/>
          <w:i w:val="0"/>
          <w:color w:val="000000"/>
          <w:sz w:val="24"/>
        </w:rPr>
        <w:t>First, replace service-owned topic lists with a TopicRepository port and a pgvector implementation, while retaining scoring in the domain layer. Second, make the audit record a first-class adapter that stores corpus version, model version, thresholds, score components, returned candidates and reviewer action. Third, move ingestion, batch embedding and evaluation into controlled background jobs so long-running work cannot delay the assessment endpoint. Microservice extraction should wait until independent scaling or a separate security boundary produces a measured benefit.</w:t>
      </w:r>
    </w:p>
    <w:p>
      <w:r>
        <w:br w:type="page"/>
      </w:r>
    </w:p>
    <w:p>
      <w:pPr>
        <w:spacing w:before="240" w:after="100" w:line="240" w:lineRule="auto"/>
        <w:jc w:val="left"/>
      </w:pPr>
      <w:r>
        <w:rPr>
          <w:rFonts w:ascii="Times New Roman" w:hAnsi="Times New Roman"/>
          <w:b/>
          <w:i w:val="0"/>
          <w:color w:val="000000"/>
          <w:sz w:val="32"/>
        </w:rPr>
        <w:t>4 Conclusions and Recommendations</w:t>
      </w:r>
    </w:p>
    <w:p>
      <w:pPr>
        <w:spacing w:before="0" w:after="160" w:line="259" w:lineRule="auto"/>
        <w:jc w:val="both"/>
      </w:pPr>
      <w:r>
        <w:rPr>
          <w:rFonts w:ascii="Times New Roman" w:hAnsi="Times New Roman"/>
          <w:b w:val="0"/>
          <w:i w:val="0"/>
          <w:color w:val="000000"/>
          <w:sz w:val="24"/>
        </w:rPr>
        <w:t>The selected methodology and architecture fit the same project baseline defined in Assignment 1. The 17-week critical path and USD 43,916 limit require a small-team design with visible evidence gates. At the same time, the multilingual novelty model cannot be safely completed through a rigid sequential plan because data quality, threshold calibration and reviewer interpretation are uncertain. Stage-gated iterative R&amp;D therefore balances flexibility with funding and academic governance.</w:t>
      </w:r>
    </w:p>
    <w:p>
      <w:pPr>
        <w:spacing w:before="0" w:after="160" w:line="259" w:lineRule="auto"/>
        <w:jc w:val="both"/>
      </w:pPr>
      <w:r>
        <w:rPr>
          <w:rFonts w:ascii="Times New Roman" w:hAnsi="Times New Roman"/>
          <w:b w:val="0"/>
          <w:i w:val="0"/>
          <w:color w:val="000000"/>
          <w:sz w:val="24"/>
        </w:rPr>
        <w:t>A modular monolith with hexagonal adapters is the appropriate architectural choice. It uses the existing repository boundaries, enables a pgvector transition without coupling the scoring policy to a database, and preserves a single deployable service for a constrained pilot. The important future investments are persistent corpus management, human-decision auditability, access control, benchmark governance and operational monitoring, rather than premature microservices.</w:t>
      </w:r>
    </w:p>
    <w:p>
      <w:pPr>
        <w:spacing w:before="160" w:after="100" w:line="240" w:lineRule="auto"/>
        <w:jc w:val="left"/>
      </w:pPr>
      <w:r>
        <w:rPr>
          <w:rFonts w:ascii="Times New Roman" w:hAnsi="Times New Roman"/>
          <w:b/>
          <w:i w:val="0"/>
          <w:color w:val="000000"/>
          <w:sz w:val="28"/>
        </w:rPr>
        <w:t>Prioritized Recommendations</w:t>
      </w:r>
    </w:p>
    <w:tbl>
      <w:tblPr>
        <w:tblW w:type="auto" w:w="0"/>
        <w:jc w:val="center"/>
        <w:tblLayout w:type="fixed"/>
        <w:tblLook w:firstColumn="1" w:firstRow="1" w:lastColumn="0" w:lastRow="0" w:noHBand="0" w:noVBand="1" w:val="04A0"/>
      </w:tblPr>
      <w:tblGrid>
        <w:gridCol w:w="3120"/>
        <w:gridCol w:w="3120"/>
        <w:gridCol w:w="3120"/>
      </w:tblGrid>
      <w:tr>
        <w:tc>
          <w:tcPr>
            <w:tcW w:type="dxa" w:w="158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7"/>
              </w:rPr>
              <w:t>Timing</w:t>
            </w:r>
          </w:p>
        </w:tc>
        <w:tc>
          <w:tcPr>
            <w:tcW w:type="dxa" w:w="4752"/>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7"/>
              </w:rPr>
              <w:t>Recommendation</w:t>
            </w:r>
          </w:p>
        </w:tc>
        <w:tc>
          <w:tcPr>
            <w:tcW w:type="dxa" w:w="309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i w:val="0"/>
                <w:color w:val="000000"/>
                <w:sz w:val="17"/>
              </w:rPr>
              <w:t>Decision criterion</w:t>
            </w:r>
          </w:p>
        </w:tc>
      </w:tr>
      <w:tr>
        <w:tc>
          <w:tcPr>
            <w:tcW w:type="dxa" w:w="158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Weeks 1 to 3</w:t>
            </w:r>
          </w:p>
        </w:tc>
        <w:tc>
          <w:tcPr>
            <w:tcW w:type="dxa" w:w="4752"/>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Approve policy, access, benchmark and error definitions.</w:t>
            </w:r>
          </w:p>
        </w:tc>
        <w:tc>
          <w:tcPr>
            <w:tcW w:type="dxa" w:w="309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No model calibration before data and review rules are accepted.</w:t>
            </w:r>
          </w:p>
        </w:tc>
      </w:tr>
      <w:tr>
        <w:tc>
          <w:tcPr>
            <w:tcW w:type="dxa" w:w="158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Weeks 3 to 11</w:t>
            </w:r>
          </w:p>
        </w:tc>
        <w:tc>
          <w:tcPr>
            <w:tcW w:type="dxa" w:w="4752"/>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Deliver a vertical slice with multilingual embeddings, pgvector and API.</w:t>
            </w:r>
          </w:p>
        </w:tc>
        <w:tc>
          <w:tcPr>
            <w:tcW w:type="dxa" w:w="309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Top-k evidence is reproducible and below the latency target.</w:t>
            </w:r>
          </w:p>
        </w:tc>
      </w:tr>
      <w:tr>
        <w:tc>
          <w:tcPr>
            <w:tcW w:type="dxa" w:w="158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Weeks 11 to 15</w:t>
            </w:r>
          </w:p>
        </w:tc>
        <w:tc>
          <w:tcPr>
            <w:tcW w:type="dxa" w:w="4752"/>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Add audit trail, RBAC, test evidence and reviewer pilot.</w:t>
            </w:r>
          </w:p>
        </w:tc>
        <w:tc>
          <w:tcPr>
            <w:tcW w:type="dxa" w:w="309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F1, recall, false-high-risk rate and user acceptance meet targets.</w:t>
            </w:r>
          </w:p>
        </w:tc>
      </w:tr>
      <w:tr>
        <w:tc>
          <w:tcPr>
            <w:tcW w:type="dxa" w:w="1584"/>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center"/>
            </w:pPr>
            <w:r>
              <w:rPr>
                <w:rFonts w:ascii="Times New Roman" w:hAnsi="Times New Roman"/>
                <w:b w:val="0"/>
                <w:i w:val="0"/>
                <w:color w:val="000000"/>
                <w:sz w:val="17"/>
              </w:rPr>
              <w:t>Weeks 15 to 17</w:t>
            </w:r>
          </w:p>
        </w:tc>
        <w:tc>
          <w:tcPr>
            <w:tcW w:type="dxa" w:w="4752"/>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Deploy only after the pilot gate; otherwise use reserve for correction.</w:t>
            </w:r>
          </w:p>
        </w:tc>
        <w:tc>
          <w:tcPr>
            <w:tcW w:type="dxa" w:w="3096"/>
            <w:tcBorders>
              <w:top w:val="single" w:sz="6" w:color="000000"/>
              <w:left w:val="single" w:sz="6" w:color="000000"/>
              <w:bottom w:val="single" w:sz="6" w:color="000000"/>
              <w:right w:val="single" w:sz="6" w:color="000000"/>
              <w:insideH w:val="single" w:sz="6" w:color="000000"/>
              <w:insideV w:val="single" w:sz="6" w:color="000000"/>
            </w:tcBorders>
            <w:vAlign w:val="center"/>
          </w:tcPr>
          <w:p>
            <w:pPr>
              <w:spacing w:before="0" w:after="0" w:line="240" w:lineRule="auto"/>
              <w:jc w:val="left"/>
            </w:pPr>
            <w:r>
              <w:rPr>
                <w:rFonts w:ascii="Times New Roman" w:hAnsi="Times New Roman"/>
                <w:b w:val="0"/>
                <w:i w:val="0"/>
                <w:color w:val="000000"/>
                <w:sz w:val="17"/>
              </w:rPr>
              <w:t>Production decision is evidence-based, not deadline-based.</w:t>
            </w:r>
          </w:p>
        </w:tc>
      </w:tr>
    </w:tbl>
    <w:p>
      <w:pPr>
        <w:spacing w:before="80" w:after="140" w:line="240" w:lineRule="auto"/>
        <w:jc w:val="center"/>
      </w:pPr>
      <w:r>
        <w:rPr>
          <w:rFonts w:ascii="Times New Roman" w:hAnsi="Times New Roman"/>
          <w:b w:val="0"/>
          <w:i/>
          <w:color w:val="000000"/>
          <w:sz w:val="20"/>
        </w:rPr>
        <w:t>Table 6. Recommendations linked to the original schedule and quality gates.</w:t>
      </w:r>
    </w:p>
    <w:p>
      <w:pPr>
        <w:spacing w:before="160" w:after="100" w:line="240" w:lineRule="auto"/>
        <w:jc w:val="left"/>
      </w:pPr>
      <w:r>
        <w:rPr>
          <w:rFonts w:ascii="Times New Roman" w:hAnsi="Times New Roman"/>
          <w:b/>
          <w:i w:val="0"/>
          <w:color w:val="000000"/>
          <w:sz w:val="28"/>
        </w:rPr>
        <w:t>References</w:t>
      </w:r>
    </w:p>
    <w:p>
      <w:pPr>
        <w:spacing w:before="0" w:after="60" w:line="240" w:lineRule="auto"/>
        <w:jc w:val="left"/>
      </w:pPr>
      <w:r>
        <w:rPr>
          <w:rFonts w:ascii="Times New Roman" w:hAnsi="Times New Roman"/>
          <w:b w:val="0"/>
          <w:i w:val="0"/>
          <w:color w:val="000000"/>
          <w:sz w:val="20"/>
        </w:rPr>
        <w:t>1. Assignment 1 Alisher Tokesh. Project Management and Financial Justification for a Novelty Similarity Detection Model. Course report.</w:t>
      </w:r>
    </w:p>
    <w:p>
      <w:pPr>
        <w:spacing w:before="0" w:after="60" w:line="240" w:lineRule="auto"/>
        <w:jc w:val="left"/>
      </w:pPr>
      <w:r>
        <w:rPr>
          <w:rFonts w:ascii="Times New Roman" w:hAnsi="Times New Roman"/>
          <w:b w:val="0"/>
          <w:i w:val="0"/>
          <w:color w:val="000000"/>
          <w:sz w:val="20"/>
        </w:rPr>
        <w:t>2. Hybrid Thesis Topic Novelty Assessment Model. README.md and source modules in novelty-similarity-detection-model.</w:t>
      </w:r>
    </w:p>
    <w:p>
      <w:pPr>
        <w:spacing w:before="0" w:after="60" w:line="240" w:lineRule="auto"/>
        <w:jc w:val="left"/>
      </w:pPr>
      <w:r>
        <w:rPr>
          <w:rFonts w:ascii="Times New Roman" w:hAnsi="Times New Roman"/>
          <w:b w:val="0"/>
          <w:i w:val="0"/>
          <w:color w:val="000000"/>
          <w:sz w:val="20"/>
        </w:rPr>
        <w:t>3. Assignment 2 brief supplied by the course. Methodology and architectural approach assessment.</w:t>
      </w:r>
    </w:p>
    <w:sectPr w:rsidR="00636371" w:rsidRPr="00375A65" w:rsidSect="00034616">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C17290" w14:textId="77777777" w:rsidR="00617E3A" w:rsidRDefault="00617E3A">
      <w:pPr>
        <w:spacing w:after="0" w:line="240" w:lineRule="auto"/>
      </w:pPr>
      <w:r>
        <w:separator/>
      </w:r>
    </w:p>
  </w:endnote>
  <w:endnote w:type="continuationSeparator" w:id="0">
    <w:p w14:paraId="6A120C0E" w14:textId="77777777" w:rsidR="00617E3A" w:rsidRDefault="00617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1B593A" w14:textId="77777777" w:rsidR="00617E3A" w:rsidRDefault="00617E3A">
      <w:pPr>
        <w:spacing w:after="0" w:line="240" w:lineRule="auto"/>
      </w:pPr>
      <w:r>
        <w:separator/>
      </w:r>
    </w:p>
  </w:footnote>
  <w:footnote w:type="continuationSeparator" w:id="0">
    <w:p w14:paraId="7CFADE5A" w14:textId="77777777" w:rsidR="00617E3A" w:rsidRDefault="00617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77598419">
    <w:abstractNumId w:val="8"/>
  </w:num>
  <w:num w:numId="2" w16cid:durableId="2015692027">
    <w:abstractNumId w:val="6"/>
  </w:num>
  <w:num w:numId="3" w16cid:durableId="1123885570">
    <w:abstractNumId w:val="5"/>
  </w:num>
  <w:num w:numId="4" w16cid:durableId="818808498">
    <w:abstractNumId w:val="4"/>
  </w:num>
  <w:num w:numId="5" w16cid:durableId="1041368863">
    <w:abstractNumId w:val="7"/>
  </w:num>
  <w:num w:numId="6" w16cid:durableId="1612131051">
    <w:abstractNumId w:val="3"/>
  </w:num>
  <w:num w:numId="7" w16cid:durableId="244144044">
    <w:abstractNumId w:val="2"/>
  </w:num>
  <w:num w:numId="8" w16cid:durableId="434862113">
    <w:abstractNumId w:val="1"/>
  </w:num>
  <w:num w:numId="9" w16cid:durableId="823793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1AAA"/>
    <w:rsid w:val="00326F90"/>
    <w:rsid w:val="00375A65"/>
    <w:rsid w:val="00617E3A"/>
    <w:rsid w:val="00636371"/>
    <w:rsid w:val="008B16E9"/>
    <w:rsid w:val="008E3A7E"/>
    <w:rsid w:val="00937A52"/>
    <w:rsid w:val="00A85BC6"/>
    <w:rsid w:val="00AA1D8D"/>
    <w:rsid w:val="00AF2F6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831A3"/>
  <w14:defaultImageDpi w14:val="300"/>
  <w15:docId w15:val="{39E8831F-6D7B-CD47-98D2-B798CC12D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00" w:lineRule="auto"/>
    </w:pPr>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4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1" Type="http://schemas.openxmlformats.org/officeDocument/2006/relationships/package" Target="../embeddings/_____Microsoft_Excel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140251371469596"/>
          <c:y val="4.2735042735042736E-2"/>
          <c:w val="0.7420096209248862"/>
          <c:h val="0.92165242165242167"/>
        </c:manualLayout>
      </c:layout>
      <c:barChart>
        <c:barDir val="bar"/>
        <c:grouping val="clustered"/>
        <c:varyColors val="0"/>
        <c:ser>
          <c:idx val="0"/>
          <c:order val="0"/>
          <c:tx>
            <c:strRef>
              <c:f>Sheet1!$B$1</c:f>
              <c:strCache>
                <c:ptCount val="1"/>
                <c:pt idx="0">
                  <c:v>Budget ($)</c:v>
                </c:pt>
              </c:strCache>
            </c:strRef>
          </c:tx>
          <c:spPr>
            <a:solidFill>
              <a:srgbClr val="1E2761"/>
            </a:solidFill>
            <a:effectLst/>
          </c:spPr>
          <c:invertIfNegative val="0"/>
          <c:dPt>
            <c:idx val="0"/>
            <c:invertIfNegative val="0"/>
            <c:bubble3D val="0"/>
            <c:extLst>
              <c:ext xmlns:c16="http://schemas.microsoft.com/office/drawing/2014/chart" uri="{C3380CC4-5D6E-409C-BE32-E72D297353CC}">
                <c16:uniqueId val="{00000000-A07C-214C-90FD-93CD6C4F26B2}"/>
              </c:ext>
            </c:extLst>
          </c:dPt>
          <c:dPt>
            <c:idx val="1"/>
            <c:invertIfNegative val="0"/>
            <c:bubble3D val="0"/>
            <c:extLst>
              <c:ext xmlns:c16="http://schemas.microsoft.com/office/drawing/2014/chart" uri="{C3380CC4-5D6E-409C-BE32-E72D297353CC}">
                <c16:uniqueId val="{00000001-A07C-214C-90FD-93CD6C4F26B2}"/>
              </c:ext>
            </c:extLst>
          </c:dPt>
          <c:dPt>
            <c:idx val="2"/>
            <c:invertIfNegative val="0"/>
            <c:bubble3D val="0"/>
            <c:extLst>
              <c:ext xmlns:c16="http://schemas.microsoft.com/office/drawing/2014/chart" uri="{C3380CC4-5D6E-409C-BE32-E72D297353CC}">
                <c16:uniqueId val="{00000002-A07C-214C-90FD-93CD6C4F26B2}"/>
              </c:ext>
            </c:extLst>
          </c:dPt>
          <c:dPt>
            <c:idx val="3"/>
            <c:invertIfNegative val="0"/>
            <c:bubble3D val="0"/>
            <c:extLst>
              <c:ext xmlns:c16="http://schemas.microsoft.com/office/drawing/2014/chart" uri="{C3380CC4-5D6E-409C-BE32-E72D297353CC}">
                <c16:uniqueId val="{00000003-A07C-214C-90FD-93CD6C4F26B2}"/>
              </c:ext>
            </c:extLst>
          </c:dPt>
          <c:dPt>
            <c:idx val="4"/>
            <c:invertIfNegative val="0"/>
            <c:bubble3D val="0"/>
            <c:spPr>
              <a:solidFill>
                <a:srgbClr val="D4A24C"/>
              </a:solidFill>
              <a:effectLst/>
            </c:spPr>
            <c:extLst>
              <c:ext xmlns:c16="http://schemas.microsoft.com/office/drawing/2014/chart" uri="{C3380CC4-5D6E-409C-BE32-E72D297353CC}">
                <c16:uniqueId val="{00000005-A07C-214C-90FD-93CD6C4F26B2}"/>
              </c:ext>
            </c:extLst>
          </c:dPt>
          <c:dLbls>
            <c:numFmt formatCode="\$#,##0" sourceLinked="0"/>
            <c:spPr>
              <a:noFill/>
              <a:ln>
                <a:noFill/>
              </a:ln>
              <a:effectLst/>
            </c:spPr>
            <c:txPr>
              <a:bodyPr/>
              <a:lstStyle/>
              <a:p>
                <a:pPr>
                  <a:defRPr sz="1000" b="0" i="0" u="none" strike="noStrike">
                    <a:solidFill>
                      <a:srgbClr val="1F2430"/>
                    </a:solidFill>
                    <a:latin typeface="Arial"/>
                  </a:defRPr>
                </a:pPr>
                <a:endParaRPr lang="ru-KZ"/>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Personnel</c:v>
                </c:pt>
                <c:pt idx="1">
                  <c:v>Infrastructure</c:v>
                </c:pt>
                <c:pt idx="2">
                  <c:v>Software &amp; data</c:v>
                </c:pt>
                <c:pt idx="3">
                  <c:v>Training</c:v>
                </c:pt>
                <c:pt idx="4">
                  <c:v>Contingency (15%)</c:v>
                </c:pt>
              </c:strCache>
            </c:strRef>
          </c:cat>
          <c:val>
            <c:numRef>
              <c:f>Sheet1!$B$2:$B$6</c:f>
              <c:numCache>
                <c:formatCode>General</c:formatCode>
                <c:ptCount val="5"/>
                <c:pt idx="0">
                  <c:v>27000</c:v>
                </c:pt>
                <c:pt idx="1">
                  <c:v>5500</c:v>
                </c:pt>
                <c:pt idx="2">
                  <c:v>3000</c:v>
                </c:pt>
                <c:pt idx="3">
                  <c:v>2688</c:v>
                </c:pt>
                <c:pt idx="4">
                  <c:v>5728</c:v>
                </c:pt>
              </c:numCache>
            </c:numRef>
          </c:val>
          <c:extLst>
            <c:ext xmlns:c16="http://schemas.microsoft.com/office/drawing/2014/chart" uri="{C3380CC4-5D6E-409C-BE32-E72D297353CC}">
              <c16:uniqueId val="{00000006-A07C-214C-90FD-93CD6C4F26B2}"/>
            </c:ext>
          </c:extLst>
        </c:ser>
        <c:dLbls>
          <c:showLegendKey val="0"/>
          <c:showVal val="1"/>
          <c:showCatName val="0"/>
          <c:showSerName val="0"/>
          <c:showPercent val="0"/>
          <c:showBubbleSize val="0"/>
        </c:dLbls>
        <c:gapWidth val="35"/>
        <c:axId val="2094734554"/>
        <c:axId val="2094734552"/>
      </c:barChart>
      <c:catAx>
        <c:axId val="2094734554"/>
        <c:scaling>
          <c:orientation val="minMax"/>
        </c:scaling>
        <c:delete val="0"/>
        <c:axPos val="l"/>
        <c:numFmt formatCode="General" sourceLinked="1"/>
        <c:majorTickMark val="out"/>
        <c:minorTickMark val="none"/>
        <c:tickLblPos val="nextTo"/>
        <c:spPr>
          <a:ln w="12700" cap="flat">
            <a:noFill/>
            <a:prstDash val="solid"/>
            <a:round/>
          </a:ln>
        </c:spPr>
        <c:txPr>
          <a:bodyPr/>
          <a:lstStyle/>
          <a:p>
            <a:pPr>
              <a:defRPr sz="1100" b="0" i="0" u="none" strike="noStrike">
                <a:solidFill>
                  <a:srgbClr val="1F2430"/>
                </a:solidFill>
                <a:latin typeface="Arial"/>
              </a:defRPr>
            </a:pPr>
            <a:endParaRPr lang="en-US"/>
          </a:p>
        </c:txPr>
        <c:crossAx val="2094734552"/>
        <c:crosses val="autoZero"/>
        <c:auto val="1"/>
        <c:lblAlgn val="ctr"/>
        <c:lblOffset val="100"/>
        <c:noMultiLvlLbl val="1"/>
      </c:catAx>
      <c:valAx>
        <c:axId val="2094734552"/>
        <c:scaling>
          <c:orientation val="minMax"/>
        </c:scaling>
        <c:delete val="1"/>
        <c:axPos val="b"/>
        <c:numFmt formatCode="General" sourceLinked="0"/>
        <c:majorTickMark val="out"/>
        <c:minorTickMark val="none"/>
        <c:tickLblPos val="low"/>
        <c:crossAx val="2094734554"/>
        <c:crosses val="autoZero"/>
        <c:crossBetween val="between"/>
      </c:valAx>
      <c:spPr>
        <a:solidFill>
          <a:srgbClr val="FFFFFF"/>
        </a:solidFill>
        <a:ln>
          <a:noFill/>
        </a:ln>
        <a:effectLst/>
      </c:spPr>
    </c:plotArea>
    <c:plotVisOnly val="1"/>
    <c:dispBlanksAs val="span"/>
    <c:showDLblsOverMax val="1"/>
  </c:chart>
  <c:spPr>
    <a:noFill/>
    <a:ln>
      <a:noFill/>
    </a:ln>
    <a:effectLst/>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Cashflow ($)</c:v>
                </c:pt>
              </c:strCache>
            </c:strRef>
          </c:tx>
          <c:spPr>
            <a:solidFill>
              <a:srgbClr val="1E2761"/>
            </a:solidFill>
            <a:effectLst/>
          </c:spPr>
          <c:invertIfNegative val="0"/>
          <c:dLbls>
            <c:numFmt formatCode="\$#,##0" sourceLinked="0"/>
            <c:spPr>
              <a:noFill/>
              <a:ln>
                <a:noFill/>
              </a:ln>
              <a:effectLst/>
            </c:spPr>
            <c:txPr>
              <a:bodyPr/>
              <a:lstStyle/>
              <a:p>
                <a:pPr>
                  <a:defRPr sz="1050" b="0" i="0" u="none" strike="noStrike">
                    <a:solidFill>
                      <a:srgbClr val="1F2430"/>
                    </a:solidFill>
                    <a:latin typeface="Arial"/>
                  </a:defRPr>
                </a:pPr>
                <a:endParaRPr lang="ru-KZ"/>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M1</c:v>
                </c:pt>
                <c:pt idx="1">
                  <c:v>M2</c:v>
                </c:pt>
                <c:pt idx="2">
                  <c:v>M3</c:v>
                </c:pt>
                <c:pt idx="3">
                  <c:v>M4</c:v>
                </c:pt>
                <c:pt idx="4">
                  <c:v>M5</c:v>
                </c:pt>
              </c:strCache>
            </c:strRef>
          </c:cat>
          <c:val>
            <c:numRef>
              <c:f>Sheet1!$B$2:$B$6</c:f>
              <c:numCache>
                <c:formatCode>General</c:formatCode>
                <c:ptCount val="5"/>
                <c:pt idx="0">
                  <c:v>7200</c:v>
                </c:pt>
                <c:pt idx="1">
                  <c:v>10400</c:v>
                </c:pt>
                <c:pt idx="2">
                  <c:v>10800</c:v>
                </c:pt>
                <c:pt idx="3">
                  <c:v>7000</c:v>
                </c:pt>
                <c:pt idx="4">
                  <c:v>2800</c:v>
                </c:pt>
              </c:numCache>
            </c:numRef>
          </c:val>
          <c:extLst>
            <c:ext xmlns:c16="http://schemas.microsoft.com/office/drawing/2014/chart" uri="{C3380CC4-5D6E-409C-BE32-E72D297353CC}">
              <c16:uniqueId val="{00000000-C010-5B46-9C40-CDADA5C4273D}"/>
            </c:ext>
          </c:extLst>
        </c:ser>
        <c:dLbls>
          <c:showLegendKey val="0"/>
          <c:showVal val="1"/>
          <c:showCatName val="0"/>
          <c:showSerName val="0"/>
          <c:showPercent val="0"/>
          <c:showBubbleSize val="0"/>
        </c:dLbls>
        <c:gapWidth val="40"/>
        <c:axId val="2094734554"/>
        <c:axId val="2094734552"/>
      </c:barChart>
      <c:catAx>
        <c:axId val="2094734554"/>
        <c:scaling>
          <c:orientation val="minMax"/>
        </c:scaling>
        <c:delete val="0"/>
        <c:axPos val="b"/>
        <c:numFmt formatCode="General" sourceLinked="1"/>
        <c:majorTickMark val="out"/>
        <c:minorTickMark val="none"/>
        <c:tickLblPos val="low"/>
        <c:spPr>
          <a:ln w="12700" cap="flat">
            <a:solidFill>
              <a:srgbClr val="D0D5E0"/>
            </a:solidFill>
            <a:prstDash val="solid"/>
            <a:round/>
          </a:ln>
        </c:spPr>
        <c:txPr>
          <a:bodyPr/>
          <a:lstStyle/>
          <a:p>
            <a:pPr>
              <a:defRPr sz="1200" b="0" i="0" u="none" strike="noStrike">
                <a:solidFill>
                  <a:srgbClr val="1F2430"/>
                </a:solidFill>
                <a:latin typeface="Arial"/>
              </a:defRPr>
            </a:pPr>
            <a:endParaRPr lang="en-US"/>
          </a:p>
        </c:txPr>
        <c:crossAx val="2094734552"/>
        <c:crosses val="autoZero"/>
        <c:auto val="1"/>
        <c:lblAlgn val="ctr"/>
        <c:lblOffset val="100"/>
        <c:noMultiLvlLbl val="1"/>
      </c:catAx>
      <c:valAx>
        <c:axId val="2094734552"/>
        <c:scaling>
          <c:orientation val="minMax"/>
        </c:scaling>
        <c:delete val="1"/>
        <c:axPos val="l"/>
        <c:numFmt formatCode="General" sourceLinked="0"/>
        <c:majorTickMark val="out"/>
        <c:minorTickMark val="none"/>
        <c:tickLblPos val="nextTo"/>
        <c:crossAx val="2094734554"/>
        <c:crosses val="autoZero"/>
        <c:crossBetween val="between"/>
      </c:valAx>
      <c:spPr>
        <a:solidFill>
          <a:srgbClr val="FFFFFF"/>
        </a:solidFill>
        <a:ln>
          <a:noFill/>
        </a:ln>
        <a:effectLst/>
      </c:spPr>
    </c:plotArea>
    <c:plotVisOnly val="1"/>
    <c:dispBlanksAs val="span"/>
    <c:showDLblsOverMax val="1"/>
  </c:chart>
  <c:spPr>
    <a:noFill/>
    <a:ln>
      <a:noFill/>
    </a:ln>
    <a:effectLst/>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3127</Words>
  <Characters>17830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Alisher Tokesh</cp:lastModifiedBy>
  <cp:revision>6</cp:revision>
  <dcterms:created xsi:type="dcterms:W3CDTF">2026-09-18T15:10:00Z</dcterms:created>
  <dcterms:modified xsi:type="dcterms:W3CDTF">2026-09-18T15:23:00Z</dcterms:modified>
  <cp:category/>
</cp:coreProperties>
</file>