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30045" w14:textId="0C45E6CD" w:rsidR="00D7521D" w:rsidRPr="00D0419F" w:rsidRDefault="00A054BC" w:rsidP="00D0419F">
      <w:pPr>
        <w:jc w:val="both"/>
        <w:rPr>
          <w:rFonts w:ascii="Times New Roman" w:hAnsi="Times New Roman" w:cs="Times New Roman"/>
          <w:b/>
          <w:bCs/>
        </w:rPr>
      </w:pPr>
      <w:r w:rsidRPr="00D0419F">
        <w:rPr>
          <w:rFonts w:ascii="Times New Roman" w:hAnsi="Times New Roman" w:cs="Times New Roman"/>
          <w:b/>
          <w:bCs/>
        </w:rPr>
        <w:t>Project Background</w:t>
      </w:r>
    </w:p>
    <w:p w14:paraId="4A60A09E" w14:textId="7B0D719E" w:rsidR="00F01E50" w:rsidRPr="00D0419F" w:rsidRDefault="003A5FF7" w:rsidP="00D0419F">
      <w:p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  <w:b/>
          <w:bCs/>
        </w:rPr>
        <w:t>Objective</w:t>
      </w:r>
      <w:r w:rsidRPr="00D0419F">
        <w:rPr>
          <w:rFonts w:ascii="Times New Roman" w:hAnsi="Times New Roman" w:cs="Times New Roman"/>
        </w:rPr>
        <w:t>:</w:t>
      </w:r>
      <w:r w:rsidR="00BD7177" w:rsidRPr="00D0419F">
        <w:rPr>
          <w:rFonts w:ascii="Times New Roman" w:hAnsi="Times New Roman" w:cs="Times New Roman"/>
        </w:rPr>
        <w:t xml:space="preserve"> </w:t>
      </w:r>
      <w:r w:rsidR="00AE1C06" w:rsidRPr="00D0419F">
        <w:rPr>
          <w:rFonts w:ascii="Times New Roman" w:hAnsi="Times New Roman" w:cs="Times New Roman"/>
        </w:rPr>
        <w:t>The State of New York Mortgage Agency (SONYMA)</w:t>
      </w:r>
      <w:r w:rsidR="00502AC4" w:rsidRPr="00D0419F">
        <w:rPr>
          <w:rFonts w:ascii="Times New Roman" w:hAnsi="Times New Roman" w:cs="Times New Roman"/>
        </w:rPr>
        <w:t xml:space="preserve"> provides financing and programs designed for first-time low- and moderate-income homebuyers in New York State. </w:t>
      </w:r>
      <w:r w:rsidR="00F01E50" w:rsidRPr="00D0419F">
        <w:rPr>
          <w:rFonts w:ascii="Times New Roman" w:hAnsi="Times New Roman" w:cs="Times New Roman"/>
        </w:rPr>
        <w:t xml:space="preserve">The purpose of this analysis is to extract valuable insights from the dataset obtained from SONYMA, with the goal of providing recommendations to improve </w:t>
      </w:r>
      <w:r w:rsidR="00C97C9E" w:rsidRPr="00D0419F">
        <w:rPr>
          <w:rFonts w:ascii="Times New Roman" w:hAnsi="Times New Roman" w:cs="Times New Roman"/>
        </w:rPr>
        <w:t>efficiency</w:t>
      </w:r>
      <w:r w:rsidR="00F01E50" w:rsidRPr="00D0419F">
        <w:rPr>
          <w:rFonts w:ascii="Times New Roman" w:hAnsi="Times New Roman" w:cs="Times New Roman"/>
        </w:rPr>
        <w:t xml:space="preserve"> in</w:t>
      </w:r>
      <w:r w:rsidR="00C97C9E" w:rsidRPr="00D0419F">
        <w:rPr>
          <w:rFonts w:ascii="Times New Roman" w:hAnsi="Times New Roman" w:cs="Times New Roman"/>
        </w:rPr>
        <w:t xml:space="preserve"> loan distribution</w:t>
      </w:r>
      <w:r w:rsidR="00C779F7" w:rsidRPr="00D0419F">
        <w:rPr>
          <w:rFonts w:ascii="Times New Roman" w:hAnsi="Times New Roman" w:cs="Times New Roman"/>
        </w:rPr>
        <w:t>.</w:t>
      </w:r>
    </w:p>
    <w:p w14:paraId="19A73E6B" w14:textId="2564AC46" w:rsidR="00E3413C" w:rsidRPr="00D0419F" w:rsidRDefault="00E3413C" w:rsidP="00D0419F">
      <w:pPr>
        <w:jc w:val="both"/>
        <w:rPr>
          <w:rFonts w:ascii="Times New Roman" w:hAnsi="Times New Roman" w:cs="Times New Roman"/>
          <w:b/>
          <w:bCs/>
        </w:rPr>
      </w:pPr>
      <w:r w:rsidRPr="00D0419F">
        <w:rPr>
          <w:rFonts w:ascii="Times New Roman" w:hAnsi="Times New Roman" w:cs="Times New Roman"/>
          <w:b/>
          <w:bCs/>
        </w:rPr>
        <w:t>Data Structure &amp; Initial Checks</w:t>
      </w:r>
    </w:p>
    <w:p w14:paraId="54B8F042" w14:textId="7B69D253" w:rsidR="00C223C8" w:rsidRPr="00D0419F" w:rsidRDefault="00E3413C" w:rsidP="00D0419F">
      <w:p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 xml:space="preserve">SONYMA’s database structure as seen below consists of 1 table, with </w:t>
      </w:r>
      <w:r w:rsidR="00910373" w:rsidRPr="00D0419F">
        <w:rPr>
          <w:rFonts w:ascii="Times New Roman" w:hAnsi="Times New Roman" w:cs="Times New Roman"/>
        </w:rPr>
        <w:t xml:space="preserve">14 columns, </w:t>
      </w:r>
      <w:r w:rsidRPr="00D0419F">
        <w:rPr>
          <w:rFonts w:ascii="Times New Roman" w:hAnsi="Times New Roman" w:cs="Times New Roman"/>
        </w:rPr>
        <w:t xml:space="preserve">a total row count of 28500 records. </w:t>
      </w:r>
      <w:r w:rsidR="008B420D" w:rsidRPr="00D0419F">
        <w:rPr>
          <w:rFonts w:ascii="Times New Roman" w:hAnsi="Times New Roman" w:cs="Times New Roman"/>
        </w:rPr>
        <w:t>It</w:t>
      </w:r>
      <w:r w:rsidR="00C223C8" w:rsidRPr="00D0419F">
        <w:rPr>
          <w:rFonts w:ascii="Times New Roman" w:hAnsi="Times New Roman" w:cs="Times New Roman"/>
        </w:rPr>
        <w:t xml:space="preserve"> includes raw data on all the loans purchased by SONYMA </w:t>
      </w:r>
      <w:r w:rsidR="00910373" w:rsidRPr="00D0419F">
        <w:rPr>
          <w:rFonts w:ascii="Times New Roman" w:hAnsi="Times New Roman" w:cs="Times New Roman"/>
        </w:rPr>
        <w:t>from</w:t>
      </w:r>
      <w:r w:rsidR="00C223C8" w:rsidRPr="00D0419F">
        <w:rPr>
          <w:rFonts w:ascii="Times New Roman" w:hAnsi="Times New Roman" w:cs="Times New Roman"/>
        </w:rPr>
        <w:t xml:space="preserve"> January 2004</w:t>
      </w:r>
      <w:r w:rsidR="00787DE1" w:rsidRPr="00D0419F">
        <w:rPr>
          <w:rFonts w:ascii="Times New Roman" w:hAnsi="Times New Roman" w:cs="Times New Roman"/>
        </w:rPr>
        <w:t xml:space="preserve"> until 20</w:t>
      </w:r>
      <w:r w:rsidR="00C35EC2" w:rsidRPr="00D0419F">
        <w:rPr>
          <w:rFonts w:ascii="Times New Roman" w:hAnsi="Times New Roman" w:cs="Times New Roman"/>
        </w:rPr>
        <w:t>16</w:t>
      </w:r>
      <w:r w:rsidR="00C223C8" w:rsidRPr="00D0419F">
        <w:rPr>
          <w:rFonts w:ascii="Times New Roman" w:hAnsi="Times New Roman" w:cs="Times New Roman"/>
        </w:rPr>
        <w:t xml:space="preserve">. </w:t>
      </w:r>
      <w:r w:rsidR="009E1C04" w:rsidRPr="00D0419F">
        <w:rPr>
          <w:rFonts w:ascii="Times New Roman" w:hAnsi="Times New Roman" w:cs="Times New Roman"/>
        </w:rPr>
        <w:t>It includes</w:t>
      </w:r>
      <w:r w:rsidR="00F5240A" w:rsidRPr="00D0419F">
        <w:rPr>
          <w:rFonts w:ascii="Times New Roman" w:hAnsi="Times New Roman" w:cs="Times New Roman"/>
        </w:rPr>
        <w:t xml:space="preserve"> </w:t>
      </w:r>
      <w:r w:rsidR="00F5240A" w:rsidRPr="00D0419F">
        <w:rPr>
          <w:rFonts w:ascii="Times New Roman" w:hAnsi="Times New Roman" w:cs="Times New Roman"/>
        </w:rPr>
        <w:t>types of loans</w:t>
      </w:r>
      <w:r w:rsidR="009E1C04" w:rsidRPr="00D0419F">
        <w:rPr>
          <w:rFonts w:ascii="Times New Roman" w:hAnsi="Times New Roman" w:cs="Times New Roman"/>
        </w:rPr>
        <w:t xml:space="preserve"> </w:t>
      </w:r>
      <w:r w:rsidR="00F5240A" w:rsidRPr="00D0419F">
        <w:rPr>
          <w:rFonts w:ascii="Times New Roman" w:hAnsi="Times New Roman" w:cs="Times New Roman"/>
        </w:rPr>
        <w:t>(</w:t>
      </w:r>
      <w:r w:rsidR="00C223C8" w:rsidRPr="00D0419F">
        <w:rPr>
          <w:rFonts w:ascii="Times New Roman" w:hAnsi="Times New Roman" w:cs="Times New Roman"/>
        </w:rPr>
        <w:t>loan amount, loan type, term, LTV, with or without down payment assistance), when the loans were made (purchase date), where the loans are being made (county), and what property types (# of units, construction status, property type)</w:t>
      </w:r>
      <w:r w:rsidR="00F5240A" w:rsidRPr="00D0419F">
        <w:rPr>
          <w:rFonts w:ascii="Times New Roman" w:hAnsi="Times New Roman" w:cs="Times New Roman"/>
        </w:rPr>
        <w:t>.</w:t>
      </w:r>
    </w:p>
    <w:p w14:paraId="38178C32" w14:textId="0023B33A" w:rsidR="00A37CEC" w:rsidRPr="00D0419F" w:rsidRDefault="0075705D" w:rsidP="00D0419F">
      <w:p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  <w:noProof/>
        </w:rPr>
        <w:drawing>
          <wp:inline distT="0" distB="0" distL="0" distR="0" wp14:anchorId="37FEB561" wp14:editId="7644D7AF">
            <wp:extent cx="6186488" cy="404495"/>
            <wp:effectExtent l="0" t="0" r="5080" b="0"/>
            <wp:docPr id="1355979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60" cy="40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7F5E" w14:textId="1F94B1BB" w:rsidR="00F5240A" w:rsidRPr="00D0419F" w:rsidRDefault="004C3CDF" w:rsidP="00D0419F">
      <w:p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 xml:space="preserve">To see </w:t>
      </w:r>
      <w:r w:rsidR="0035259D" w:rsidRPr="00D0419F">
        <w:rPr>
          <w:rFonts w:ascii="Times New Roman" w:hAnsi="Times New Roman" w:cs="Times New Roman"/>
        </w:rPr>
        <w:t>the Data dictionary, press here….</w:t>
      </w:r>
    </w:p>
    <w:p w14:paraId="7FEAC4B2" w14:textId="5B160BBC" w:rsidR="002B3CF1" w:rsidRPr="00D0419F" w:rsidRDefault="001349B2" w:rsidP="00D0419F">
      <w:p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  <w:b/>
          <w:bCs/>
        </w:rPr>
        <w:t>Data Preprocessing</w:t>
      </w:r>
    </w:p>
    <w:p w14:paraId="3BF25AA8" w14:textId="77777777" w:rsidR="00503D02" w:rsidRPr="00D0419F" w:rsidRDefault="00503D02" w:rsidP="00D041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  <w:b/>
          <w:bCs/>
        </w:rPr>
        <w:t>Data Cleaning in Excel</w:t>
      </w:r>
      <w:r w:rsidRPr="00D0419F">
        <w:rPr>
          <w:rFonts w:ascii="Times New Roman" w:hAnsi="Times New Roman" w:cs="Times New Roman"/>
        </w:rPr>
        <w:t>:</w:t>
      </w:r>
    </w:p>
    <w:p w14:paraId="5B8CB233" w14:textId="77777777" w:rsidR="00503D02" w:rsidRPr="00503D02" w:rsidRDefault="00503D02" w:rsidP="00D0419F">
      <w:pPr>
        <w:ind w:left="720"/>
        <w:jc w:val="both"/>
        <w:rPr>
          <w:rFonts w:ascii="Times New Roman" w:hAnsi="Times New Roman" w:cs="Times New Roman"/>
        </w:rPr>
      </w:pPr>
      <w:r w:rsidRPr="00503D02">
        <w:rPr>
          <w:rFonts w:ascii="Times New Roman" w:hAnsi="Times New Roman" w:cs="Times New Roman"/>
        </w:rPr>
        <w:t>The dataset was first imported into Excel, where initial cleaning was conducted. This included identifying and replacing abnormal values and removing 37 duplicate entries to ensure data consistency and integrity.</w:t>
      </w:r>
    </w:p>
    <w:p w14:paraId="6E11A261" w14:textId="77777777" w:rsidR="004E074D" w:rsidRPr="00D0419F" w:rsidRDefault="004E074D" w:rsidP="00D041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  <w:b/>
          <w:bCs/>
        </w:rPr>
        <w:t>Data Filtering and Querying</w:t>
      </w:r>
      <w:r w:rsidRPr="00D0419F">
        <w:rPr>
          <w:rFonts w:ascii="Times New Roman" w:hAnsi="Times New Roman" w:cs="Times New Roman"/>
        </w:rPr>
        <w:t>:</w:t>
      </w:r>
    </w:p>
    <w:p w14:paraId="358F4CBD" w14:textId="77777777" w:rsidR="004E074D" w:rsidRPr="004E074D" w:rsidRDefault="004E074D" w:rsidP="00D0419F">
      <w:pPr>
        <w:ind w:left="720"/>
        <w:jc w:val="both"/>
        <w:rPr>
          <w:rFonts w:ascii="Times New Roman" w:hAnsi="Times New Roman" w:cs="Times New Roman"/>
        </w:rPr>
      </w:pPr>
      <w:r w:rsidRPr="004E074D">
        <w:rPr>
          <w:rFonts w:ascii="Times New Roman" w:hAnsi="Times New Roman" w:cs="Times New Roman"/>
        </w:rPr>
        <w:t>SQL queries were used to filter and analyze the data, identifying patterns and summarizing key metrics for further analysis.</w:t>
      </w:r>
    </w:p>
    <w:p w14:paraId="65C37B6A" w14:textId="785E39FA" w:rsidR="00503D02" w:rsidRPr="00D0419F" w:rsidRDefault="005A6CB7" w:rsidP="00D0419F">
      <w:p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Data Analysis and Visualization</w:t>
      </w:r>
    </w:p>
    <w:p w14:paraId="034C5617" w14:textId="2643DA9E" w:rsidR="00971981" w:rsidRPr="00D0419F" w:rsidRDefault="00361892" w:rsidP="00D041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Complex SQL queries were executed to extract insights and prepare the dataset for visualization.</w:t>
      </w:r>
    </w:p>
    <w:p w14:paraId="0D006DAC" w14:textId="245535E8" w:rsidR="009C42EF" w:rsidRPr="001B6257" w:rsidRDefault="00762A35" w:rsidP="00D041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The cleaned and processed data was then visualized using Tableau, where interactive dashboards were created to highlight key insights</w:t>
      </w:r>
    </w:p>
    <w:p w14:paraId="406E15EF" w14:textId="621F2E90" w:rsidR="00FD1B38" w:rsidRPr="00D0419F" w:rsidRDefault="00FD1B38" w:rsidP="00D0419F">
      <w:p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Insights and recommendations are provided on the following key areas:</w:t>
      </w:r>
    </w:p>
    <w:p w14:paraId="6159E6AB" w14:textId="33B06686" w:rsidR="00F02BEA" w:rsidRPr="00D0419F" w:rsidRDefault="00F02BEA" w:rsidP="00D0419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  <w:b/>
          <w:bCs/>
        </w:rPr>
        <w:t xml:space="preserve">Sales </w:t>
      </w:r>
      <w:r w:rsidR="002F39CA" w:rsidRPr="00D0419F">
        <w:rPr>
          <w:rFonts w:ascii="Times New Roman" w:hAnsi="Times New Roman" w:cs="Times New Roman"/>
          <w:b/>
          <w:bCs/>
        </w:rPr>
        <w:t>T</w:t>
      </w:r>
      <w:r w:rsidRPr="00D0419F">
        <w:rPr>
          <w:rFonts w:ascii="Times New Roman" w:hAnsi="Times New Roman" w:cs="Times New Roman"/>
          <w:b/>
          <w:bCs/>
        </w:rPr>
        <w:t xml:space="preserve">rend </w:t>
      </w:r>
      <w:r w:rsidR="002F39CA" w:rsidRPr="00D0419F">
        <w:rPr>
          <w:rFonts w:ascii="Times New Roman" w:hAnsi="Times New Roman" w:cs="Times New Roman"/>
          <w:b/>
          <w:bCs/>
        </w:rPr>
        <w:t>A</w:t>
      </w:r>
      <w:r w:rsidRPr="00D0419F">
        <w:rPr>
          <w:rFonts w:ascii="Times New Roman" w:hAnsi="Times New Roman" w:cs="Times New Roman"/>
          <w:b/>
          <w:bCs/>
        </w:rPr>
        <w:t>nalysis</w:t>
      </w:r>
      <w:r w:rsidR="00A961B4" w:rsidRPr="00D0419F">
        <w:rPr>
          <w:rFonts w:ascii="Times New Roman" w:hAnsi="Times New Roman" w:cs="Times New Roman"/>
        </w:rPr>
        <w:t xml:space="preserve">: </w:t>
      </w:r>
      <w:r w:rsidR="00E51E1B" w:rsidRPr="00D0419F">
        <w:rPr>
          <w:rFonts w:ascii="Times New Roman" w:hAnsi="Times New Roman" w:cs="Times New Roman"/>
        </w:rPr>
        <w:t>Evaluation of historical sales patterns</w:t>
      </w:r>
      <w:r w:rsidR="00975D84" w:rsidRPr="00D0419F">
        <w:rPr>
          <w:rFonts w:ascii="Times New Roman" w:hAnsi="Times New Roman" w:cs="Times New Roman"/>
        </w:rPr>
        <w:t xml:space="preserve"> </w:t>
      </w:r>
      <w:r w:rsidR="000E177C" w:rsidRPr="00D0419F">
        <w:rPr>
          <w:rFonts w:ascii="Times New Roman" w:hAnsi="Times New Roman" w:cs="Times New Roman"/>
        </w:rPr>
        <w:t>over the years</w:t>
      </w:r>
      <w:r w:rsidR="00A20F9A" w:rsidRPr="00D0419F">
        <w:rPr>
          <w:rFonts w:ascii="Times New Roman" w:hAnsi="Times New Roman" w:cs="Times New Roman"/>
        </w:rPr>
        <w:t xml:space="preserve">, </w:t>
      </w:r>
      <w:r w:rsidR="00244479" w:rsidRPr="00D0419F">
        <w:rPr>
          <w:rFonts w:ascii="Times New Roman" w:hAnsi="Times New Roman" w:cs="Times New Roman"/>
        </w:rPr>
        <w:t xml:space="preserve">and </w:t>
      </w:r>
      <w:r w:rsidR="00514D4B" w:rsidRPr="00D0419F">
        <w:rPr>
          <w:rFonts w:ascii="Times New Roman" w:hAnsi="Times New Roman" w:cs="Times New Roman"/>
        </w:rPr>
        <w:t xml:space="preserve">year to date </w:t>
      </w:r>
      <w:r w:rsidR="00A20F9A" w:rsidRPr="00D0419F">
        <w:rPr>
          <w:rFonts w:ascii="Times New Roman" w:hAnsi="Times New Roman" w:cs="Times New Roman"/>
        </w:rPr>
        <w:t>focusing on loan amount</w:t>
      </w:r>
      <w:r w:rsidR="00C44B56" w:rsidRPr="00D0419F">
        <w:rPr>
          <w:rFonts w:ascii="Times New Roman" w:hAnsi="Times New Roman" w:cs="Times New Roman"/>
        </w:rPr>
        <w:t>,</w:t>
      </w:r>
      <w:r w:rsidR="00136BBA" w:rsidRPr="00D0419F">
        <w:rPr>
          <w:rFonts w:ascii="Times New Roman" w:hAnsi="Times New Roman" w:cs="Times New Roman"/>
        </w:rPr>
        <w:t xml:space="preserve"> region</w:t>
      </w:r>
      <w:r w:rsidR="00C44B56" w:rsidRPr="00D0419F">
        <w:rPr>
          <w:rFonts w:ascii="Times New Roman" w:hAnsi="Times New Roman" w:cs="Times New Roman"/>
        </w:rPr>
        <w:t xml:space="preserve">, </w:t>
      </w:r>
      <w:r w:rsidR="00136BBA" w:rsidRPr="00D0419F">
        <w:rPr>
          <w:rFonts w:ascii="Times New Roman" w:hAnsi="Times New Roman" w:cs="Times New Roman"/>
        </w:rPr>
        <w:t>property type</w:t>
      </w:r>
      <w:r w:rsidR="00307DEB" w:rsidRPr="00D0419F">
        <w:rPr>
          <w:rFonts w:ascii="Times New Roman" w:hAnsi="Times New Roman" w:cs="Times New Roman"/>
        </w:rPr>
        <w:t xml:space="preserve"> etc.</w:t>
      </w:r>
    </w:p>
    <w:p w14:paraId="60223745" w14:textId="1F928056" w:rsidR="00136BBA" w:rsidRPr="00D0419F" w:rsidRDefault="0082669D" w:rsidP="00D0419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  <w:b/>
          <w:bCs/>
        </w:rPr>
        <w:t xml:space="preserve">Loan </w:t>
      </w:r>
      <w:r w:rsidR="0056049D" w:rsidRPr="00D0419F">
        <w:rPr>
          <w:rFonts w:ascii="Times New Roman" w:hAnsi="Times New Roman" w:cs="Times New Roman"/>
          <w:b/>
          <w:bCs/>
        </w:rPr>
        <w:t>performance</w:t>
      </w:r>
      <w:r w:rsidRPr="00D0419F">
        <w:rPr>
          <w:rFonts w:ascii="Times New Roman" w:hAnsi="Times New Roman" w:cs="Times New Roman"/>
          <w:b/>
          <w:bCs/>
        </w:rPr>
        <w:t xml:space="preserve"> </w:t>
      </w:r>
      <w:r w:rsidR="002F39CA" w:rsidRPr="00D0419F">
        <w:rPr>
          <w:rFonts w:ascii="Times New Roman" w:hAnsi="Times New Roman" w:cs="Times New Roman"/>
          <w:b/>
          <w:bCs/>
        </w:rPr>
        <w:t>Analysis</w:t>
      </w:r>
      <w:r w:rsidR="002F39CA" w:rsidRPr="00D0419F">
        <w:rPr>
          <w:rFonts w:ascii="Times New Roman" w:hAnsi="Times New Roman" w:cs="Times New Roman"/>
        </w:rPr>
        <w:t xml:space="preserve">: </w:t>
      </w:r>
      <w:r w:rsidR="0056049D" w:rsidRPr="00D0419F">
        <w:rPr>
          <w:rFonts w:ascii="Times New Roman" w:hAnsi="Times New Roman" w:cs="Times New Roman"/>
        </w:rPr>
        <w:t>Analysis on loan</w:t>
      </w:r>
      <w:r w:rsidR="00DD56B7" w:rsidRPr="00D0419F">
        <w:rPr>
          <w:rFonts w:ascii="Times New Roman" w:hAnsi="Times New Roman" w:cs="Times New Roman"/>
        </w:rPr>
        <w:t xml:space="preserve"> distribution </w:t>
      </w:r>
      <w:r w:rsidR="006547B3" w:rsidRPr="00D0419F">
        <w:rPr>
          <w:rFonts w:ascii="Times New Roman" w:hAnsi="Times New Roman" w:cs="Times New Roman"/>
        </w:rPr>
        <w:t>by region and property type</w:t>
      </w:r>
    </w:p>
    <w:p w14:paraId="6417859E" w14:textId="60DBAA3E" w:rsidR="009E444E" w:rsidRPr="00D0419F" w:rsidRDefault="009E444E" w:rsidP="00D0419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  <w:b/>
          <w:bCs/>
        </w:rPr>
        <w:t>Down Payment Assistance Analysis</w:t>
      </w:r>
      <w:r w:rsidRPr="00D0419F">
        <w:rPr>
          <w:rFonts w:ascii="Times New Roman" w:hAnsi="Times New Roman" w:cs="Times New Roman"/>
        </w:rPr>
        <w:t xml:space="preserve">: </w:t>
      </w:r>
      <w:r w:rsidR="002E78F8" w:rsidRPr="00D0419F">
        <w:rPr>
          <w:rFonts w:ascii="Times New Roman" w:hAnsi="Times New Roman" w:cs="Times New Roman"/>
        </w:rPr>
        <w:t>An evaluation of the usage of down payment assistance program</w:t>
      </w:r>
      <w:r w:rsidR="00033D75" w:rsidRPr="00D0419F">
        <w:rPr>
          <w:rFonts w:ascii="Times New Roman" w:hAnsi="Times New Roman" w:cs="Times New Roman"/>
        </w:rPr>
        <w:t xml:space="preserve">s (CCAL &amp; DPAL). </w:t>
      </w:r>
    </w:p>
    <w:p w14:paraId="58C2D610" w14:textId="635E6D37" w:rsidR="0029410E" w:rsidRPr="00D0419F" w:rsidRDefault="001567C2" w:rsidP="00D0419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  <w:b/>
          <w:bCs/>
        </w:rPr>
        <w:lastRenderedPageBreak/>
        <w:t>Regional</w:t>
      </w:r>
      <w:r w:rsidR="006E1093" w:rsidRPr="00D0419F">
        <w:rPr>
          <w:rFonts w:ascii="Times New Roman" w:hAnsi="Times New Roman" w:cs="Times New Roman"/>
          <w:b/>
          <w:bCs/>
        </w:rPr>
        <w:t xml:space="preserve"> Analysis</w:t>
      </w:r>
      <w:r w:rsidR="006E1093" w:rsidRPr="00D0419F">
        <w:rPr>
          <w:rFonts w:ascii="Times New Roman" w:hAnsi="Times New Roman" w:cs="Times New Roman"/>
        </w:rPr>
        <w:t xml:space="preserve">: </w:t>
      </w:r>
      <w:r w:rsidRPr="00D0419F">
        <w:rPr>
          <w:rFonts w:ascii="Times New Roman" w:hAnsi="Times New Roman" w:cs="Times New Roman"/>
        </w:rPr>
        <w:t xml:space="preserve">An evaluation of loan </w:t>
      </w:r>
      <w:r w:rsidR="00801271" w:rsidRPr="00D0419F">
        <w:rPr>
          <w:rFonts w:ascii="Times New Roman" w:hAnsi="Times New Roman" w:cs="Times New Roman"/>
        </w:rPr>
        <w:t>amount and down payment assistance by region</w:t>
      </w:r>
    </w:p>
    <w:p w14:paraId="578CFCBD" w14:textId="69B047B2" w:rsidR="00884F57" w:rsidRPr="00D0419F" w:rsidRDefault="00CD26A6" w:rsidP="00D0419F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The</w:t>
      </w:r>
      <w:r w:rsidR="00884F57" w:rsidRPr="00D0419F">
        <w:rPr>
          <w:rFonts w:ascii="Times New Roman" w:hAnsi="Times New Roman" w:cs="Times New Roman"/>
        </w:rPr>
        <w:t xml:space="preserve"> SQL quer</w:t>
      </w:r>
      <w:r w:rsidRPr="00D0419F">
        <w:rPr>
          <w:rFonts w:ascii="Times New Roman" w:hAnsi="Times New Roman" w:cs="Times New Roman"/>
        </w:rPr>
        <w:t xml:space="preserve">ies </w:t>
      </w:r>
      <w:r w:rsidR="00774A0A" w:rsidRPr="00D0419F">
        <w:rPr>
          <w:rFonts w:ascii="Times New Roman" w:hAnsi="Times New Roman" w:cs="Times New Roman"/>
        </w:rPr>
        <w:t xml:space="preserve">utilized to prepare data for the dashboard </w:t>
      </w:r>
      <w:r w:rsidR="00476B28" w:rsidRPr="00D0419F">
        <w:rPr>
          <w:rFonts w:ascii="Times New Roman" w:hAnsi="Times New Roman" w:cs="Times New Roman"/>
        </w:rPr>
        <w:t>can be found here..</w:t>
      </w:r>
    </w:p>
    <w:p w14:paraId="16C08112" w14:textId="675C6522" w:rsidR="00884F57" w:rsidRPr="00D0419F" w:rsidRDefault="00884F57" w:rsidP="00FE5AFE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An interactive Tableau dashboard can be downloaded ..</w:t>
      </w:r>
    </w:p>
    <w:p w14:paraId="65C5640E" w14:textId="1FE31FE4" w:rsidR="0029410E" w:rsidRPr="00D0419F" w:rsidRDefault="0048100C" w:rsidP="00D0419F">
      <w:pPr>
        <w:jc w:val="both"/>
        <w:rPr>
          <w:rFonts w:ascii="Times New Roman" w:hAnsi="Times New Roman" w:cs="Times New Roman"/>
          <w:b/>
          <w:bCs/>
        </w:rPr>
      </w:pPr>
      <w:r w:rsidRPr="00D0419F">
        <w:rPr>
          <w:rFonts w:ascii="Times New Roman" w:hAnsi="Times New Roman" w:cs="Times New Roman"/>
          <w:b/>
          <w:bCs/>
        </w:rPr>
        <w:t>Executive Summary</w:t>
      </w:r>
    </w:p>
    <w:p w14:paraId="439AACC7" w14:textId="0FF2D780" w:rsidR="0048100C" w:rsidRPr="00D0419F" w:rsidRDefault="0048100C" w:rsidP="00D0419F">
      <w:p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Overview of Findings</w:t>
      </w:r>
    </w:p>
    <w:p w14:paraId="677EE0E8" w14:textId="4979CDA6" w:rsidR="0048100C" w:rsidRPr="00D0419F" w:rsidRDefault="004E4C87" w:rsidP="00D0419F">
      <w:p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After peaking in 2008</w:t>
      </w:r>
      <w:r w:rsidR="00052314" w:rsidRPr="00D0419F">
        <w:rPr>
          <w:rFonts w:ascii="Times New Roman" w:hAnsi="Times New Roman" w:cs="Times New Roman"/>
        </w:rPr>
        <w:t xml:space="preserve">, the Agency’s </w:t>
      </w:r>
      <w:r w:rsidR="007204F4" w:rsidRPr="00D0419F">
        <w:rPr>
          <w:rFonts w:ascii="Times New Roman" w:hAnsi="Times New Roman" w:cs="Times New Roman"/>
        </w:rPr>
        <w:t xml:space="preserve">loan </w:t>
      </w:r>
      <w:r w:rsidR="00B94278" w:rsidRPr="00D0419F">
        <w:rPr>
          <w:rFonts w:ascii="Times New Roman" w:hAnsi="Times New Roman" w:cs="Times New Roman"/>
        </w:rPr>
        <w:t xml:space="preserve">sales </w:t>
      </w:r>
      <w:r w:rsidR="007204F4" w:rsidRPr="00D0419F">
        <w:rPr>
          <w:rFonts w:ascii="Times New Roman" w:hAnsi="Times New Roman" w:cs="Times New Roman"/>
        </w:rPr>
        <w:t xml:space="preserve">amount </w:t>
      </w:r>
      <w:r w:rsidR="00924CA7" w:rsidRPr="00D0419F">
        <w:rPr>
          <w:rFonts w:ascii="Times New Roman" w:hAnsi="Times New Roman" w:cs="Times New Roman"/>
        </w:rPr>
        <w:t>has</w:t>
      </w:r>
      <w:r w:rsidR="00E61F5F" w:rsidRPr="00D0419F">
        <w:rPr>
          <w:rFonts w:ascii="Times New Roman" w:hAnsi="Times New Roman" w:cs="Times New Roman"/>
        </w:rPr>
        <w:t xml:space="preserve"> been declining</w:t>
      </w:r>
      <w:r w:rsidR="001E79CD" w:rsidRPr="00D0419F">
        <w:rPr>
          <w:rFonts w:ascii="Times New Roman" w:hAnsi="Times New Roman" w:cs="Times New Roman"/>
        </w:rPr>
        <w:t xml:space="preserve">, with </w:t>
      </w:r>
      <w:r w:rsidR="00CD63B6" w:rsidRPr="00D0419F">
        <w:rPr>
          <w:rFonts w:ascii="Times New Roman" w:hAnsi="Times New Roman" w:cs="Times New Roman"/>
        </w:rPr>
        <w:t>a significant</w:t>
      </w:r>
      <w:r w:rsidR="001E79CD" w:rsidRPr="00D0419F">
        <w:rPr>
          <w:rFonts w:ascii="Times New Roman" w:hAnsi="Times New Roman" w:cs="Times New Roman"/>
        </w:rPr>
        <w:t xml:space="preserve"> drop </w:t>
      </w:r>
      <w:r w:rsidR="00C062A8" w:rsidRPr="00D0419F">
        <w:rPr>
          <w:rFonts w:ascii="Times New Roman" w:hAnsi="Times New Roman" w:cs="Times New Roman"/>
        </w:rPr>
        <w:t xml:space="preserve">of 65% </w:t>
      </w:r>
      <w:r w:rsidR="007B4524" w:rsidRPr="00D0419F">
        <w:rPr>
          <w:rFonts w:ascii="Times New Roman" w:hAnsi="Times New Roman" w:cs="Times New Roman"/>
        </w:rPr>
        <w:t>from</w:t>
      </w:r>
      <w:r w:rsidR="001E79CD" w:rsidRPr="00D0419F">
        <w:rPr>
          <w:rFonts w:ascii="Times New Roman" w:hAnsi="Times New Roman" w:cs="Times New Roman"/>
        </w:rPr>
        <w:t xml:space="preserve"> 2012 and 2014.</w:t>
      </w:r>
      <w:r w:rsidR="00692BBC" w:rsidRPr="00D0419F">
        <w:rPr>
          <w:rFonts w:ascii="Times New Roman" w:hAnsi="Times New Roman" w:cs="Times New Roman"/>
        </w:rPr>
        <w:t xml:space="preserve"> Key performance indicators </w:t>
      </w:r>
      <w:r w:rsidR="00621C52" w:rsidRPr="00D0419F">
        <w:rPr>
          <w:rFonts w:ascii="Times New Roman" w:hAnsi="Times New Roman" w:cs="Times New Roman"/>
        </w:rPr>
        <w:t xml:space="preserve">have all shown year-over-year decreases: Total loan amount by </w:t>
      </w:r>
      <w:r w:rsidR="00E26EE1" w:rsidRPr="00D0419F">
        <w:rPr>
          <w:rFonts w:ascii="Times New Roman" w:hAnsi="Times New Roman" w:cs="Times New Roman"/>
        </w:rPr>
        <w:t xml:space="preserve">22%, Loan-to-Value ratio by 23%, </w:t>
      </w:r>
      <w:r w:rsidR="00EF244B" w:rsidRPr="00D0419F">
        <w:rPr>
          <w:rFonts w:ascii="Times New Roman" w:hAnsi="Times New Roman" w:cs="Times New Roman"/>
        </w:rPr>
        <w:t>and down payment assistance loan amount by 17%</w:t>
      </w:r>
      <w:r w:rsidR="00FC3FEF" w:rsidRPr="00D0419F">
        <w:rPr>
          <w:rFonts w:ascii="Times New Roman" w:hAnsi="Times New Roman" w:cs="Times New Roman"/>
        </w:rPr>
        <w:t xml:space="preserve">. </w:t>
      </w:r>
      <w:r w:rsidR="00A45200" w:rsidRPr="00D0419F">
        <w:rPr>
          <w:rFonts w:ascii="Times New Roman" w:hAnsi="Times New Roman" w:cs="Times New Roman"/>
        </w:rPr>
        <w:t>While t</w:t>
      </w:r>
      <w:r w:rsidR="00425BA2" w:rsidRPr="00D0419F">
        <w:rPr>
          <w:rFonts w:ascii="Times New Roman" w:hAnsi="Times New Roman" w:cs="Times New Roman"/>
        </w:rPr>
        <w:t xml:space="preserve">his decline </w:t>
      </w:r>
      <w:r w:rsidR="0095641C" w:rsidRPr="00D0419F">
        <w:rPr>
          <w:rFonts w:ascii="Times New Roman" w:hAnsi="Times New Roman" w:cs="Times New Roman"/>
        </w:rPr>
        <w:t xml:space="preserve">could be a sign of </w:t>
      </w:r>
      <w:r w:rsidR="00D72CC5" w:rsidRPr="00D0419F">
        <w:rPr>
          <w:rFonts w:ascii="Times New Roman" w:hAnsi="Times New Roman" w:cs="Times New Roman"/>
        </w:rPr>
        <w:t>households</w:t>
      </w:r>
      <w:r w:rsidR="0095641C" w:rsidRPr="00D0419F">
        <w:rPr>
          <w:rFonts w:ascii="Times New Roman" w:hAnsi="Times New Roman" w:cs="Times New Roman"/>
        </w:rPr>
        <w:t xml:space="preserve"> </w:t>
      </w:r>
      <w:r w:rsidR="00CB2F92" w:rsidRPr="00D0419F">
        <w:rPr>
          <w:rFonts w:ascii="Times New Roman" w:hAnsi="Times New Roman" w:cs="Times New Roman"/>
        </w:rPr>
        <w:t>cannot</w:t>
      </w:r>
      <w:r w:rsidR="0095641C" w:rsidRPr="00D0419F">
        <w:rPr>
          <w:rFonts w:ascii="Times New Roman" w:hAnsi="Times New Roman" w:cs="Times New Roman"/>
        </w:rPr>
        <w:t xml:space="preserve"> afford to buy a property due to </w:t>
      </w:r>
      <w:r w:rsidR="008F5368" w:rsidRPr="00D0419F">
        <w:rPr>
          <w:rFonts w:ascii="Times New Roman" w:hAnsi="Times New Roman" w:cs="Times New Roman"/>
        </w:rPr>
        <w:t xml:space="preserve">a </w:t>
      </w:r>
      <w:r w:rsidR="00F0495D" w:rsidRPr="00D0419F">
        <w:rPr>
          <w:rFonts w:ascii="Times New Roman" w:hAnsi="Times New Roman" w:cs="Times New Roman"/>
        </w:rPr>
        <w:t xml:space="preserve">property </w:t>
      </w:r>
      <w:r w:rsidR="00FC3FEF" w:rsidRPr="00D0419F">
        <w:rPr>
          <w:rFonts w:ascii="Times New Roman" w:hAnsi="Times New Roman" w:cs="Times New Roman"/>
        </w:rPr>
        <w:t>value</w:t>
      </w:r>
      <w:r w:rsidR="008F5368" w:rsidRPr="00D0419F">
        <w:rPr>
          <w:rFonts w:ascii="Times New Roman" w:hAnsi="Times New Roman" w:cs="Times New Roman"/>
        </w:rPr>
        <w:t xml:space="preserve"> increase</w:t>
      </w:r>
      <w:r w:rsidR="003F768F">
        <w:rPr>
          <w:rFonts w:ascii="Times New Roman" w:hAnsi="Times New Roman" w:cs="Times New Roman"/>
        </w:rPr>
        <w:t xml:space="preserve"> or </w:t>
      </w:r>
      <w:r w:rsidR="00E2266E">
        <w:rPr>
          <w:rFonts w:ascii="Times New Roman" w:hAnsi="Times New Roman" w:cs="Times New Roman"/>
        </w:rPr>
        <w:t>lack of knowledge about down payment assistance program</w:t>
      </w:r>
      <w:r w:rsidR="00D72CC5" w:rsidRPr="00D0419F">
        <w:rPr>
          <w:rFonts w:ascii="Times New Roman" w:hAnsi="Times New Roman" w:cs="Times New Roman"/>
        </w:rPr>
        <w:t xml:space="preserve">, </w:t>
      </w:r>
      <w:r w:rsidR="007D4710" w:rsidRPr="00D0419F">
        <w:rPr>
          <w:rFonts w:ascii="Times New Roman" w:hAnsi="Times New Roman" w:cs="Times New Roman"/>
        </w:rPr>
        <w:t xml:space="preserve">the following sections will explore additional contributing </w:t>
      </w:r>
      <w:r w:rsidR="001B70DD" w:rsidRPr="00D0419F">
        <w:rPr>
          <w:rFonts w:ascii="Times New Roman" w:hAnsi="Times New Roman" w:cs="Times New Roman"/>
        </w:rPr>
        <w:t xml:space="preserve">factors and highlight key opportunities for improvement. </w:t>
      </w:r>
    </w:p>
    <w:p w14:paraId="2FC987EB" w14:textId="3CB089B3" w:rsidR="00CE24BA" w:rsidRPr="00D0419F" w:rsidRDefault="00CE24BA" w:rsidP="00D0419F">
      <w:p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Below is the overview page from the Tableau dashboard</w:t>
      </w:r>
      <w:r w:rsidR="00665A5C" w:rsidRPr="00D0419F">
        <w:rPr>
          <w:rFonts w:ascii="Times New Roman" w:hAnsi="Times New Roman" w:cs="Times New Roman"/>
        </w:rPr>
        <w:t xml:space="preserve"> and more examples are included throughout the report. The entire interactive dashboard can be downloaded …</w:t>
      </w:r>
    </w:p>
    <w:p w14:paraId="7F969B9D" w14:textId="621B06B2" w:rsidR="00BA689A" w:rsidRPr="00D0419F" w:rsidRDefault="00826D33" w:rsidP="00D0419F">
      <w:p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  <w:noProof/>
        </w:rPr>
        <w:drawing>
          <wp:inline distT="0" distB="0" distL="0" distR="0" wp14:anchorId="69184C48" wp14:editId="6DC98AAC">
            <wp:extent cx="6353175" cy="1752600"/>
            <wp:effectExtent l="0" t="0" r="9525" b="0"/>
            <wp:docPr id="2144915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92" cy="175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D37C" w14:textId="77777777" w:rsidR="00CB2F92" w:rsidRPr="00D0419F" w:rsidRDefault="00CB2F92" w:rsidP="00D0419F">
      <w:pPr>
        <w:jc w:val="both"/>
        <w:rPr>
          <w:rFonts w:ascii="Times New Roman" w:hAnsi="Times New Roman" w:cs="Times New Roman"/>
        </w:rPr>
      </w:pPr>
    </w:p>
    <w:p w14:paraId="054639ED" w14:textId="77777777" w:rsidR="008C54C8" w:rsidRPr="00D0419F" w:rsidRDefault="008C54C8" w:rsidP="00D0419F">
      <w:pPr>
        <w:jc w:val="both"/>
        <w:rPr>
          <w:rFonts w:ascii="Times New Roman" w:hAnsi="Times New Roman" w:cs="Times New Roman"/>
        </w:rPr>
      </w:pPr>
    </w:p>
    <w:p w14:paraId="2908C489" w14:textId="38121F35" w:rsidR="00310B14" w:rsidRPr="00D0419F" w:rsidRDefault="008C54C8" w:rsidP="00D0419F">
      <w:p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 xml:space="preserve">Sales trends: </w:t>
      </w:r>
    </w:p>
    <w:p w14:paraId="1EF5A9DC" w14:textId="39665275" w:rsidR="007074F1" w:rsidRPr="00D0419F" w:rsidRDefault="007074F1" w:rsidP="00D0419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 xml:space="preserve">The </w:t>
      </w:r>
      <w:r w:rsidR="004F6964" w:rsidRPr="00D0419F">
        <w:rPr>
          <w:rFonts w:ascii="Times New Roman" w:hAnsi="Times New Roman" w:cs="Times New Roman"/>
        </w:rPr>
        <w:t xml:space="preserve">trend in </w:t>
      </w:r>
      <w:r w:rsidRPr="00D0419F">
        <w:rPr>
          <w:rFonts w:ascii="Times New Roman" w:hAnsi="Times New Roman" w:cs="Times New Roman"/>
        </w:rPr>
        <w:t xml:space="preserve">loan amount </w:t>
      </w:r>
      <w:r w:rsidR="004F6964" w:rsidRPr="00D0419F">
        <w:rPr>
          <w:rFonts w:ascii="Times New Roman" w:hAnsi="Times New Roman" w:cs="Times New Roman"/>
        </w:rPr>
        <w:t>over the years shows continuous decline</w:t>
      </w:r>
      <w:r w:rsidR="009D791E" w:rsidRPr="00D0419F">
        <w:rPr>
          <w:rFonts w:ascii="Times New Roman" w:hAnsi="Times New Roman" w:cs="Times New Roman"/>
        </w:rPr>
        <w:t xml:space="preserve"> while property values </w:t>
      </w:r>
      <w:r w:rsidR="007A7EEE" w:rsidRPr="00D0419F">
        <w:rPr>
          <w:rFonts w:ascii="Times New Roman" w:hAnsi="Times New Roman" w:cs="Times New Roman"/>
        </w:rPr>
        <w:t xml:space="preserve">keep rising. </w:t>
      </w:r>
    </w:p>
    <w:p w14:paraId="0DA45A00" w14:textId="7D0E0C2A" w:rsidR="008C54C8" w:rsidRPr="00D0419F" w:rsidRDefault="00687321" w:rsidP="00D0419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There is a notable -22.90% decrease in total loan amounts year over year (YOY). This decline suggests a potential slowdown in mortgage sales or lending activity, possibly due to factors like rising interest rates, stricter lending requirements, or decreased demand in the housing market.</w:t>
      </w:r>
    </w:p>
    <w:p w14:paraId="10C39BCB" w14:textId="18A4EB89" w:rsidR="000D45DA" w:rsidRPr="000D45DA" w:rsidRDefault="000D45DA" w:rsidP="00D0419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45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LTV ratio has also dropped by -2</w:t>
      </w:r>
      <w:r w:rsidR="00602097" w:rsidRPr="00D0419F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0D45DA">
        <w:rPr>
          <w:rFonts w:ascii="Times New Roman" w:eastAsia="Times New Roman" w:hAnsi="Times New Roman" w:cs="Times New Roman"/>
          <w:kern w:val="0"/>
          <w14:ligatures w14:val="none"/>
        </w:rPr>
        <w:t>%</w:t>
      </w:r>
      <w:r w:rsidR="00602097" w:rsidRPr="00D0419F">
        <w:rPr>
          <w:rFonts w:ascii="Times New Roman" w:eastAsia="Times New Roman" w:hAnsi="Times New Roman" w:cs="Times New Roman"/>
          <w:kern w:val="0"/>
          <w14:ligatures w14:val="none"/>
        </w:rPr>
        <w:t xml:space="preserve"> compared to last year</w:t>
      </w:r>
      <w:r w:rsidRPr="000D45DA">
        <w:rPr>
          <w:rFonts w:ascii="Times New Roman" w:eastAsia="Times New Roman" w:hAnsi="Times New Roman" w:cs="Times New Roman"/>
          <w:kern w:val="0"/>
          <w14:ligatures w14:val="none"/>
        </w:rPr>
        <w:t>, meaning buyers may be borrowing less compared to the value of the properties they are purchasing. This could indicate tighter credit conditions or more conservative borrowing behavior.</w:t>
      </w:r>
    </w:p>
    <w:p w14:paraId="068DDD2B" w14:textId="60CCCDC8" w:rsidR="003C1686" w:rsidRPr="00D0419F" w:rsidRDefault="003C1686" w:rsidP="00D0419F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0419F">
        <w:rPr>
          <w:rFonts w:ascii="Times New Roman" w:eastAsia="Times New Roman" w:hAnsi="Times New Roman" w:cs="Times New Roman"/>
          <w:kern w:val="0"/>
          <w14:ligatures w14:val="none"/>
        </w:rPr>
        <w:t>The difference</w:t>
      </w:r>
      <w:r w:rsidR="00A875F2" w:rsidRPr="00D0419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D35D7" w:rsidRPr="00D0419F">
        <w:rPr>
          <w:rFonts w:ascii="Times New Roman" w:eastAsia="Times New Roman" w:hAnsi="Times New Roman" w:cs="Times New Roman"/>
          <w:kern w:val="0"/>
          <w14:ligatures w14:val="none"/>
        </w:rPr>
        <w:t>in</w:t>
      </w:r>
      <w:r w:rsidR="00A875F2" w:rsidRPr="00D0419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D48A4" w:rsidRPr="00D0419F">
        <w:rPr>
          <w:rFonts w:ascii="Times New Roman" w:eastAsia="Times New Roman" w:hAnsi="Times New Roman" w:cs="Times New Roman"/>
          <w:kern w:val="0"/>
          <w14:ligatures w14:val="none"/>
        </w:rPr>
        <w:t xml:space="preserve">loan amounts in </w:t>
      </w:r>
      <w:r w:rsidR="008D35D7" w:rsidRPr="00D0419F">
        <w:rPr>
          <w:rFonts w:ascii="Times New Roman" w:eastAsia="Times New Roman" w:hAnsi="Times New Roman" w:cs="Times New Roman"/>
          <w:kern w:val="0"/>
          <w14:ligatures w14:val="none"/>
        </w:rPr>
        <w:t>areas</w:t>
      </w:r>
      <w:r w:rsidR="003D48A4" w:rsidRPr="00D0419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0419F">
        <w:rPr>
          <w:rFonts w:ascii="Times New Roman" w:eastAsia="Times New Roman" w:hAnsi="Times New Roman" w:cs="Times New Roman"/>
          <w:kern w:val="0"/>
          <w14:ligatures w14:val="none"/>
        </w:rPr>
        <w:t>suggest regional variations in property sales, with certain areas possibly experiencing stronger demand for loans (and therefore more property sales) than others.</w:t>
      </w:r>
    </w:p>
    <w:p w14:paraId="107F3F64" w14:textId="308A222C" w:rsidR="00E13305" w:rsidRPr="00D0419F" w:rsidRDefault="00744AEB" w:rsidP="00D0419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The total CCAL/DPAL amount also shows a decline of -17.7%</w:t>
      </w:r>
      <w:r w:rsidR="00CC436E" w:rsidRPr="00D0419F">
        <w:rPr>
          <w:rFonts w:ascii="Times New Roman" w:hAnsi="Times New Roman" w:cs="Times New Roman"/>
        </w:rPr>
        <w:t xml:space="preserve"> from </w:t>
      </w:r>
      <w:r w:rsidR="00E878D1" w:rsidRPr="00D0419F">
        <w:rPr>
          <w:rFonts w:ascii="Times New Roman" w:hAnsi="Times New Roman" w:cs="Times New Roman"/>
        </w:rPr>
        <w:t>the previous</w:t>
      </w:r>
      <w:r w:rsidR="00CC436E" w:rsidRPr="00D0419F">
        <w:rPr>
          <w:rFonts w:ascii="Times New Roman" w:hAnsi="Times New Roman" w:cs="Times New Roman"/>
        </w:rPr>
        <w:t xml:space="preserve"> year</w:t>
      </w:r>
      <w:r w:rsidRPr="00D0419F">
        <w:rPr>
          <w:rFonts w:ascii="Times New Roman" w:hAnsi="Times New Roman" w:cs="Times New Roman"/>
        </w:rPr>
        <w:t>, which could suggest that fewer buyers are taking advantage of down payment assistance programs. However, certain counties have higher CCAL/DPAL amounts, potentially indicating stronger support or need for these programs in those areas.</w:t>
      </w:r>
    </w:p>
    <w:p w14:paraId="0338B11C" w14:textId="1230B9BF" w:rsidR="004C211C" w:rsidRPr="00D0419F" w:rsidRDefault="004C211C" w:rsidP="00D0419F">
      <w:p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Key Findings</w:t>
      </w:r>
    </w:p>
    <w:p w14:paraId="5FF35C58" w14:textId="1E30E7CC" w:rsidR="00E42D1D" w:rsidRPr="00D0419F" w:rsidRDefault="00E42D1D" w:rsidP="00D0419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0419F">
        <w:rPr>
          <w:rFonts w:ascii="Times New Roman" w:eastAsia="Times New Roman" w:hAnsi="Times New Roman" w:cs="Times New Roman"/>
          <w:kern w:val="0"/>
          <w14:ligatures w14:val="none"/>
        </w:rPr>
        <w:t xml:space="preserve">There </w:t>
      </w:r>
      <w:r w:rsidR="00D45FA8">
        <w:rPr>
          <w:rFonts w:ascii="Times New Roman" w:eastAsia="Times New Roman" w:hAnsi="Times New Roman" w:cs="Times New Roman"/>
          <w:kern w:val="0"/>
          <w14:ligatures w14:val="none"/>
        </w:rPr>
        <w:t xml:space="preserve">is </w:t>
      </w:r>
      <w:r w:rsidRPr="00D0419F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041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between loan amounts and property values</w:t>
      </w:r>
      <w:r w:rsidRPr="00D0419F">
        <w:rPr>
          <w:rFonts w:ascii="Times New Roman" w:eastAsia="Times New Roman" w:hAnsi="Times New Roman" w:cs="Times New Roman"/>
          <w:kern w:val="0"/>
          <w14:ligatures w14:val="none"/>
        </w:rPr>
        <w:t xml:space="preserve"> over time, though the divergence since around </w:t>
      </w:r>
      <w:r w:rsidRPr="00D041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2013</w:t>
      </w:r>
      <w:r w:rsidRPr="00D0419F">
        <w:rPr>
          <w:rFonts w:ascii="Times New Roman" w:eastAsia="Times New Roman" w:hAnsi="Times New Roman" w:cs="Times New Roman"/>
          <w:kern w:val="0"/>
          <w14:ligatures w14:val="none"/>
        </w:rPr>
        <w:t xml:space="preserve"> suggests that property values have remained high while loan amounts have decreased.</w:t>
      </w:r>
    </w:p>
    <w:p w14:paraId="3A79078E" w14:textId="5BC998AF" w:rsidR="00780787" w:rsidRPr="00780787" w:rsidRDefault="00780787" w:rsidP="00D0419F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8078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780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loan amount</w:t>
      </w:r>
      <w:r w:rsidR="00F37BC3" w:rsidRPr="00D041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2016 (current year)</w:t>
      </w:r>
      <w:r w:rsidRPr="00780787">
        <w:rPr>
          <w:rFonts w:ascii="Times New Roman" w:eastAsia="Times New Roman" w:hAnsi="Times New Roman" w:cs="Times New Roman"/>
          <w:kern w:val="0"/>
          <w14:ligatures w14:val="none"/>
        </w:rPr>
        <w:t xml:space="preserve"> stands at </w:t>
      </w:r>
      <w:r w:rsidRPr="00780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$184.8M</w:t>
      </w:r>
      <w:r w:rsidRPr="00780787">
        <w:rPr>
          <w:rFonts w:ascii="Times New Roman" w:eastAsia="Times New Roman" w:hAnsi="Times New Roman" w:cs="Times New Roman"/>
          <w:kern w:val="0"/>
          <w14:ligatures w14:val="none"/>
        </w:rPr>
        <w:t xml:space="preserve">, marking a notable </w:t>
      </w:r>
      <w:r w:rsidRPr="007807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-22.90% decline year-over-year (YOY)</w:t>
      </w:r>
      <w:r w:rsidRPr="00780787">
        <w:rPr>
          <w:rFonts w:ascii="Times New Roman" w:eastAsia="Times New Roman" w:hAnsi="Times New Roman" w:cs="Times New Roman"/>
          <w:kern w:val="0"/>
          <w14:ligatures w14:val="none"/>
        </w:rPr>
        <w:t>. This indicates a reduction in mortgage loan activity, potentially due to market conditions like higher interest rates or economic uncertainty.</w:t>
      </w:r>
    </w:p>
    <w:p w14:paraId="02AE6969" w14:textId="18C2E2AC" w:rsidR="00BB69EC" w:rsidRPr="00D0419F" w:rsidRDefault="0087716A" w:rsidP="00D0419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 xml:space="preserve">The total amount for </w:t>
      </w:r>
      <w:r w:rsidRPr="00D0419F">
        <w:rPr>
          <w:rFonts w:ascii="Times New Roman" w:hAnsi="Times New Roman" w:cs="Times New Roman"/>
          <w:b/>
          <w:bCs/>
        </w:rPr>
        <w:t>CCAL/DPAL</w:t>
      </w:r>
      <w:r w:rsidRPr="00D0419F">
        <w:rPr>
          <w:rFonts w:ascii="Times New Roman" w:hAnsi="Times New Roman" w:cs="Times New Roman"/>
        </w:rPr>
        <w:t xml:space="preserve"> (down payment assistance) is </w:t>
      </w:r>
      <w:r w:rsidRPr="00D0419F">
        <w:rPr>
          <w:rFonts w:ascii="Times New Roman" w:hAnsi="Times New Roman" w:cs="Times New Roman"/>
          <w:b/>
          <w:bCs/>
        </w:rPr>
        <w:t>$3.5M</w:t>
      </w:r>
      <w:r w:rsidRPr="00D0419F">
        <w:rPr>
          <w:rFonts w:ascii="Times New Roman" w:hAnsi="Times New Roman" w:cs="Times New Roman"/>
        </w:rPr>
        <w:t xml:space="preserve">, showing a </w:t>
      </w:r>
      <w:r w:rsidRPr="00D0419F">
        <w:rPr>
          <w:rFonts w:ascii="Times New Roman" w:hAnsi="Times New Roman" w:cs="Times New Roman"/>
          <w:b/>
          <w:bCs/>
        </w:rPr>
        <w:t>-17.7% YOY decline</w:t>
      </w:r>
      <w:r w:rsidRPr="00D0419F">
        <w:rPr>
          <w:rFonts w:ascii="Times New Roman" w:hAnsi="Times New Roman" w:cs="Times New Roman"/>
        </w:rPr>
        <w:t>. This decrease indicates lower engagement or availability of down payment assistance programs, potentially affecting first-time homebuyers who rely on these products.</w:t>
      </w:r>
    </w:p>
    <w:p w14:paraId="277D35A4" w14:textId="1476CE9B" w:rsidR="0087716A" w:rsidRPr="00D0419F" w:rsidRDefault="006D7B27" w:rsidP="00D0419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  <w:b/>
          <w:bCs/>
        </w:rPr>
        <w:t>Detached properties</w:t>
      </w:r>
      <w:r w:rsidRPr="00D0419F">
        <w:rPr>
          <w:rFonts w:ascii="Times New Roman" w:hAnsi="Times New Roman" w:cs="Times New Roman"/>
        </w:rPr>
        <w:t xml:space="preserve"> account for </w:t>
      </w:r>
      <w:r w:rsidRPr="00D0419F">
        <w:rPr>
          <w:rFonts w:ascii="Times New Roman" w:hAnsi="Times New Roman" w:cs="Times New Roman"/>
          <w:b/>
          <w:bCs/>
        </w:rPr>
        <w:t>78.41%</w:t>
      </w:r>
      <w:r w:rsidRPr="00D0419F">
        <w:rPr>
          <w:rFonts w:ascii="Times New Roman" w:hAnsi="Times New Roman" w:cs="Times New Roman"/>
        </w:rPr>
        <w:t xml:space="preserve"> of all loans, making them the dominant property type in the mortgage market. </w:t>
      </w:r>
      <w:r w:rsidRPr="00D0419F">
        <w:rPr>
          <w:rFonts w:ascii="Times New Roman" w:hAnsi="Times New Roman" w:cs="Times New Roman"/>
          <w:b/>
          <w:bCs/>
        </w:rPr>
        <w:t>Condominiums</w:t>
      </w:r>
      <w:r w:rsidRPr="00D0419F">
        <w:rPr>
          <w:rFonts w:ascii="Times New Roman" w:hAnsi="Times New Roman" w:cs="Times New Roman"/>
        </w:rPr>
        <w:t xml:space="preserve"> (11.67%) and </w:t>
      </w:r>
      <w:r w:rsidRPr="00D0419F">
        <w:rPr>
          <w:rFonts w:ascii="Times New Roman" w:hAnsi="Times New Roman" w:cs="Times New Roman"/>
          <w:b/>
          <w:bCs/>
        </w:rPr>
        <w:t>cooperatives</w:t>
      </w:r>
      <w:r w:rsidRPr="00D0419F">
        <w:rPr>
          <w:rFonts w:ascii="Times New Roman" w:hAnsi="Times New Roman" w:cs="Times New Roman"/>
        </w:rPr>
        <w:t xml:space="preserve"> (3.98%) represent smaller shares, with </w:t>
      </w:r>
      <w:r w:rsidRPr="00D0419F">
        <w:rPr>
          <w:rFonts w:ascii="Times New Roman" w:hAnsi="Times New Roman" w:cs="Times New Roman"/>
          <w:b/>
          <w:bCs/>
        </w:rPr>
        <w:t>manufactured homes</w:t>
      </w:r>
      <w:r w:rsidRPr="00D0419F">
        <w:rPr>
          <w:rFonts w:ascii="Times New Roman" w:hAnsi="Times New Roman" w:cs="Times New Roman"/>
        </w:rPr>
        <w:t xml:space="preserve"> at only </w:t>
      </w:r>
      <w:r w:rsidRPr="00D0419F">
        <w:rPr>
          <w:rFonts w:ascii="Times New Roman" w:hAnsi="Times New Roman" w:cs="Times New Roman"/>
          <w:b/>
          <w:bCs/>
        </w:rPr>
        <w:t>0.40%</w:t>
      </w:r>
      <w:r w:rsidRPr="00D0419F">
        <w:rPr>
          <w:rFonts w:ascii="Times New Roman" w:hAnsi="Times New Roman" w:cs="Times New Roman"/>
        </w:rPr>
        <w:t>.</w:t>
      </w:r>
    </w:p>
    <w:p w14:paraId="64A46FB3" w14:textId="6F9A65BB" w:rsidR="00BB69EC" w:rsidRPr="00D0419F" w:rsidRDefault="006D7B27" w:rsidP="00D0419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 xml:space="preserve">Loan distribution by county varies significantly. Some counties, such as those with </w:t>
      </w:r>
      <w:r w:rsidRPr="00D0419F">
        <w:rPr>
          <w:rFonts w:ascii="Times New Roman" w:hAnsi="Times New Roman" w:cs="Times New Roman"/>
          <w:b/>
          <w:bCs/>
        </w:rPr>
        <w:t>$188.1M</w:t>
      </w:r>
      <w:r w:rsidRPr="00D0419F">
        <w:rPr>
          <w:rFonts w:ascii="Times New Roman" w:hAnsi="Times New Roman" w:cs="Times New Roman"/>
        </w:rPr>
        <w:t xml:space="preserve"> and </w:t>
      </w:r>
      <w:r w:rsidRPr="00D0419F">
        <w:rPr>
          <w:rFonts w:ascii="Times New Roman" w:hAnsi="Times New Roman" w:cs="Times New Roman"/>
          <w:b/>
          <w:bCs/>
        </w:rPr>
        <w:t>$99.6M</w:t>
      </w:r>
      <w:r w:rsidRPr="00D0419F">
        <w:rPr>
          <w:rFonts w:ascii="Times New Roman" w:hAnsi="Times New Roman" w:cs="Times New Roman"/>
        </w:rPr>
        <w:t xml:space="preserve"> in loans, show strong activity, while others have much lower loan amounts, indicating that mortgage loan performance is geographically uneven.</w:t>
      </w:r>
    </w:p>
    <w:p w14:paraId="65C3AA75" w14:textId="68337983" w:rsidR="00C47D87" w:rsidRPr="00D0419F" w:rsidRDefault="00C47D87" w:rsidP="00D0419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 xml:space="preserve">The </w:t>
      </w:r>
      <w:r w:rsidRPr="00D0419F">
        <w:rPr>
          <w:rFonts w:ascii="Times New Roman" w:hAnsi="Times New Roman" w:cs="Times New Roman"/>
          <w:b/>
          <w:bCs/>
        </w:rPr>
        <w:t>CCAL/DPAL distribution</w:t>
      </w:r>
      <w:r w:rsidRPr="00D0419F">
        <w:rPr>
          <w:rFonts w:ascii="Times New Roman" w:hAnsi="Times New Roman" w:cs="Times New Roman"/>
        </w:rPr>
        <w:t xml:space="preserve"> varies widely by county, with some regions like the one having </w:t>
      </w:r>
      <w:r w:rsidRPr="00D0419F">
        <w:rPr>
          <w:rFonts w:ascii="Times New Roman" w:hAnsi="Times New Roman" w:cs="Times New Roman"/>
          <w:b/>
          <w:bCs/>
        </w:rPr>
        <w:t>$9.4M</w:t>
      </w:r>
      <w:r w:rsidRPr="00D0419F">
        <w:rPr>
          <w:rFonts w:ascii="Times New Roman" w:hAnsi="Times New Roman" w:cs="Times New Roman"/>
        </w:rPr>
        <w:t xml:space="preserve"> showing strong demand for down payment assistance programs. Other counties have lower engagement with these programs.</w:t>
      </w:r>
    </w:p>
    <w:p w14:paraId="5EC3389B" w14:textId="780EA387" w:rsidR="00372147" w:rsidRPr="00D0419F" w:rsidRDefault="00372147" w:rsidP="00D0419F">
      <w:p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Recommendations</w:t>
      </w:r>
    </w:p>
    <w:p w14:paraId="0D106C46" w14:textId="71364AA6" w:rsidR="0026770B" w:rsidRPr="00D0419F" w:rsidRDefault="00A03EA5" w:rsidP="00D041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  <w:b/>
          <w:bCs/>
        </w:rPr>
        <w:t>Launch region-specific marketing campaigns</w:t>
      </w:r>
      <w:r w:rsidRPr="00D0419F">
        <w:rPr>
          <w:rFonts w:ascii="Times New Roman" w:hAnsi="Times New Roman" w:cs="Times New Roman"/>
        </w:rPr>
        <w:t xml:space="preserve"> </w:t>
      </w:r>
    </w:p>
    <w:p w14:paraId="553D906A" w14:textId="64EE0268" w:rsidR="004A10ED" w:rsidRPr="00D0419F" w:rsidRDefault="00BB46D0" w:rsidP="00D0419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Utilize detailed market analysis and local data to understand the factors affecting regional disparities in loan product performance</w:t>
      </w:r>
    </w:p>
    <w:p w14:paraId="38C99BF4" w14:textId="77777777" w:rsidR="002D0B01" w:rsidRPr="00D0419F" w:rsidRDefault="000B5DDA" w:rsidP="00D0419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Offer incentives or tailored loan packages that meet the local economic conditions in these areas.</w:t>
      </w:r>
      <w:r w:rsidR="00712103" w:rsidRPr="00D0419F">
        <w:rPr>
          <w:rFonts w:ascii="Times New Roman" w:hAnsi="Times New Roman" w:cs="Times New Roman"/>
        </w:rPr>
        <w:t xml:space="preserve"> For instance, </w:t>
      </w:r>
      <w:r w:rsidR="00712103" w:rsidRPr="00D0419F">
        <w:rPr>
          <w:rFonts w:ascii="Times New Roman" w:hAnsi="Times New Roman" w:cs="Times New Roman"/>
        </w:rPr>
        <w:t>in counties with high property values, offer premium loan packages, while in lower-performing areas, provide incentives or flexible terms.</w:t>
      </w:r>
    </w:p>
    <w:p w14:paraId="745F0B0C" w14:textId="443B0CBB" w:rsidR="00B33D1F" w:rsidRPr="00D0419F" w:rsidRDefault="002D0B01" w:rsidP="00D0419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lastRenderedPageBreak/>
        <w:t>Conduct borrower education campaigns</w:t>
      </w:r>
      <w:r w:rsidRPr="00D0419F">
        <w:rPr>
          <w:rFonts w:ascii="Times New Roman" w:hAnsi="Times New Roman" w:cs="Times New Roman"/>
        </w:rPr>
        <w:t xml:space="preserve"> using</w:t>
      </w:r>
      <w:r w:rsidRPr="00D0419F">
        <w:rPr>
          <w:rFonts w:ascii="Times New Roman" w:hAnsi="Times New Roman" w:cs="Times New Roman"/>
        </w:rPr>
        <w:t xml:space="preserve"> educational workshops, online resources, and partnerships with financial advisors to guide potential homebuyers on how to maximize their loan opportunities.</w:t>
      </w:r>
    </w:p>
    <w:p w14:paraId="5F6AB378" w14:textId="77777777" w:rsidR="0032544F" w:rsidRPr="00D0419F" w:rsidRDefault="00E20F9A" w:rsidP="00D041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D0419F">
        <w:rPr>
          <w:rFonts w:ascii="Times New Roman" w:hAnsi="Times New Roman" w:cs="Times New Roman"/>
          <w:b/>
          <w:bCs/>
        </w:rPr>
        <w:t>Increase promotion of down payment assistance programs</w:t>
      </w:r>
    </w:p>
    <w:p w14:paraId="512CB1EC" w14:textId="37D157B3" w:rsidR="00045D87" w:rsidRPr="00D0419F" w:rsidRDefault="0032544F" w:rsidP="00D0419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P</w:t>
      </w:r>
      <w:r w:rsidR="00E20F9A" w:rsidRPr="00D0419F">
        <w:rPr>
          <w:rFonts w:ascii="Times New Roman" w:hAnsi="Times New Roman" w:cs="Times New Roman"/>
        </w:rPr>
        <w:t xml:space="preserve">artnership with real estate agents, financial advisors, and housing nonprofits. </w:t>
      </w:r>
    </w:p>
    <w:p w14:paraId="6CC016A4" w14:textId="66A52F5F" w:rsidR="00045D87" w:rsidRPr="00D0419F" w:rsidRDefault="00E20F9A" w:rsidP="00D0419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 xml:space="preserve">Simplify the application process to encourage more </w:t>
      </w:r>
      <w:r w:rsidR="00924578" w:rsidRPr="00D0419F">
        <w:rPr>
          <w:rFonts w:ascii="Times New Roman" w:hAnsi="Times New Roman" w:cs="Times New Roman"/>
        </w:rPr>
        <w:t>users</w:t>
      </w:r>
    </w:p>
    <w:p w14:paraId="65C7C99B" w14:textId="77777777" w:rsidR="005E18E6" w:rsidRPr="00D0419F" w:rsidRDefault="00045D87" w:rsidP="00D0419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C</w:t>
      </w:r>
      <w:r w:rsidR="00E20F9A" w:rsidRPr="00D0419F">
        <w:rPr>
          <w:rFonts w:ascii="Times New Roman" w:hAnsi="Times New Roman" w:cs="Times New Roman"/>
        </w:rPr>
        <w:t>onsider introducing new benefits to make the program more attractive</w:t>
      </w:r>
    </w:p>
    <w:p w14:paraId="5F067F83" w14:textId="4CA01111" w:rsidR="00E20F9A" w:rsidRPr="00D0419F" w:rsidRDefault="00E34551" w:rsidP="00D041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 xml:space="preserve">Consider developing niche loan products for property types </w:t>
      </w:r>
      <w:r w:rsidRPr="00D0419F">
        <w:rPr>
          <w:rFonts w:ascii="Times New Roman" w:hAnsi="Times New Roman" w:cs="Times New Roman"/>
        </w:rPr>
        <w:t xml:space="preserve">like </w:t>
      </w:r>
      <w:r w:rsidRPr="00D0419F">
        <w:rPr>
          <w:rFonts w:ascii="Times New Roman" w:hAnsi="Times New Roman" w:cs="Times New Roman"/>
        </w:rPr>
        <w:t>condominiums</w:t>
      </w:r>
      <w:r w:rsidRPr="00D0419F">
        <w:rPr>
          <w:rFonts w:ascii="Times New Roman" w:hAnsi="Times New Roman" w:cs="Times New Roman"/>
        </w:rPr>
        <w:t xml:space="preserve"> and </w:t>
      </w:r>
      <w:r w:rsidRPr="00D0419F">
        <w:rPr>
          <w:rFonts w:ascii="Times New Roman" w:hAnsi="Times New Roman" w:cs="Times New Roman"/>
        </w:rPr>
        <w:t>cooperatives</w:t>
      </w:r>
      <w:r w:rsidRPr="00D0419F">
        <w:rPr>
          <w:rFonts w:ascii="Times New Roman" w:hAnsi="Times New Roman" w:cs="Times New Roman"/>
        </w:rPr>
        <w:t xml:space="preserve"> </w:t>
      </w:r>
      <w:r w:rsidRPr="00D0419F">
        <w:rPr>
          <w:rFonts w:ascii="Times New Roman" w:hAnsi="Times New Roman" w:cs="Times New Roman"/>
        </w:rPr>
        <w:t>to diversify the portfolio and cater to growing urban markets.</w:t>
      </w:r>
    </w:p>
    <w:p w14:paraId="77DB40D3" w14:textId="77777777" w:rsidR="00293CE5" w:rsidRPr="00D0419F" w:rsidRDefault="006A4631" w:rsidP="00D041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  <w:b/>
          <w:bCs/>
        </w:rPr>
        <w:t>Reevaluate loan terms to potentially increase the maximum LTV ratio</w:t>
      </w:r>
      <w:r w:rsidRPr="00D0419F">
        <w:rPr>
          <w:rFonts w:ascii="Times New Roman" w:hAnsi="Times New Roman" w:cs="Times New Roman"/>
        </w:rPr>
        <w:t xml:space="preserve"> for qualified buyers, making loans more accessible and affordable. </w:t>
      </w:r>
    </w:p>
    <w:p w14:paraId="3F2D54C7" w14:textId="59178F24" w:rsidR="00E34551" w:rsidRPr="00D0419F" w:rsidRDefault="006A4631" w:rsidP="00D0419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Consider offering additional incentives for borrowers with strong credit histories, such as lower interest rates or relaxed down payment requirements.</w:t>
      </w:r>
    </w:p>
    <w:p w14:paraId="6A420035" w14:textId="3F580AAA" w:rsidR="006A4631" w:rsidRPr="00D0419F" w:rsidRDefault="00395709" w:rsidP="00D0419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D0419F">
        <w:rPr>
          <w:rFonts w:ascii="Times New Roman" w:hAnsi="Times New Roman" w:cs="Times New Roman"/>
        </w:rPr>
        <w:t>Review lending policies to ensure they match current property values. Adjust maximum loan amounts or loan-to-value ratios to better reflect property price growth, enabling borrowers to take on higher loans that align with their property purchases.</w:t>
      </w:r>
    </w:p>
    <w:p w14:paraId="31809E33" w14:textId="2970C0AD" w:rsidR="00993ABA" w:rsidRPr="00D0419F" w:rsidRDefault="00993ABA" w:rsidP="00D0419F">
      <w:pPr>
        <w:pStyle w:val="ListParagraph"/>
        <w:jc w:val="both"/>
        <w:rPr>
          <w:rFonts w:ascii="Times New Roman" w:hAnsi="Times New Roman" w:cs="Times New Roman"/>
        </w:rPr>
      </w:pPr>
    </w:p>
    <w:sectPr w:rsidR="00993ABA" w:rsidRPr="00D0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E0D2E"/>
    <w:multiLevelType w:val="multilevel"/>
    <w:tmpl w:val="B334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50225"/>
    <w:multiLevelType w:val="multilevel"/>
    <w:tmpl w:val="ECF0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A43EF"/>
    <w:multiLevelType w:val="multilevel"/>
    <w:tmpl w:val="BB7E8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F1536"/>
    <w:multiLevelType w:val="multilevel"/>
    <w:tmpl w:val="E49E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11C48"/>
    <w:multiLevelType w:val="hybridMultilevel"/>
    <w:tmpl w:val="515A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E6C16"/>
    <w:multiLevelType w:val="multilevel"/>
    <w:tmpl w:val="C2DC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B56EB"/>
    <w:multiLevelType w:val="multilevel"/>
    <w:tmpl w:val="9FFC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D62D5"/>
    <w:multiLevelType w:val="hybridMultilevel"/>
    <w:tmpl w:val="FE2C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B2D60"/>
    <w:multiLevelType w:val="hybridMultilevel"/>
    <w:tmpl w:val="AC12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96597"/>
    <w:multiLevelType w:val="hybridMultilevel"/>
    <w:tmpl w:val="594E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E6774"/>
    <w:multiLevelType w:val="hybridMultilevel"/>
    <w:tmpl w:val="3D20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A61C3"/>
    <w:multiLevelType w:val="multilevel"/>
    <w:tmpl w:val="8696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E64B6"/>
    <w:multiLevelType w:val="hybridMultilevel"/>
    <w:tmpl w:val="095C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466B8"/>
    <w:multiLevelType w:val="hybridMultilevel"/>
    <w:tmpl w:val="BA2C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96FAD"/>
    <w:multiLevelType w:val="multilevel"/>
    <w:tmpl w:val="3384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6576A"/>
    <w:multiLevelType w:val="multilevel"/>
    <w:tmpl w:val="9F9E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794C5A"/>
    <w:multiLevelType w:val="multilevel"/>
    <w:tmpl w:val="9C2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15EB1"/>
    <w:multiLevelType w:val="multilevel"/>
    <w:tmpl w:val="C89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3612A"/>
    <w:multiLevelType w:val="hybridMultilevel"/>
    <w:tmpl w:val="89B6A4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923B4C"/>
    <w:multiLevelType w:val="hybridMultilevel"/>
    <w:tmpl w:val="1A16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05BCC"/>
    <w:multiLevelType w:val="multilevel"/>
    <w:tmpl w:val="D5DE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32765"/>
    <w:multiLevelType w:val="multilevel"/>
    <w:tmpl w:val="12EC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418931">
    <w:abstractNumId w:val="14"/>
  </w:num>
  <w:num w:numId="2" w16cid:durableId="803962575">
    <w:abstractNumId w:val="16"/>
  </w:num>
  <w:num w:numId="3" w16cid:durableId="609512438">
    <w:abstractNumId w:val="1"/>
  </w:num>
  <w:num w:numId="4" w16cid:durableId="1933780969">
    <w:abstractNumId w:val="0"/>
  </w:num>
  <w:num w:numId="5" w16cid:durableId="982351801">
    <w:abstractNumId w:val="15"/>
  </w:num>
  <w:num w:numId="6" w16cid:durableId="812987566">
    <w:abstractNumId w:val="5"/>
  </w:num>
  <w:num w:numId="7" w16cid:durableId="1636721322">
    <w:abstractNumId w:val="2"/>
  </w:num>
  <w:num w:numId="8" w16cid:durableId="414597337">
    <w:abstractNumId w:val="6"/>
  </w:num>
  <w:num w:numId="9" w16cid:durableId="541404790">
    <w:abstractNumId w:val="4"/>
  </w:num>
  <w:num w:numId="10" w16cid:durableId="112675412">
    <w:abstractNumId w:val="10"/>
  </w:num>
  <w:num w:numId="11" w16cid:durableId="1289703690">
    <w:abstractNumId w:val="7"/>
  </w:num>
  <w:num w:numId="12" w16cid:durableId="1377392143">
    <w:abstractNumId w:val="8"/>
  </w:num>
  <w:num w:numId="13" w16cid:durableId="2106994119">
    <w:abstractNumId w:val="18"/>
  </w:num>
  <w:num w:numId="14" w16cid:durableId="1423644430">
    <w:abstractNumId w:val="20"/>
  </w:num>
  <w:num w:numId="15" w16cid:durableId="284432674">
    <w:abstractNumId w:val="19"/>
  </w:num>
  <w:num w:numId="16" w16cid:durableId="137496628">
    <w:abstractNumId w:val="17"/>
  </w:num>
  <w:num w:numId="17" w16cid:durableId="1123427331">
    <w:abstractNumId w:val="9"/>
  </w:num>
  <w:num w:numId="18" w16cid:durableId="1884052872">
    <w:abstractNumId w:val="21"/>
  </w:num>
  <w:num w:numId="19" w16cid:durableId="407507112">
    <w:abstractNumId w:val="3"/>
  </w:num>
  <w:num w:numId="20" w16cid:durableId="1453553413">
    <w:abstractNumId w:val="13"/>
  </w:num>
  <w:num w:numId="21" w16cid:durableId="2060085569">
    <w:abstractNumId w:val="12"/>
  </w:num>
  <w:num w:numId="22" w16cid:durableId="8869158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32"/>
    <w:rsid w:val="000233F1"/>
    <w:rsid w:val="00033D75"/>
    <w:rsid w:val="00045D87"/>
    <w:rsid w:val="00052314"/>
    <w:rsid w:val="00061935"/>
    <w:rsid w:val="000721D6"/>
    <w:rsid w:val="000A08BE"/>
    <w:rsid w:val="000B4528"/>
    <w:rsid w:val="000B5DDA"/>
    <w:rsid w:val="000B6D7F"/>
    <w:rsid w:val="000C5249"/>
    <w:rsid w:val="000D45DA"/>
    <w:rsid w:val="000E177C"/>
    <w:rsid w:val="000E6EED"/>
    <w:rsid w:val="001232C5"/>
    <w:rsid w:val="001349B2"/>
    <w:rsid w:val="00136BBA"/>
    <w:rsid w:val="00137431"/>
    <w:rsid w:val="001447EB"/>
    <w:rsid w:val="00155C32"/>
    <w:rsid w:val="001567C2"/>
    <w:rsid w:val="00173D47"/>
    <w:rsid w:val="001B6257"/>
    <w:rsid w:val="001B70DD"/>
    <w:rsid w:val="001C627E"/>
    <w:rsid w:val="001D40F2"/>
    <w:rsid w:val="001E79CD"/>
    <w:rsid w:val="001F54F8"/>
    <w:rsid w:val="001F6EBE"/>
    <w:rsid w:val="00204188"/>
    <w:rsid w:val="00205913"/>
    <w:rsid w:val="002120A0"/>
    <w:rsid w:val="0022335E"/>
    <w:rsid w:val="00244479"/>
    <w:rsid w:val="0026770B"/>
    <w:rsid w:val="00272442"/>
    <w:rsid w:val="00280F28"/>
    <w:rsid w:val="0029181C"/>
    <w:rsid w:val="00293CE5"/>
    <w:rsid w:val="0029410E"/>
    <w:rsid w:val="002A2CA1"/>
    <w:rsid w:val="002B3CF1"/>
    <w:rsid w:val="002C045E"/>
    <w:rsid w:val="002D0B01"/>
    <w:rsid w:val="002E78F8"/>
    <w:rsid w:val="002F39CA"/>
    <w:rsid w:val="00302CD7"/>
    <w:rsid w:val="00307DEB"/>
    <w:rsid w:val="00310B14"/>
    <w:rsid w:val="0032544F"/>
    <w:rsid w:val="00347F59"/>
    <w:rsid w:val="0035259D"/>
    <w:rsid w:val="00361892"/>
    <w:rsid w:val="00371F8B"/>
    <w:rsid w:val="00372147"/>
    <w:rsid w:val="00382DD4"/>
    <w:rsid w:val="00393247"/>
    <w:rsid w:val="00395709"/>
    <w:rsid w:val="00396A2E"/>
    <w:rsid w:val="003A5FF7"/>
    <w:rsid w:val="003C1686"/>
    <w:rsid w:val="003C567A"/>
    <w:rsid w:val="003D2AC0"/>
    <w:rsid w:val="003D48A4"/>
    <w:rsid w:val="003E6F86"/>
    <w:rsid w:val="003F768F"/>
    <w:rsid w:val="00425BA2"/>
    <w:rsid w:val="00426D51"/>
    <w:rsid w:val="00431591"/>
    <w:rsid w:val="004530E2"/>
    <w:rsid w:val="004648FF"/>
    <w:rsid w:val="00476B28"/>
    <w:rsid w:val="0047792F"/>
    <w:rsid w:val="0048100C"/>
    <w:rsid w:val="004A10ED"/>
    <w:rsid w:val="004C211C"/>
    <w:rsid w:val="004C3CDF"/>
    <w:rsid w:val="004E074D"/>
    <w:rsid w:val="004E4C87"/>
    <w:rsid w:val="004E7B01"/>
    <w:rsid w:val="004F6964"/>
    <w:rsid w:val="00502AC4"/>
    <w:rsid w:val="00503D02"/>
    <w:rsid w:val="00514D4B"/>
    <w:rsid w:val="0051526C"/>
    <w:rsid w:val="00537B74"/>
    <w:rsid w:val="0056049D"/>
    <w:rsid w:val="005A6CB7"/>
    <w:rsid w:val="005B0530"/>
    <w:rsid w:val="005D5C65"/>
    <w:rsid w:val="005E18E6"/>
    <w:rsid w:val="00602097"/>
    <w:rsid w:val="0061284F"/>
    <w:rsid w:val="00621C52"/>
    <w:rsid w:val="0063744A"/>
    <w:rsid w:val="006511EE"/>
    <w:rsid w:val="006513A0"/>
    <w:rsid w:val="006547B3"/>
    <w:rsid w:val="00665A5C"/>
    <w:rsid w:val="00687321"/>
    <w:rsid w:val="00692BBC"/>
    <w:rsid w:val="006A4631"/>
    <w:rsid w:val="006B56C5"/>
    <w:rsid w:val="006C51A5"/>
    <w:rsid w:val="006D34E1"/>
    <w:rsid w:val="006D6820"/>
    <w:rsid w:val="006D7B27"/>
    <w:rsid w:val="006E1093"/>
    <w:rsid w:val="006E4FF6"/>
    <w:rsid w:val="006F49D7"/>
    <w:rsid w:val="007074F1"/>
    <w:rsid w:val="00712103"/>
    <w:rsid w:val="007204F4"/>
    <w:rsid w:val="00744AEB"/>
    <w:rsid w:val="007468EF"/>
    <w:rsid w:val="00747851"/>
    <w:rsid w:val="007541FE"/>
    <w:rsid w:val="0075705D"/>
    <w:rsid w:val="00762A35"/>
    <w:rsid w:val="00774A0A"/>
    <w:rsid w:val="00775CB9"/>
    <w:rsid w:val="00780787"/>
    <w:rsid w:val="00787DE1"/>
    <w:rsid w:val="00796232"/>
    <w:rsid w:val="007A7EEE"/>
    <w:rsid w:val="007B4524"/>
    <w:rsid w:val="007D323D"/>
    <w:rsid w:val="007D4710"/>
    <w:rsid w:val="007E09A0"/>
    <w:rsid w:val="00801271"/>
    <w:rsid w:val="0081006E"/>
    <w:rsid w:val="008120B2"/>
    <w:rsid w:val="0082669D"/>
    <w:rsid w:val="00826D33"/>
    <w:rsid w:val="0084750A"/>
    <w:rsid w:val="00872E85"/>
    <w:rsid w:val="0087716A"/>
    <w:rsid w:val="00884F57"/>
    <w:rsid w:val="008904EF"/>
    <w:rsid w:val="008B420D"/>
    <w:rsid w:val="008C54C8"/>
    <w:rsid w:val="008D35D7"/>
    <w:rsid w:val="008F1412"/>
    <w:rsid w:val="008F5368"/>
    <w:rsid w:val="00910373"/>
    <w:rsid w:val="0091056D"/>
    <w:rsid w:val="00924578"/>
    <w:rsid w:val="00924CA7"/>
    <w:rsid w:val="0094243A"/>
    <w:rsid w:val="0095641C"/>
    <w:rsid w:val="00971981"/>
    <w:rsid w:val="00975D84"/>
    <w:rsid w:val="00993ABA"/>
    <w:rsid w:val="009A77B7"/>
    <w:rsid w:val="009C3058"/>
    <w:rsid w:val="009C42EF"/>
    <w:rsid w:val="009D791E"/>
    <w:rsid w:val="009E1C04"/>
    <w:rsid w:val="009E24F9"/>
    <w:rsid w:val="009E444E"/>
    <w:rsid w:val="00A03EA5"/>
    <w:rsid w:val="00A054BC"/>
    <w:rsid w:val="00A20F9A"/>
    <w:rsid w:val="00A37CEC"/>
    <w:rsid w:val="00A45200"/>
    <w:rsid w:val="00A52E26"/>
    <w:rsid w:val="00A875F2"/>
    <w:rsid w:val="00A93231"/>
    <w:rsid w:val="00A961B4"/>
    <w:rsid w:val="00AB1774"/>
    <w:rsid w:val="00AB62A5"/>
    <w:rsid w:val="00AB79EB"/>
    <w:rsid w:val="00AD00D8"/>
    <w:rsid w:val="00AE1C06"/>
    <w:rsid w:val="00AE5374"/>
    <w:rsid w:val="00AF1E00"/>
    <w:rsid w:val="00B16AE7"/>
    <w:rsid w:val="00B3359E"/>
    <w:rsid w:val="00B33D1F"/>
    <w:rsid w:val="00B94278"/>
    <w:rsid w:val="00BA689A"/>
    <w:rsid w:val="00BB46D0"/>
    <w:rsid w:val="00BB69EC"/>
    <w:rsid w:val="00BC4CE7"/>
    <w:rsid w:val="00BD7177"/>
    <w:rsid w:val="00C062A8"/>
    <w:rsid w:val="00C223C8"/>
    <w:rsid w:val="00C307D5"/>
    <w:rsid w:val="00C31F81"/>
    <w:rsid w:val="00C35EC2"/>
    <w:rsid w:val="00C44B56"/>
    <w:rsid w:val="00C47D87"/>
    <w:rsid w:val="00C779F7"/>
    <w:rsid w:val="00C97C9E"/>
    <w:rsid w:val="00CB2F92"/>
    <w:rsid w:val="00CC436E"/>
    <w:rsid w:val="00CD26A6"/>
    <w:rsid w:val="00CD63B6"/>
    <w:rsid w:val="00CE24BA"/>
    <w:rsid w:val="00D0419F"/>
    <w:rsid w:val="00D14FE2"/>
    <w:rsid w:val="00D37DEA"/>
    <w:rsid w:val="00D45FA8"/>
    <w:rsid w:val="00D72CC5"/>
    <w:rsid w:val="00D7521D"/>
    <w:rsid w:val="00D75AA9"/>
    <w:rsid w:val="00D767E6"/>
    <w:rsid w:val="00DB2FF2"/>
    <w:rsid w:val="00DB326A"/>
    <w:rsid w:val="00DD56B7"/>
    <w:rsid w:val="00DF4D77"/>
    <w:rsid w:val="00E13305"/>
    <w:rsid w:val="00E13FA9"/>
    <w:rsid w:val="00E20F9A"/>
    <w:rsid w:val="00E216FE"/>
    <w:rsid w:val="00E2266E"/>
    <w:rsid w:val="00E22A18"/>
    <w:rsid w:val="00E26EE1"/>
    <w:rsid w:val="00E32A75"/>
    <w:rsid w:val="00E3413C"/>
    <w:rsid w:val="00E34551"/>
    <w:rsid w:val="00E42D1D"/>
    <w:rsid w:val="00E51E1B"/>
    <w:rsid w:val="00E61F5F"/>
    <w:rsid w:val="00E878D1"/>
    <w:rsid w:val="00EA5EA5"/>
    <w:rsid w:val="00EC32F3"/>
    <w:rsid w:val="00EE1B70"/>
    <w:rsid w:val="00EF244B"/>
    <w:rsid w:val="00F01E50"/>
    <w:rsid w:val="00F02BEA"/>
    <w:rsid w:val="00F04729"/>
    <w:rsid w:val="00F0495D"/>
    <w:rsid w:val="00F37BC3"/>
    <w:rsid w:val="00F41DCC"/>
    <w:rsid w:val="00F5240A"/>
    <w:rsid w:val="00F636F0"/>
    <w:rsid w:val="00FB6C6A"/>
    <w:rsid w:val="00FC3FEF"/>
    <w:rsid w:val="00FD1B38"/>
    <w:rsid w:val="00FE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12B3"/>
  <w15:chartTrackingRefBased/>
  <w15:docId w15:val="{C986C8E6-40CC-4B67-A8C6-A10B2AC4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374"/>
  </w:style>
  <w:style w:type="paragraph" w:styleId="Heading1">
    <w:name w:val="heading 1"/>
    <w:basedOn w:val="Normal"/>
    <w:next w:val="Normal"/>
    <w:link w:val="Heading1Char"/>
    <w:uiPriority w:val="9"/>
    <w:qFormat/>
    <w:rsid w:val="00155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E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5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4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4286</TotalTime>
  <Pages>4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Tsatsral Ganzorig</dc:creator>
  <cp:keywords/>
  <dc:description/>
  <cp:lastModifiedBy>Tsatsral Ganzorig</cp:lastModifiedBy>
  <cp:revision>237</cp:revision>
  <dcterms:created xsi:type="dcterms:W3CDTF">2024-08-27T23:41:00Z</dcterms:created>
  <dcterms:modified xsi:type="dcterms:W3CDTF">2024-10-06T19:02:00Z</dcterms:modified>
</cp:coreProperties>
</file>