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cgktbq9z53z" w:id="0"/>
      <w:bookmarkEnd w:id="0"/>
      <w:r w:rsidDel="00000000" w:rsidR="00000000" w:rsidRPr="00000000">
        <w:rPr>
          <w:rtl w:val="0"/>
        </w:rPr>
        <w:t xml:space="preserve">Nemosyne Flagship Study Protocol — "Find the Fraud"</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DRAFT skeleton. Fill in and freeze before Gate 6 rehearsal; version this file via </w:t>
      </w:r>
      <w:r w:rsidDel="00000000" w:rsidR="00000000" w:rsidRPr="00000000">
        <w:rPr>
          <w:rFonts w:ascii="Roboto Mono" w:cs="Roboto Mono" w:eastAsia="Roboto Mono" w:hAnsi="Roboto Mono"/>
          <w:color w:val="188038"/>
          <w:rtl w:val="0"/>
        </w:rPr>
        <w:t xml:space="preserve">version.json</w:t>
      </w:r>
      <w:r w:rsidDel="00000000" w:rsidR="00000000" w:rsidRPr="00000000">
        <w:rPr>
          <w:rtl w:val="0"/>
        </w:rPr>
        <w:t xml:space="preserve">, not by editing it after the study starts.</w:t>
      </w:r>
    </w:p>
    <w:p w:rsidR="00000000" w:rsidDel="00000000" w:rsidP="00000000" w:rsidRDefault="00000000" w:rsidRPr="00000000" w14:paraId="00000003">
      <w:pPr>
        <w:pStyle w:val="Heading2"/>
        <w:rPr/>
      </w:pPr>
      <w:bookmarkStart w:colFirst="0" w:colLast="0" w:name="_ux1xd7xj5gg9" w:id="1"/>
      <w:bookmarkEnd w:id="1"/>
      <w:r w:rsidDel="00000000" w:rsidR="00000000" w:rsidRPr="00000000">
        <w:rPr>
          <w:rtl w:val="0"/>
        </w:rPr>
        <w:t xml:space="preserve">Core hypothesis under test</w:t>
      </w:r>
    </w:p>
    <w:p w:rsidR="00000000" w:rsidDel="00000000" w:rsidP="00000000" w:rsidRDefault="00000000" w:rsidRPr="00000000" w14:paraId="00000004">
      <w:pPr>
        <w:rPr/>
      </w:pPr>
      <w:r w:rsidDel="00000000" w:rsidR="00000000" w:rsidRPr="00000000">
        <w:rPr>
          <w:rtl w:val="0"/>
        </w:rPr>
        <w:t xml:space="preserve">For defined analytical tasks involving relationships and multidimensional structure, spatial representation and embodied interaction can improve human discovery and understanding compared with conventional 2D representation, without unacceptable costs in precision, workload, navigation, or comfort.</w:t>
      </w:r>
    </w:p>
    <w:p w:rsidR="00000000" w:rsidDel="00000000" w:rsidP="00000000" w:rsidRDefault="00000000" w:rsidRPr="00000000" w14:paraId="00000005">
      <w:pPr>
        <w:pStyle w:val="Heading2"/>
        <w:rPr/>
      </w:pPr>
      <w:bookmarkStart w:colFirst="0" w:colLast="0" w:name="_yui6waiyvhlf" w:id="2"/>
      <w:bookmarkEnd w:id="2"/>
      <w:r w:rsidDel="00000000" w:rsidR="00000000" w:rsidRPr="00000000">
        <w:rPr>
          <w:rtl w:val="0"/>
        </w:rPr>
        <w:t xml:space="preserve">Conditions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2D</w:t>
      </w:r>
      <w:r w:rsidDel="00000000" w:rsidR="00000000" w:rsidRPr="00000000">
        <w:rPr>
          <w:rtl w:val="0"/>
        </w:rPr>
        <w:t xml:space="preserve"> — canonical 2D control (see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scoring.json</w:t>
      </w:r>
      <w:r w:rsidDel="00000000" w:rsidR="00000000" w:rsidRPr="00000000">
        <w:rPr>
          <w:rtl w:val="0"/>
        </w:rPr>
        <w:t xml:space="preserve">; same dataset, task wording, and scoring rubric as the other two conditions, per Stable Release Gate 5)</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Desktop-3D</w:t>
      </w:r>
      <w:r w:rsidDel="00000000" w:rsidR="00000000" w:rsidRPr="00000000">
        <w:rPr>
          <w:rtl w:val="0"/>
        </w:rPr>
        <w:t xml:space="preserve"> — Nemosyne, non-VR desktop rendering path</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VR-3D</w:t>
      </w:r>
      <w:r w:rsidDel="00000000" w:rsidR="00000000" w:rsidRPr="00000000">
        <w:rPr>
          <w:rtl w:val="0"/>
        </w:rPr>
        <w:t xml:space="preserve"> — Nemosyne, WebXR/headset path</w:t>
      </w:r>
    </w:p>
    <w:p w:rsidR="00000000" w:rsidDel="00000000" w:rsidP="00000000" w:rsidRDefault="00000000" w:rsidRPr="00000000" w14:paraId="00000009">
      <w:pPr>
        <w:pStyle w:val="Heading2"/>
        <w:rPr/>
      </w:pPr>
      <w:bookmarkStart w:colFirst="0" w:colLast="0" w:name="_d0dcm11dbrut" w:id="3"/>
      <w:bookmarkEnd w:id="3"/>
      <w:r w:rsidDel="00000000" w:rsidR="00000000" w:rsidRPr="00000000">
        <w:rPr>
          <w:rtl w:val="0"/>
        </w:rPr>
        <w:t xml:space="preserve">Task</w:t>
      </w:r>
    </w:p>
    <w:p w:rsidR="00000000" w:rsidDel="00000000" w:rsidP="00000000" w:rsidRDefault="00000000" w:rsidRPr="00000000" w14:paraId="0000000A">
      <w:pPr>
        <w:rPr/>
      </w:pPr>
      <w:r w:rsidDel="00000000" w:rsidR="00000000" w:rsidRPr="00000000">
        <w:rPr>
          <w:rtl w:val="0"/>
        </w:rPr>
        <w:t xml:space="preserve">Fraud-01 (see </w:t>
      </w:r>
      <w:r w:rsidDel="00000000" w:rsidR="00000000" w:rsidRPr="00000000">
        <w:rPr>
          <w:rFonts w:ascii="Roboto Mono" w:cs="Roboto Mono" w:eastAsia="Roboto Mono" w:hAnsi="Roboto Mono"/>
          <w:color w:val="188038"/>
          <w:rtl w:val="0"/>
        </w:rPr>
        <w:t xml:space="preserve">tasks.json</w:t>
      </w:r>
      <w:r w:rsidDel="00000000" w:rsidR="00000000" w:rsidRPr="00000000">
        <w:rPr>
          <w:rtl w:val="0"/>
        </w:rPr>
        <w:t xml:space="preserve"> for the machine-readable version). Participant is given a transaction dataset and asked to identify the anomalous/fraudulent node(s), using whichever representation and operations the condition provides (Compare is available in all three conditions in equivalent form — verify this before freezing the protocol).</w:t>
      </w:r>
    </w:p>
    <w:p w:rsidR="00000000" w:rsidDel="00000000" w:rsidP="00000000" w:rsidRDefault="00000000" w:rsidRPr="00000000" w14:paraId="0000000B">
      <w:pPr>
        <w:pStyle w:val="Heading2"/>
        <w:rPr/>
      </w:pPr>
      <w:bookmarkStart w:colFirst="0" w:colLast="0" w:name="_rt5r17oogru3" w:id="4"/>
      <w:bookmarkEnd w:id="4"/>
      <w:r w:rsidDel="00000000" w:rsidR="00000000" w:rsidRPr="00000000">
        <w:rPr>
          <w:rtl w:val="0"/>
        </w:rPr>
        <w:t xml:space="preserve">Participant flow</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Consent (see </w:t>
      </w:r>
      <w:r w:rsidDel="00000000" w:rsidR="00000000" w:rsidRPr="00000000">
        <w:rPr>
          <w:rFonts w:ascii="Roboto Mono" w:cs="Roboto Mono" w:eastAsia="Roboto Mono" w:hAnsi="Roboto Mono"/>
          <w:color w:val="188038"/>
          <w:rtl w:val="0"/>
        </w:rPr>
        <w:t xml:space="preserve">consent.md</w:t>
      </w:r>
      <w:r w:rsidDel="00000000" w:rsidR="00000000" w:rsidRPr="00000000">
        <w:rPr>
          <w:rtl w:val="0"/>
        </w:rPr>
        <w:t xml:space="preserve">) and observation disclosure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Condition assignment (see </w:t>
      </w:r>
      <w:r w:rsidDel="00000000" w:rsidR="00000000" w:rsidRPr="00000000">
        <w:rPr>
          <w:rFonts w:ascii="Roboto Mono" w:cs="Roboto Mono" w:eastAsia="Roboto Mono" w:hAnsi="Roboto Mono"/>
          <w:color w:val="188038"/>
          <w:rtl w:val="0"/>
        </w:rPr>
        <w:t xml:space="preserve">condition-order.json</w:t>
      </w:r>
      <w:r w:rsidDel="00000000" w:rsidR="00000000" w:rsidRPr="00000000">
        <w:rPr>
          <w:rtl w:val="0"/>
        </w:rPr>
        <w:t xml:space="preserve"> — counterbalanced, do not assign manually per-participant)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Brief task framing (identical wording across conditions — deviation here is a confound; log any ad-libbing in the observer console under a </w:t>
      </w:r>
      <w:r w:rsidDel="00000000" w:rsidR="00000000" w:rsidRPr="00000000">
        <w:rPr>
          <w:rFonts w:ascii="Roboto Mono" w:cs="Roboto Mono" w:eastAsia="Roboto Mono" w:hAnsi="Roboto Mono"/>
          <w:color w:val="188038"/>
          <w:rtl w:val="0"/>
        </w:rPr>
        <w:t xml:space="preserve">deviation</w:t>
      </w:r>
      <w:r w:rsidDel="00000000" w:rsidR="00000000" w:rsidRPr="00000000">
        <w:rPr>
          <w:rtl w:val="0"/>
        </w:rPr>
        <w:t xml:space="preserve"> note)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Trial (see Gate 2's exit checklist for what "complete" means operationally)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Outcome capture (answer, correctness, completion time, confidence, workload — see </w:t>
      </w:r>
      <w:r w:rsidDel="00000000" w:rsidR="00000000" w:rsidRPr="00000000">
        <w:rPr>
          <w:rFonts w:ascii="Roboto Mono" w:cs="Roboto Mono" w:eastAsia="Roboto Mono" w:hAnsi="Roboto Mono"/>
          <w:color w:val="188038"/>
          <w:rtl w:val="0"/>
        </w:rPr>
        <w:t xml:space="preserve">scoring.json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analysis-plan.md</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Debrief / optional qualitative interview</w:t>
      </w:r>
    </w:p>
    <w:p w:rsidR="00000000" w:rsidDel="00000000" w:rsidP="00000000" w:rsidRDefault="00000000" w:rsidRPr="00000000" w14:paraId="00000012">
      <w:pPr>
        <w:pStyle w:val="Heading2"/>
        <w:rPr/>
      </w:pPr>
      <w:bookmarkStart w:colFirst="0" w:colLast="0" w:name="_2m5pgif9navb" w:id="5"/>
      <w:bookmarkEnd w:id="5"/>
      <w:r w:rsidDel="00000000" w:rsidR="00000000" w:rsidRPr="00000000">
        <w:rPr>
          <w:rtl w:val="0"/>
        </w:rPr>
        <w:t xml:space="preserve">Researcher role during trial</w:t>
      </w:r>
    </w:p>
    <w:p w:rsidR="00000000" w:rsidDel="00000000" w:rsidP="00000000" w:rsidRDefault="00000000" w:rsidRPr="00000000" w14:paraId="00000013">
      <w:pPr>
        <w:rPr/>
      </w:pPr>
      <w:r w:rsidDel="00000000" w:rsidR="00000000" w:rsidRPr="00000000">
        <w:rPr>
          <w:rtl w:val="0"/>
        </w:rPr>
        <w:t xml:space="preserve">Observer protocol state for this study: </w:t>
      </w:r>
      <w:r w:rsidDel="00000000" w:rsidR="00000000" w:rsidRPr="00000000">
        <w:rPr>
          <w:b w:val="1"/>
          <w:bCs w:val="1"/>
          <w:rtl w:val="0"/>
        </w:rPr>
        <w:t xml:space="preserve">[fill in — Passive / Prompt / Assisted]</w:t>
      </w:r>
      <w:r w:rsidDel="00000000" w:rsidR="00000000" w:rsidRPr="00000000">
        <w:rPr>
          <w:rtl w:val="0"/>
        </w:rPr>
        <w:t xml:space="preserve">, recorded per trial in the session data, not assumed constant across the study.</w:t>
      </w:r>
    </w:p>
    <w:p w:rsidR="00000000" w:rsidDel="00000000" w:rsidP="00000000" w:rsidRDefault="00000000" w:rsidRPr="00000000" w14:paraId="00000014">
      <w:pPr>
        <w:pStyle w:val="Heading2"/>
        <w:rPr/>
      </w:pPr>
      <w:bookmarkStart w:colFirst="0" w:colLast="0" w:name="_585l78ensdw3" w:id="6"/>
      <w:bookmarkEnd w:id="6"/>
      <w:r w:rsidDel="00000000" w:rsidR="00000000" w:rsidRPr="00000000">
        <w:rPr>
          <w:rtl w:val="0"/>
        </w:rPr>
        <w:t xml:space="preserve">What this protocol explicitly does NOT test</w:t>
      </w:r>
    </w:p>
    <w:p w:rsidR="00000000" w:rsidDel="00000000" w:rsidP="00000000" w:rsidRDefault="00000000" w:rsidRPr="00000000" w14:paraId="00000015">
      <w:pPr>
        <w:rPr/>
      </w:pPr>
      <w:r w:rsidDel="00000000" w:rsidR="00000000" w:rsidRPr="00000000">
        <w:rPr>
          <w:rtl w:val="0"/>
        </w:rPr>
        <w:t xml:space="preserve">Copy the Known Limitations list from the Stable Release roadmap's Gate 6 section here verbatim before freezing, so the protocol document itself states what a result from this study cannot be used to claim.</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