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a7bzzp94b762" w:id="0"/>
      <w:bookmarkEnd w:id="0"/>
      <w:r w:rsidDel="00000000" w:rsidR="00000000" w:rsidRPr="00000000">
        <w:rPr>
          <w:rtl w:val="0"/>
        </w:rPr>
        <w:t xml:space="preserve">Analysis Plan — "Find the Fraud"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Written and frozen BEFORE data collection begins.</w:t>
      </w:r>
      <w:r w:rsidDel="00000000" w:rsidR="00000000" w:rsidRPr="00000000">
        <w:rPr>
          <w:rtl w:val="0"/>
        </w:rPr>
        <w:t xml:space="preserve"> The point of this document is to make post-hoc cherry-picking across RQ1–RQ5 impossible — every comparison below is decided now, not chosen after looking at which one produced a nice result.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6gxe3a2dt6si" w:id="1"/>
      <w:bookmarkEnd w:id="1"/>
      <w:r w:rsidDel="00000000" w:rsidR="00000000" w:rsidRPr="00000000">
        <w:rPr>
          <w:rtl w:val="0"/>
        </w:rPr>
        <w:t xml:space="preserve">Primary outcome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[fill in before freezing — recommendation: task accuracy]</w:t>
      </w:r>
      <w:r w:rsidDel="00000000" w:rsidR="00000000" w:rsidRPr="00000000">
        <w:rPr>
          <w:rtl w:val="0"/>
        </w:rPr>
        <w:t xml:space="preserve">, since it most directly operationalizes "improve human discovery and understanding" from the core hypothesis. State explicitly: accuracy on what, scored how, against what ground truth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scoring.json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rwon83f7x86o" w:id="2"/>
      <w:bookmarkEnd w:id="2"/>
      <w:r w:rsidDel="00000000" w:rsidR="00000000" w:rsidRPr="00000000">
        <w:rPr>
          <w:rtl w:val="0"/>
        </w:rPr>
        <w:t xml:space="preserve">Secondary outcomes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Completion time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Confidence rating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Workload (instrument specified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protocol.md</w:t>
      </w:r>
      <w:r w:rsidDel="00000000" w:rsidR="00000000" w:rsidRPr="00000000">
        <w:rPr>
          <w:rtl w:val="0"/>
        </w:rPr>
        <w:t xml:space="preserve"> — validated NASA-TLX or explicitly documented custom short-form, per Stable Release Gate 5's requirement; do not modify a validated instrument and still call it by that name)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Navigation cost (from telemetry — e.g. distance traveled / operations performed relative to a minimal-path baseline for the task)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Recall (if a delayed-recall condition is included in this study; if not, state that explicitly rather than leaving it ambiguous)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cixctauen952" w:id="3"/>
      <w:bookmarkEnd w:id="3"/>
      <w:r w:rsidDel="00000000" w:rsidR="00000000" w:rsidRPr="00000000">
        <w:rPr>
          <w:rtl w:val="0"/>
        </w:rPr>
        <w:t xml:space="preserve">Planned condition comparisons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State each comparison this study is designed to make, in advance: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2D vs. VR-3D on primary outcome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2D vs. Desktop-3D on primary outcome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Desktop-3D vs. VR-3D on primary outcome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[add secondary-outcome comparisons as needed — same discipline applies]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3qlb6jq3vefu" w:id="4"/>
      <w:bookmarkEnd w:id="4"/>
      <w:r w:rsidDel="00000000" w:rsidR="00000000" w:rsidRPr="00000000">
        <w:rPr>
          <w:rtl w:val="0"/>
        </w:rPr>
        <w:t xml:space="preserve">Exclusion rules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Define before data collection, not after seeing who "looks like an outlier":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Incomplete trials (excluded from primary outcome, included in completion-rate reporting)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Trials where observer protocol-state logs show researcher intervention beyond the study's declared state (Passive/Prompt/Assisted) — flag and review, don't silently exclude or silently include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[participant eligibility criteria, prior-VR-experience handling, etc.]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nov2rqiho3rn" w:id="5"/>
      <w:bookmarkEnd w:id="5"/>
      <w:r w:rsidDel="00000000" w:rsidR="00000000" w:rsidRPr="00000000">
        <w:rPr>
          <w:rtl w:val="0"/>
        </w:rPr>
        <w:t xml:space="preserve">Missing-data treatment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[fill in — e.g. how partial trials, technical failures mid-trial (Gate 0 defects notwithstanding), or abandoned sessions are handled in the primary analysis]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mfcgenjwjerb" w:id="6"/>
      <w:bookmarkEnd w:id="6"/>
      <w:r w:rsidDel="00000000" w:rsidR="00000000" w:rsidRPr="00000000">
        <w:rPr>
          <w:rtl w:val="0"/>
        </w:rPr>
        <w:t xml:space="preserve">Planned qualitative coding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For observer notes and any verbal debrief data: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Coding scheme: </w:t>
      </w:r>
      <w:r w:rsidDel="00000000" w:rsidR="00000000" w:rsidRPr="00000000">
        <w:rPr>
          <w:b w:val="1"/>
          <w:bCs w:val="1"/>
          <w:rtl w:val="0"/>
        </w:rPr>
        <w:t xml:space="preserve">[fill in — e.g. the tag set from Gate 2.5's console: confusion / hesitation / discovery / navigation-difficulty / gesture-difficulty / verbal-query, plus open coding for anything outside that set]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Who codes, and whether inter-rater reliability is checked (recommended if more than one coder touches the data)</w:t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6pvglglyy2ib" w:id="7"/>
      <w:bookmarkEnd w:id="7"/>
      <w:r w:rsidDel="00000000" w:rsidR="00000000" w:rsidRPr="00000000">
        <w:rPr>
          <w:rtl w:val="0"/>
        </w:rPr>
        <w:t xml:space="preserve">What would change this plan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Nothing, once frozen and the study starts — that's the point. If a genuine flaw is found mid-study, document the deviation explicitly (date, reason, what changed) rather than silently editing this file. A study whose analysis plan visibly changed mid-collection is still more trustworthy than one that pretends it didn't.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