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СТАНОВИЩЕ</w:t>
      </w:r>
    </w:p>
    <w:p>
      <w:pPr>
        <w:jc w:val="center"/>
      </w:pPr>
      <w:r>
        <w:rPr>
          <w:b/>
        </w:rPr>
        <w:t>Относно: Възможност за съвместяване (интеграция) на информационните системи на ИАРА и съответствие с изискванията на електронното управление</w:t>
      </w:r>
    </w:p>
    <w:p>
      <w:r>
        <w:rPr>
          <w:b/>
        </w:rPr>
        <w:t xml:space="preserve">Изготвил: </w:t>
      </w:r>
      <w:r>
        <w:t>Цветан Димитров</w:t>
      </w:r>
    </w:p>
    <w:p>
      <w:r>
        <w:rPr>
          <w:b/>
        </w:rPr>
        <w:t xml:space="preserve">Дата: </w:t>
      </w:r>
      <w:r>
        <w:t>30.05.2026 г.</w:t>
      </w:r>
    </w:p>
    <w:p>
      <w:r>
        <w:rPr>
          <w:b/>
        </w:rPr>
        <w:t xml:space="preserve">Предмет: </w:t>
      </w:r>
      <w:r>
        <w:t>Анализ дали Информационно-статистическата система (ИСС) на ИАРА заедно с мобилните приложения за граждани и за инспектори могат да бъдат съвместени със Системата за сателитно наблюдение на инспекторски автомобили (СНРК 2.0 / FVMS 2.0), и дали такова обединяване отговаря на изискванията на Закона за електронното управление (ЗЕУ) и подзаконовата нормативна уредба.</w:t>
      </w:r>
    </w:p>
    <w:p>
      <w:pPr>
        <w:pStyle w:val="Heading1"/>
      </w:pPr>
      <w:r>
        <w:t>1. Обхват на анализа — разгледани документи и системи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Документ / система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Роля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Проект (ОПМДР)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Изпълнител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Мобилно приложение за граждани</w:t>
            </w:r>
          </w:p>
        </w:tc>
        <w:tc>
          <w:tcPr>
            <w:tcW w:type="dxa" w:w="1728"/>
          </w:tcPr>
          <w:p>
            <w:r>
              <w:t>Фронтенд за любители-риболовци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Мобилно приложение за инспектори</w:t>
            </w:r>
          </w:p>
        </w:tc>
        <w:tc>
          <w:tcPr>
            <w:tcW w:type="dxa" w:w="1728"/>
          </w:tcPr>
          <w:p>
            <w:r>
              <w:t>Фронтенд за теренна инспекция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Информационно-статистическа система (ИСС)</w:t>
            </w:r>
          </w:p>
        </w:tc>
        <w:tc>
          <w:tcPr>
            <w:tcW w:type="dxa" w:w="1728"/>
          </w:tcPr>
          <w:p>
            <w:r>
              <w:t>Централна бекенд система — регистри, заявления, контролна дейност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СНРК 2.0 / FVMS 2.0 (платформа Wialon Local)</w:t>
            </w:r>
          </w:p>
        </w:tc>
        <w:tc>
          <w:tcPr>
            <w:tcW w:type="dxa" w:w="1728"/>
          </w:tcPr>
          <w:p>
            <w:r>
              <w:t>GPS/телеметрично проследяване и електронно докладване</w:t>
            </w:r>
          </w:p>
        </w:tc>
        <w:tc>
          <w:tcPr>
            <w:tcW w:type="dxa" w:w="1728"/>
          </w:tcPr>
          <w:p>
            <w:r>
              <w:t>BG14MFOP001-3.001-0007</w:t>
            </w:r>
          </w:p>
        </w:tc>
        <w:tc>
          <w:tcPr>
            <w:tcW w:type="dxa" w:w="1728"/>
          </w:tcPr>
          <w:p>
            <w:r>
              <w:t>Скортел ООД</w:t>
            </w:r>
          </w:p>
        </w:tc>
      </w:tr>
    </w:tbl>
    <w:p/>
    <w:p>
      <w:r>
        <w:rPr>
          <w:b/>
        </w:rPr>
        <w:t xml:space="preserve">Ключово наблюдение: </w:t>
      </w:r>
      <w:r>
        <w:t>документи 1–3 представляват една и съща интегрирана екосистема, разработена в рамките на един проект (0026). ИСС е централната система с модули „Административни услуги", „Риболовни кораби", „Риболовен капацитет", „Аквакултурни стопанства", „Квоти за улов", „Стопански/Любителски риболов", „Контролна дейност", „Научен риболов" и „Администрация" (включваща номенклатурите „Инспектори" и „Патрулни средства"). Двете мобилни приложения са нейни канали за достъп:</w:t>
      </w:r>
    </w:p>
    <w:p>
      <w:pPr>
        <w:pStyle w:val="ListBullet"/>
      </w:pPr>
      <w:r>
        <w:t>гражданското приложение подава билети за любителски риболов, отчети за улов и сигнали за нарушения → постъпват в ИСС;</w:t>
      </w:r>
    </w:p>
    <w:p>
      <w:pPr>
        <w:pStyle w:val="ListBullet"/>
      </w:pPr>
      <w:r>
        <w:t>инспекторското приложение записва инспекции (включително офлайн) → захранват модул „Контролна дейност" в ИСС.</w:t>
      </w:r>
    </w:p>
    <w:p>
      <w:r>
        <w:t>Документ 4 (СНРК 2.0 / FVMS) е отделен продукт от друг проект (0007), на друг изпълнител (Скортел ООД), базиран на готовата търговска платформа Wialon Local (CMS Manager, обекти под наблюдение, датчици, геозони, права за достъп / ACL).</w:t>
      </w:r>
    </w:p>
    <w:p>
      <w:pPr>
        <w:pStyle w:val="Heading1"/>
      </w:pPr>
      <w:r>
        <w:t>2. Могат ли системите технически да се съвместят? — ДА</w:t>
      </w:r>
    </w:p>
    <w:p>
      <w:pPr>
        <w:pStyle w:val="Heading2"/>
      </w:pPr>
      <w:r>
        <w:t>2.1. Документи 1–3 — вече съвместени</w:t>
      </w:r>
    </w:p>
    <w:p>
      <w:r>
        <w:t>Тук няма реален предмет на „обединяване" — ИСС и двете мобилни приложения споделят потребители, номенклатури и бизнес процеси и са проектирани да работят заедно.</w:t>
      </w:r>
    </w:p>
    <w:p>
      <w:pPr>
        <w:pStyle w:val="Heading2"/>
      </w:pPr>
      <w:r>
        <w:t>2.2. Документ 4 (FVMS / Wialon) — съвместим чрез интеграция</w:t>
      </w:r>
    </w:p>
    <w:p>
      <w:r>
        <w:t>Съществува естествена точка на интеграция: ИСС и инспекторското приложение оперират с обектите „инспектори" и „патрулни средства", а FVMS/Wialon разполага с тяхното реално местоположение и телеметрия.</w:t>
      </w:r>
    </w:p>
    <w:p>
      <w:r>
        <w:rPr>
          <w:b/>
        </w:rPr>
        <w:t xml:space="preserve">Препоръчителен модел: интеграция през интерфейс (API), а не сливане на кодовите бази. </w:t>
      </w:r>
      <w:r>
        <w:t>FVMS/Wialon подава позиции и телеметрия → ИСС ги съхранява/визуализира към съответната инспекция и патрулно средство. Така всеки продукт остава самостоятелен компонент, а данните се обменят по стандартизиран начин.</w:t>
      </w:r>
    </w:p>
    <w:p>
      <w:pPr>
        <w:pStyle w:val="Heading1"/>
      </w:pPr>
      <w:r>
        <w:t>3. Отговаря ли обединяването на изискванията на електронното управление? — ДА, при условия</w:t>
      </w:r>
    </w:p>
    <w:p>
      <w:r>
        <w:t>Връзката към портала на Министерството на електронното управление (МЕУ) — budget-project-control — сочи към механизма за съгласуване и бюджетен контрол на ИКТ проектите на администрациите. Това е формалната процедура, през която такова обединяване трябва да премине, за да е законосъобразно.</w:t>
      </w:r>
    </w:p>
    <w:p>
      <w:r>
        <w:t>В рамките на този контрол съществува отделна, задължителна стъпка — услугата „Проверка за съответствие на техническата спецификация". Преди администрацията да обяви обществена поръчка или да сключи договор за ИКТ дейност, тя внася техническата спецификация в МЕУ за проверка дали отговаря на изискванията за оперативна съвместимост, информационна сигурност, архитектура, преизползване на общите компоненти (eID, ССЕВ, RegiX, pay.egov.bg, Държавен облак) и недопускане на дублиране на функционалност. За обединяването ИСС ⇄ FVMS това е gate преди поръчка/договор — именно тук се проверяват най-рисковите точки (дублиране между проекти 0026 и 0007, оперативна съвместимост, сигурност и хостинг на данните на Wialon).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Нормативна основа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Какво трябва да се осигури</w:t>
            </w:r>
          </w:p>
        </w:tc>
      </w:tr>
      <w:tr>
        <w:tc>
          <w:tcPr>
            <w:tcW w:type="dxa" w:w="2880"/>
          </w:tcPr>
          <w:p>
            <w:r>
              <w:t>Съгласуване / бюджетен контрол на ИКТ проекта</w:t>
            </w:r>
          </w:p>
        </w:tc>
        <w:tc>
          <w:tcPr>
            <w:tcW w:type="dxa" w:w="2880"/>
          </w:tcPr>
          <w:p>
            <w:r>
              <w:t>ЗЕУ — правомощия на МЕУ (бюджетен контрол по чл. 7д); порталът budget-project-control</w:t>
            </w:r>
          </w:p>
        </w:tc>
        <w:tc>
          <w:tcPr>
            <w:tcW w:type="dxa" w:w="2880"/>
          </w:tcPr>
          <w:p>
            <w:r>
              <w:t>Нов ИКТ проект → задължително внасяне за съгласуване в МЕУ преди разход</w:t>
            </w:r>
          </w:p>
        </w:tc>
      </w:tr>
      <w:tr>
        <w:tc>
          <w:tcPr>
            <w:tcW w:type="dxa" w:w="2880"/>
          </w:tcPr>
          <w:p>
            <w:r>
              <w:t>Проверка за съответствие на техническата спецификация</w:t>
            </w:r>
          </w:p>
        </w:tc>
        <w:tc>
          <w:tcPr>
            <w:tcW w:type="dxa" w:w="2880"/>
          </w:tcPr>
          <w:p>
            <w:r>
              <w:t>МЕУ услуга verification-compliance-technical-specifications</w:t>
            </w:r>
          </w:p>
        </w:tc>
        <w:tc>
          <w:tcPr>
            <w:tcW w:type="dxa" w:w="2880"/>
          </w:tcPr>
          <w:p>
            <w:r>
              <w:t>Техническата спецификация на интеграцията (API ИСС ⇄ FVMS) се внася за проверка преди обявяване на обществена поръчка/сключване на договор</w:t>
            </w:r>
          </w:p>
        </w:tc>
      </w:tr>
      <w:tr>
        <w:tc>
          <w:tcPr>
            <w:tcW w:type="dxa" w:w="2880"/>
          </w:tcPr>
          <w:p>
            <w:r>
              <w:t>Оперативна съвместимост</w:t>
            </w:r>
          </w:p>
        </w:tc>
        <w:tc>
          <w:tcPr>
            <w:tcW w:type="dxa" w:w="2880"/>
          </w:tcPr>
          <w:p>
            <w:r>
              <w:t>НОИИСРЕАУ + регистрите за оперативна съвместимост на МЕУ</w:t>
            </w:r>
          </w:p>
        </w:tc>
        <w:tc>
          <w:tcPr>
            <w:tcW w:type="dxa" w:w="2880"/>
          </w:tcPr>
          <w:p>
            <w:r>
              <w:t>Стандартизирани интерфейси за обмен; вписване в регистрите</w:t>
            </w:r>
          </w:p>
        </w:tc>
      </w:tr>
      <w:tr>
        <w:tc>
          <w:tcPr>
            <w:tcW w:type="dxa" w:w="2880"/>
          </w:tcPr>
          <w:p>
            <w:r>
              <w:t>Еднократно събиране на данни / служебно начало</w:t>
            </w:r>
          </w:p>
        </w:tc>
        <w:tc>
          <w:tcPr>
            <w:tcW w:type="dxa" w:w="2880"/>
          </w:tcPr>
          <w:p>
            <w:r>
              <w:t>ЗЕУ; RegiX / среда за междурегистров обмен</w:t>
            </w:r>
          </w:p>
        </w:tc>
        <w:tc>
          <w:tcPr>
            <w:tcW w:type="dxa" w:w="2880"/>
          </w:tcPr>
          <w:p>
            <w:r>
              <w:t>Без дублиране на данни между ИСС и FVMS</w:t>
            </w:r>
          </w:p>
        </w:tc>
      </w:tr>
      <w:tr>
        <w:tc>
          <w:tcPr>
            <w:tcW w:type="dxa" w:w="2880"/>
          </w:tcPr>
          <w:p>
            <w:r>
              <w:t>Електронна идентификация и автентикация</w:t>
            </w:r>
          </w:p>
        </w:tc>
        <w:tc>
          <w:tcPr>
            <w:tcW w:type="dxa" w:w="2880"/>
          </w:tcPr>
          <w:p>
            <w:r>
              <w:t>ЗЕИ / eID; egov.bg</w:t>
            </w:r>
          </w:p>
        </w:tc>
        <w:tc>
          <w:tcPr>
            <w:tcW w:type="dxa" w:w="2880"/>
          </w:tcPr>
          <w:p>
            <w:r>
              <w:t>ИСС вече ползва е-автентикация; FVMS-частта също да я покрие</w:t>
            </w:r>
          </w:p>
        </w:tc>
      </w:tr>
      <w:tr>
        <w:tc>
          <w:tcPr>
            <w:tcW w:type="dxa" w:w="2880"/>
          </w:tcPr>
          <w:p>
            <w:r>
              <w:t>Сигурно е-връчване и електронно плащане</w:t>
            </w:r>
          </w:p>
        </w:tc>
        <w:tc>
          <w:tcPr>
            <w:tcW w:type="dxa" w:w="2880"/>
          </w:tcPr>
          <w:p>
            <w:r>
              <w:t>ССЕВ; ПЕП / pay.egov.bg</w:t>
            </w:r>
          </w:p>
        </w:tc>
        <w:tc>
          <w:tcPr>
            <w:tcW w:type="dxa" w:w="2880"/>
          </w:tcPr>
          <w:p>
            <w:r>
              <w:t>Гражданското приложение вече ползва pay.egov.bg</w:t>
            </w:r>
          </w:p>
        </w:tc>
      </w:tr>
      <w:tr>
        <w:tc>
          <w:tcPr>
            <w:tcW w:type="dxa" w:w="2880"/>
          </w:tcPr>
          <w:p>
            <w:r>
              <w:t>Хостинг в Държавния хибриден частен облак</w:t>
            </w:r>
          </w:p>
        </w:tc>
        <w:tc>
          <w:tcPr>
            <w:tcW w:type="dxa" w:w="2880"/>
          </w:tcPr>
          <w:p>
            <w:r>
              <w:t>Политика на МЕУ за държавните системи</w:t>
            </w:r>
          </w:p>
        </w:tc>
        <w:tc>
          <w:tcPr>
            <w:tcW w:type="dxa" w:w="2880"/>
          </w:tcPr>
          <w:p>
            <w:r>
              <w:t>Критична точка за Wialon — виж раздел 4</w:t>
            </w:r>
          </w:p>
        </w:tc>
      </w:tr>
      <w:tr>
        <w:tc>
          <w:tcPr>
            <w:tcW w:type="dxa" w:w="2880"/>
          </w:tcPr>
          <w:p>
            <w:r>
              <w:t>Мрежова и информационна сигурност</w:t>
            </w:r>
          </w:p>
        </w:tc>
        <w:tc>
          <w:tcPr>
            <w:tcW w:type="dxa" w:w="2880"/>
          </w:tcPr>
          <w:p>
            <w:r>
              <w:t>ЗКС + Наредба за мин. изисквания за МИС</w:t>
            </w:r>
          </w:p>
        </w:tc>
        <w:tc>
          <w:tcPr>
            <w:tcW w:type="dxa" w:w="2880"/>
          </w:tcPr>
          <w:p>
            <w:r>
              <w:t>Регистри на инциденти; контрол на достъп (Wialon има ACL модел)</w:t>
            </w:r>
          </w:p>
        </w:tc>
      </w:tr>
      <w:tr>
        <w:tc>
          <w:tcPr>
            <w:tcW w:type="dxa" w:w="2880"/>
          </w:tcPr>
          <w:p>
            <w:r>
              <w:t>Защита на личните данни</w:t>
            </w:r>
          </w:p>
        </w:tc>
        <w:tc>
          <w:tcPr>
            <w:tcW w:type="dxa" w:w="2880"/>
          </w:tcPr>
          <w:p>
            <w:r>
              <w:t>Регламент (ЕС) 2016/679 (GDPR); ЗЗЛД</w:t>
            </w:r>
          </w:p>
        </w:tc>
        <w:tc>
          <w:tcPr>
            <w:tcW w:type="dxa" w:w="2880"/>
          </w:tcPr>
          <w:p>
            <w:r>
              <w:t>Проследяване местоположението на инспектори → задължителна оценка на въздействието (DPIA)</w:t>
            </w:r>
          </w:p>
        </w:tc>
      </w:tr>
    </w:tbl>
    <w:p>
      <w:pPr>
        <w:pStyle w:val="Heading1"/>
      </w:pPr>
      <w:r>
        <w:t>4. Реални рискови точки</w:t>
      </w:r>
    </w:p>
    <w:p>
      <w:pPr>
        <w:pStyle w:val="ListNumber"/>
      </w:pPr>
      <w:r>
        <w:rPr>
          <w:b/>
        </w:rPr>
        <w:t xml:space="preserve">Различни проекти и изпълнители (0026 vs 0007). </w:t>
      </w:r>
      <w:r>
        <w:t>Собствеността върху кода, лицензите и източникът на финансиране (ОПМДР) са различни. Обединяването е допустимо, но трябва да се уреди договорно/имуществено и да се съгласува с МЕУ, за да няма двойно финансиране на едни и същи функции.</w:t>
      </w:r>
    </w:p>
    <w:p>
      <w:pPr>
        <w:pStyle w:val="ListNumber"/>
      </w:pPr>
      <w:r>
        <w:rPr>
          <w:b/>
        </w:rPr>
        <w:t xml:space="preserve">Wialon Local е готов чужд продукт (Gurtam). </w:t>
      </w:r>
      <w:r>
        <w:t>Чувствителни точки: локация и хостинг на данните (изискване за Държавен хибриден частен облак); достъп до изходен код / собственост; оперативна съвместимост със стандартите на МЕУ. Затова препоръката е интеграция през API, при която Wialon остава отделен компонент.</w:t>
      </w:r>
    </w:p>
    <w:p>
      <w:pPr>
        <w:pStyle w:val="ListNumber"/>
      </w:pPr>
      <w:r>
        <w:rPr>
          <w:b/>
        </w:rPr>
        <w:t xml:space="preserve">GDPR за GPS проследяване на инспектори. </w:t>
      </w:r>
      <w:r>
        <w:t>Задължителна оценка на въздействието (DPIA) и ясно правно основание (служебно/трудово правоотношение), при спазване на принципите за пропорционалност и ограничаване на целта.</w:t>
      </w:r>
    </w:p>
    <w:p>
      <w:pPr>
        <w:pStyle w:val="Heading1"/>
      </w:pPr>
      <w:r>
        <w:t>5. Извод</w:t>
      </w:r>
    </w:p>
    <w:p>
      <w:pPr>
        <w:pStyle w:val="ListBullet"/>
      </w:pPr>
      <w:r>
        <w:rPr>
          <w:b/>
        </w:rPr>
        <w:t xml:space="preserve">Технически — ДА. </w:t>
      </w:r>
      <w:r>
        <w:t>Системите могат да се съвместят. Оптималният подход е интеграция ИСС ⇄ FVMS на ниво интерфейс (позиции на патрулните средства към модул „Контролна дейност"), а не сливане на кодовите бази.</w:t>
      </w:r>
    </w:p>
    <w:p>
      <w:pPr>
        <w:pStyle w:val="ListBullet"/>
      </w:pPr>
      <w:r>
        <w:rPr>
          <w:b/>
        </w:rPr>
        <w:t xml:space="preserve">За съответствие с е-управление — ДА, но при условие, </w:t>
      </w:r>
      <w:r>
        <w:t>че интеграцията се внесе за съгласуване в МЕУ през портала за бюджетен контрол и покрие: оперативна съвместимост, RegiX/служебно начало, е-идентификация, ССЕВ и плащания (pay.egov.bg), Държавен облак, мрежова и информационна сигурност и GDPR (DPIA).</w:t>
      </w:r>
    </w:p>
    <w:p>
      <w:pPr>
        <w:pStyle w:val="ListBullet"/>
      </w:pPr>
      <w:r>
        <w:rPr>
          <w:b/>
        </w:rPr>
        <w:t xml:space="preserve">Порталът budget-project-control </w:t>
      </w:r>
      <w:r/>
      <w:r>
        <w:t>е формалната врата, през която обединяването става законосъобразно, а проверката за съответствие на техническата спецификация е конкретната задължителна стъпка преди обявяване на поръчка/сключване на договор.</w:t>
      </w:r>
    </w:p>
    <w:p>
      <w:r>
        <w:rPr>
          <w:b/>
          <w:i/>
        </w:rPr>
        <w:t xml:space="preserve">Бележка за източниците: </w:t>
      </w:r>
      <w:r>
        <w:rPr>
          <w:i/>
        </w:rPr>
        <w:t>живото съдържание на страницата egov.government.bg/.../budget-project-control не беше достъпно при изготвянето (мрежова политика блокира домейна egov.government.bg). Частта относно МЕУ и бюджетния контрол е изготвена въз основа на нормативната рамка (ЗЕУ и подзаконовите актове). Конкретните членове следва да се сверят с действащата редакция на ЗЕУ преди официално позоваване.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