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СТАНОВИЩЕ</w:t>
      </w:r>
    </w:p>
    <w:p>
      <w:pPr>
        <w:jc w:val="center"/>
      </w:pPr>
      <w:r>
        <w:rPr>
          <w:b/>
        </w:rPr>
        <w:t>Относно: Възможност за съвместяване (интеграция) на информационните системи на ИАРА и съответствие с изискванията на електронното управление</w:t>
      </w:r>
    </w:p>
    <w:p>
      <w:r>
        <w:rPr>
          <w:b/>
        </w:rPr>
        <w:t xml:space="preserve">Изготвил: </w:t>
      </w:r>
      <w:r>
        <w:t>Цветан Димитров</w:t>
      </w:r>
    </w:p>
    <w:p>
      <w:r>
        <w:rPr>
          <w:b/>
        </w:rPr>
        <w:t xml:space="preserve">Дата: </w:t>
      </w:r>
      <w:r>
        <w:t>30.05.2026 г.</w:t>
      </w:r>
    </w:p>
    <w:p>
      <w:r>
        <w:rPr>
          <w:b/>
        </w:rPr>
        <w:t xml:space="preserve">Предмет: </w:t>
      </w:r>
      <w:r>
        <w:t>Анализ дали Информационно-статистическата система (ИСС) на ИАРА заедно с мобилните приложения за граждани и за инспектори могат да бъдат съвместени със Системата за сателитно наблюдение на инспекторски автомобили (СНРК 2.0 / FVMS 2.0), и дали такова обединяване отговаря на изискванията на Закона за електронното управление (ЗЕУ) и подзаконовата нормативна уредба.</w:t>
      </w:r>
    </w:p>
    <w:p>
      <w:pPr>
        <w:pStyle w:val="Heading1"/>
      </w:pPr>
      <w:r>
        <w:t>1. Обхват на анализа — разгледани документи и системи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Документ / система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Роля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Проект (ОПМДР)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Изпълнител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Мобилно приложение за граждани</w:t>
            </w:r>
          </w:p>
        </w:tc>
        <w:tc>
          <w:tcPr>
            <w:tcW w:type="dxa" w:w="1728"/>
          </w:tcPr>
          <w:p>
            <w:r>
              <w:t>Фронтенд за любители-риболовци</w:t>
            </w:r>
          </w:p>
        </w:tc>
        <w:tc>
          <w:tcPr>
            <w:tcW w:type="dxa" w:w="1728"/>
          </w:tcPr>
          <w:p>
            <w:r>
              <w:t>BG14MFOP001-3.001-0026</w:t>
            </w:r>
          </w:p>
        </w:tc>
        <w:tc>
          <w:tcPr>
            <w:tcW w:type="dxa" w:w="1728"/>
          </w:tcPr>
          <w:p>
            <w:r>
              <w:t>проект 0026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Мобилно приложение за инспектори</w:t>
            </w:r>
          </w:p>
        </w:tc>
        <w:tc>
          <w:tcPr>
            <w:tcW w:type="dxa" w:w="1728"/>
          </w:tcPr>
          <w:p>
            <w:r>
              <w:t>Фронтенд за теренна инспекция</w:t>
            </w:r>
          </w:p>
        </w:tc>
        <w:tc>
          <w:tcPr>
            <w:tcW w:type="dxa" w:w="1728"/>
          </w:tcPr>
          <w:p>
            <w:r>
              <w:t>BG14MFOP001-3.001-0026</w:t>
            </w:r>
          </w:p>
        </w:tc>
        <w:tc>
          <w:tcPr>
            <w:tcW w:type="dxa" w:w="1728"/>
          </w:tcPr>
          <w:p>
            <w:r>
              <w:t>проект 0026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Информационно-статистическа система (ИСС)</w:t>
            </w:r>
          </w:p>
        </w:tc>
        <w:tc>
          <w:tcPr>
            <w:tcW w:type="dxa" w:w="1728"/>
          </w:tcPr>
          <w:p>
            <w:r>
              <w:t>Централна бекенд система — регистри, заявления, контролна дейност</w:t>
            </w:r>
          </w:p>
        </w:tc>
        <w:tc>
          <w:tcPr>
            <w:tcW w:type="dxa" w:w="1728"/>
          </w:tcPr>
          <w:p>
            <w:r>
              <w:t>BG14MFOP001-3.001-0026</w:t>
            </w:r>
          </w:p>
        </w:tc>
        <w:tc>
          <w:tcPr>
            <w:tcW w:type="dxa" w:w="1728"/>
          </w:tcPr>
          <w:p>
            <w:r>
              <w:t>проект 0026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СНРК 2.0 / FVMS 2.0 (платформа Wialon Local)</w:t>
            </w:r>
          </w:p>
        </w:tc>
        <w:tc>
          <w:tcPr>
            <w:tcW w:type="dxa" w:w="1728"/>
          </w:tcPr>
          <w:p>
            <w:r>
              <w:t>GPS/телеметрично проследяване и електронно докладване</w:t>
            </w:r>
          </w:p>
        </w:tc>
        <w:tc>
          <w:tcPr>
            <w:tcW w:type="dxa" w:w="1728"/>
          </w:tcPr>
          <w:p>
            <w:r>
              <w:t>BG14MFOP001-3.001-0007</w:t>
            </w:r>
          </w:p>
        </w:tc>
        <w:tc>
          <w:tcPr>
            <w:tcW w:type="dxa" w:w="1728"/>
          </w:tcPr>
          <w:p>
            <w:r>
              <w:t>Скортел ООД</w:t>
            </w:r>
          </w:p>
        </w:tc>
      </w:tr>
    </w:tbl>
    <w:p/>
    <w:p>
      <w:r>
        <w:rPr>
          <w:b/>
        </w:rPr>
        <w:t xml:space="preserve">Ключово наблюдение: </w:t>
      </w:r>
      <w:r>
        <w:t>документи 1–3 са една и съща интегрирана екосистема (проект 0026): ИСС е централната система (модули „Административни услуги", „Контролна дейност", „Администрация" с номенклатури „Инспектори" и „Патрулни средства" и др.), а двете мобилни приложения са нейни канали за достъп. Документ 4 (СНРК 2.0 / FVMS) е отделен продукт от друг проект (0007), на друг изпълнител (Скортел ООД), базиран на готовата търговска платформа Wialon Local.</w:t>
      </w:r>
    </w:p>
    <w:p>
      <w:pPr>
        <w:pStyle w:val="Heading1"/>
      </w:pPr>
      <w:r>
        <w:t>2. Могат ли системите технически да се съвместят? — ДА</w:t>
      </w:r>
    </w:p>
    <w:p>
      <w:pPr>
        <w:pStyle w:val="Heading2"/>
      </w:pPr>
      <w:r>
        <w:t>2.1. Документи 1–3 — вече съвместени</w:t>
      </w:r>
    </w:p>
    <w:p>
      <w:r>
        <w:t>ИСС и двете мобилни приложения споделят потребители, номенклатури и бизнес процеси и са проектирани да работят заедно.</w:t>
      </w:r>
    </w:p>
    <w:p>
      <w:pPr>
        <w:pStyle w:val="Heading2"/>
      </w:pPr>
      <w:r>
        <w:t>2.2. Документ 4 (FVMS / Wialon) — съвместим чрез интеграция</w:t>
      </w:r>
    </w:p>
    <w:p>
      <w:r>
        <w:t>Естествена точка на интеграция: ИСС/инспекторското приложение оперират с „инспектори" и „патрулни средства", а FVMS/Wialon знае реалното им местоположение и телеметрия.</w:t>
      </w:r>
    </w:p>
    <w:p>
      <w:r>
        <w:rPr>
          <w:b/>
        </w:rPr>
        <w:t xml:space="preserve">Препоръчителен модел: интеграция през интерфейс (API), а не сливане на кодовите бази. </w:t>
      </w:r>
      <w:r>
        <w:t>FVMS/Wialon подава позиции и телеметрия → ИСС ги съхранява/визуализира към съответната инспекция и патрулно средство.</w:t>
      </w:r>
    </w:p>
    <w:p>
      <w:pPr>
        <w:pStyle w:val="Heading1"/>
      </w:pPr>
      <w:r>
        <w:t>3. Отговаря ли обединяването на изискванията на електронното управление? — ДА, при условия</w:t>
      </w:r>
    </w:p>
    <w:p>
      <w:r>
        <w:t>Връзката към портала на Министерството на електронното управление (МЕУ) — budget-project-control — сочи към механизма за съгласуване и бюджетен контрол на ИКТ проектите на администрациите.</w:t>
      </w:r>
    </w:p>
    <w:p>
      <w:r>
        <w:t>В рамките на този контрол съществува отделна, задължителна стъпка — услугата „Проверка за съответствие на техническата спецификация". Преди администрацията да обяви обществена поръчка или да сключи договор за ИКТ дейност, тя внася техническата спецификация в МЕУ за проверка дали отговаря на изискванията за оперативна съвместимост, информационна сигурност, архитектура, преизползване на общите компоненти (eID, ССЕВ, RegiX, pay.egov.bg, Държавен облак) и недопускане на дублиране на функционалност. За обединяването ИСС ⇄ FVMS това е gate преди поръчка/договор.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Изискване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Нормативна основа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Какво трябва да се осигури</w:t>
            </w:r>
          </w:p>
        </w:tc>
      </w:tr>
      <w:tr>
        <w:tc>
          <w:tcPr>
            <w:tcW w:type="dxa" w:w="2880"/>
          </w:tcPr>
          <w:p>
            <w:r>
              <w:t>Съгласуване / бюджетен контрол на ИКТ проекта</w:t>
            </w:r>
          </w:p>
        </w:tc>
        <w:tc>
          <w:tcPr>
            <w:tcW w:type="dxa" w:w="2880"/>
          </w:tcPr>
          <w:p>
            <w:r>
              <w:t>ЗЕУ; порталът budget-project-control</w:t>
            </w:r>
          </w:p>
        </w:tc>
        <w:tc>
          <w:tcPr>
            <w:tcW w:type="dxa" w:w="2880"/>
          </w:tcPr>
          <w:p>
            <w:r>
              <w:t>Нов ИКТ проект → внасяне за съгласуване в МЕУ преди разход</w:t>
            </w:r>
          </w:p>
        </w:tc>
      </w:tr>
      <w:tr>
        <w:tc>
          <w:tcPr>
            <w:tcW w:type="dxa" w:w="2880"/>
          </w:tcPr>
          <w:p>
            <w:r>
              <w:t>Проверка за съответствие на техническата спецификация</w:t>
            </w:r>
          </w:p>
        </w:tc>
        <w:tc>
          <w:tcPr>
            <w:tcW w:type="dxa" w:w="2880"/>
          </w:tcPr>
          <w:p>
            <w:r>
              <w:t>МЕУ услуга verification-compliance-technical-specifications; чл. 38 ЗЕУ</w:t>
            </w:r>
          </w:p>
        </w:tc>
        <w:tc>
          <w:tcPr>
            <w:tcW w:type="dxa" w:w="2880"/>
          </w:tcPr>
          <w:p>
            <w:r>
              <w:t>ТС на интеграцията (API ИСС ⇄ FVMS) се внася за проверка преди поръчка/договор</w:t>
            </w:r>
          </w:p>
        </w:tc>
      </w:tr>
      <w:tr>
        <w:tc>
          <w:tcPr>
            <w:tcW w:type="dxa" w:w="2880"/>
          </w:tcPr>
          <w:p>
            <w:r>
              <w:t>Удостоверяване на съответствие на системата</w:t>
            </w:r>
          </w:p>
        </w:tc>
        <w:tc>
          <w:tcPr>
            <w:tcW w:type="dxa" w:w="2880"/>
          </w:tcPr>
          <w:p>
            <w:r>
              <w:t>чл. 58б от ЗЕУ</w:t>
            </w:r>
          </w:p>
        </w:tc>
        <w:tc>
          <w:tcPr>
            <w:tcW w:type="dxa" w:w="2880"/>
          </w:tcPr>
          <w:p>
            <w:r>
              <w:t>Удостоверяване на съответствие на съответен етап</w:t>
            </w:r>
          </w:p>
        </w:tc>
      </w:tr>
      <w:tr>
        <w:tc>
          <w:tcPr>
            <w:tcW w:type="dxa" w:w="2880"/>
          </w:tcPr>
          <w:p>
            <w:r>
              <w:t>Оперативна съвместимост</w:t>
            </w:r>
          </w:p>
        </w:tc>
        <w:tc>
          <w:tcPr>
            <w:tcW w:type="dxa" w:w="2880"/>
          </w:tcPr>
          <w:p>
            <w:r>
              <w:t>НОИИСРЕАУ + регистрите за оперативна съвместимост</w:t>
            </w:r>
          </w:p>
        </w:tc>
        <w:tc>
          <w:tcPr>
            <w:tcW w:type="dxa" w:w="2880"/>
          </w:tcPr>
          <w:p>
            <w:r>
              <w:t>Стандартизирани интерфейси; вписване в регистрите</w:t>
            </w:r>
          </w:p>
        </w:tc>
      </w:tr>
      <w:tr>
        <w:tc>
          <w:tcPr>
            <w:tcW w:type="dxa" w:w="2880"/>
          </w:tcPr>
          <w:p>
            <w:r>
              <w:t>Еднократно събиране на данни / служебно начало</w:t>
            </w:r>
          </w:p>
        </w:tc>
        <w:tc>
          <w:tcPr>
            <w:tcW w:type="dxa" w:w="2880"/>
          </w:tcPr>
          <w:p>
            <w:r>
              <w:t>ЗЕУ; RegiX</w:t>
            </w:r>
          </w:p>
        </w:tc>
        <w:tc>
          <w:tcPr>
            <w:tcW w:type="dxa" w:w="2880"/>
          </w:tcPr>
          <w:p>
            <w:r>
              <w:t>Без дублиране на данни между ИСС и FVMS</w:t>
            </w:r>
          </w:p>
        </w:tc>
      </w:tr>
      <w:tr>
        <w:tc>
          <w:tcPr>
            <w:tcW w:type="dxa" w:w="2880"/>
          </w:tcPr>
          <w:p>
            <w:r>
              <w:t>Електронна идентификация и автентикация</w:t>
            </w:r>
          </w:p>
        </w:tc>
        <w:tc>
          <w:tcPr>
            <w:tcW w:type="dxa" w:w="2880"/>
          </w:tcPr>
          <w:p>
            <w:r>
              <w:t>ЗЕИ / eID; egov.bg</w:t>
            </w:r>
          </w:p>
        </w:tc>
        <w:tc>
          <w:tcPr>
            <w:tcW w:type="dxa" w:w="2880"/>
          </w:tcPr>
          <w:p>
            <w:r>
              <w:t>ИСС вече ползва е-автентикация; FVMS-частта също</w:t>
            </w:r>
          </w:p>
        </w:tc>
      </w:tr>
      <w:tr>
        <w:tc>
          <w:tcPr>
            <w:tcW w:type="dxa" w:w="2880"/>
          </w:tcPr>
          <w:p>
            <w:r>
              <w:t>Сигурно е-връчване и електронно плащане</w:t>
            </w:r>
          </w:p>
        </w:tc>
        <w:tc>
          <w:tcPr>
            <w:tcW w:type="dxa" w:w="2880"/>
          </w:tcPr>
          <w:p>
            <w:r>
              <w:t>ССЕВ; ПЕП / pay.egov.bg</w:t>
            </w:r>
          </w:p>
        </w:tc>
        <w:tc>
          <w:tcPr>
            <w:tcW w:type="dxa" w:w="2880"/>
          </w:tcPr>
          <w:p>
            <w:r>
              <w:t>Гражданското приложение вече ползва pay.egov.bg</w:t>
            </w:r>
          </w:p>
        </w:tc>
      </w:tr>
      <w:tr>
        <w:tc>
          <w:tcPr>
            <w:tcW w:type="dxa" w:w="2880"/>
          </w:tcPr>
          <w:p>
            <w:r>
              <w:t>Хостинг в Държавния хибриден частен облак</w:t>
            </w:r>
          </w:p>
        </w:tc>
        <w:tc>
          <w:tcPr>
            <w:tcW w:type="dxa" w:w="2880"/>
          </w:tcPr>
          <w:p>
            <w:r>
              <w:t>Политика на МЕУ</w:t>
            </w:r>
          </w:p>
        </w:tc>
        <w:tc>
          <w:tcPr>
            <w:tcW w:type="dxa" w:w="2880"/>
          </w:tcPr>
          <w:p>
            <w:r>
              <w:t>Критична точка за Wialon — виж раздел 4 и 6</w:t>
            </w:r>
          </w:p>
        </w:tc>
      </w:tr>
      <w:tr>
        <w:tc>
          <w:tcPr>
            <w:tcW w:type="dxa" w:w="2880"/>
          </w:tcPr>
          <w:p>
            <w:r>
              <w:t>Мрежова и информационна сигурност</w:t>
            </w:r>
          </w:p>
        </w:tc>
        <w:tc>
          <w:tcPr>
            <w:tcW w:type="dxa" w:w="2880"/>
          </w:tcPr>
          <w:p>
            <w:r>
              <w:t>ЗК + НМИМИС</w:t>
            </w:r>
          </w:p>
        </w:tc>
        <w:tc>
          <w:tcPr>
            <w:tcW w:type="dxa" w:w="2880"/>
          </w:tcPr>
          <w:p>
            <w:r>
              <w:t>Контрол на достъп (Wialon има ACL модел); журнали; сигурност by design</w:t>
            </w:r>
          </w:p>
        </w:tc>
      </w:tr>
      <w:tr>
        <w:tc>
          <w:tcPr>
            <w:tcW w:type="dxa" w:w="2880"/>
          </w:tcPr>
          <w:p>
            <w:r>
              <w:t>Защита на личните данни</w:t>
            </w:r>
          </w:p>
        </w:tc>
        <w:tc>
          <w:tcPr>
            <w:tcW w:type="dxa" w:w="2880"/>
          </w:tcPr>
          <w:p>
            <w:r>
              <w:t>GDPR; ЗЗЛД</w:t>
            </w:r>
          </w:p>
        </w:tc>
        <w:tc>
          <w:tcPr>
            <w:tcW w:type="dxa" w:w="2880"/>
          </w:tcPr>
          <w:p>
            <w:r>
              <w:t>GPS проследяване на инспектори → задължителна DPIA</w:t>
            </w:r>
          </w:p>
        </w:tc>
      </w:tr>
    </w:tbl>
    <w:p>
      <w:pPr>
        <w:pStyle w:val="Heading1"/>
      </w:pPr>
      <w:r>
        <w:t>4. Реални рискови точки</w:t>
      </w:r>
    </w:p>
    <w:p>
      <w:pPr>
        <w:pStyle w:val="ListNumber"/>
      </w:pPr>
      <w:r>
        <w:rPr>
          <w:b/>
        </w:rPr>
        <w:t xml:space="preserve">Различни проекти и изпълнители (0026 vs 0007). </w:t>
      </w:r>
      <w:r>
        <w:t>Собственост върху кода, лицензи и финансиране (ОПМДР) са различни → уреждане договорно/имуществено и съгласуване с МЕУ, за да няма двойно финансиране.</w:t>
      </w:r>
    </w:p>
    <w:p>
      <w:pPr>
        <w:pStyle w:val="ListNumber"/>
      </w:pPr>
      <w:r>
        <w:rPr>
          <w:b/>
        </w:rPr>
        <w:t xml:space="preserve">Wialon Local е готов чужд продукт (Gurtam). </w:t>
      </w:r>
      <w:r>
        <w:t>Чувствителни точки: локация/хостинг на данните (Държавен облак); собственост върху изходния код; оперативна съвместимост. Затова интеграция през API, при която Wialon остава отделен компонент.</w:t>
      </w:r>
    </w:p>
    <w:p>
      <w:pPr>
        <w:pStyle w:val="ListNumber"/>
      </w:pPr>
      <w:r>
        <w:rPr>
          <w:b/>
        </w:rPr>
        <w:t xml:space="preserve">GDPR за GPS проследяване на инспектори. </w:t>
      </w:r>
      <w:r>
        <w:t>Задължителна DPIA и ясно правно основание (служебно/трудово правоотношение), при пропорционалност и ограничаване на целта.</w:t>
      </w:r>
    </w:p>
    <w:p>
      <w:pPr>
        <w:pStyle w:val="Heading1"/>
      </w:pPr>
      <w:r>
        <w:t>5. Извод</w:t>
      </w:r>
    </w:p>
    <w:p>
      <w:pPr>
        <w:pStyle w:val="ListBullet"/>
      </w:pPr>
      <w:r>
        <w:rPr>
          <w:b/>
        </w:rPr>
        <w:t xml:space="preserve">Технически — ДА. </w:t>
      </w:r>
      <w:r>
        <w:t>Системите могат да се съвместят чрез интеграция ИСС ⇄ FVMS на ниво интерфейс, а не сливане на кодовите бази.</w:t>
      </w:r>
    </w:p>
    <w:p>
      <w:pPr>
        <w:pStyle w:val="ListBullet"/>
      </w:pPr>
      <w:r>
        <w:rPr>
          <w:b/>
        </w:rPr>
        <w:t xml:space="preserve">За съответствие с е-управление — ДА, но при условие, </w:t>
      </w:r>
      <w:r>
        <w:t>че интеграцията се внесе за съгласуване в МЕУ, оформи се по образеца на ТС (Прил. № 1, чл. 38, ал. 3), премине проверката/удостоверяването по чл. 58б ЗЕУ и покрие оперативната съвместимост, RegiX, eID, ССЕВ/плащания, Държавния облак, сигурността и GDPR (DPIA).</w:t>
      </w:r>
    </w:p>
    <w:p>
      <w:pPr>
        <w:pStyle w:val="ListBullet"/>
      </w:pPr>
      <w:r>
        <w:rPr>
          <w:b/>
        </w:rPr>
        <w:t xml:space="preserve">Порталът budget-project-control </w:t>
      </w:r>
      <w:r>
        <w:t>е формалната врата, а проверката за съответствие на ТС — задължителната стъпка преди поръчка/договор.</w:t>
      </w:r>
    </w:p>
    <w:p>
      <w:pPr>
        <w:pStyle w:val="ListBullet"/>
      </w:pPr>
      <w:r>
        <w:rPr>
          <w:b/>
        </w:rPr>
        <w:t xml:space="preserve">Решаващо ограничение (изходен код): </w:t>
      </w:r>
      <w:r>
        <w:t>Wialon Local е затворен търговски продукт и не може да стане „собствен държавен софтуер с отворен код". Съответстващ модел: COTS-компонент (Wialon/FVMS) + собствен интеграционен слой с отворен код (раздел 6).</w:t>
      </w:r>
    </w:p>
    <w:p>
      <w:pPr>
        <w:pStyle w:val="Heading1"/>
      </w:pPr>
      <w:r>
        <w:t>6. Конкретни изисквания по методическата рамка на МЕУ (въз основа на предоставените образци)</w:t>
      </w:r>
    </w:p>
    <w:p>
      <w:pPr>
        <w:pStyle w:val="Heading2"/>
      </w:pPr>
      <w:r>
        <w:t>6.1. Задължителен образец на техническа спецификация</w:t>
      </w:r>
    </w:p>
    <w:p>
      <w:pPr>
        <w:pStyle w:val="ListBullet"/>
      </w:pPr>
      <w:r>
        <w:t>ТС се изготвя по образец Приложение № 1 към чл. 38, ал. 3 — задължителен за всички лица по чл. 1, ал. 1 и 2 от ЗЕУ; съдържанието не може да се изтрива, а само да се допълва.</w:t>
      </w:r>
    </w:p>
    <w:p>
      <w:pPr>
        <w:pStyle w:val="ListBullet"/>
      </w:pPr>
      <w:r>
        <w:t>Системата подлежи на удостоверяване на съответствие по чл. 58б от ЗЕУ.</w:t>
      </w:r>
    </w:p>
    <w:p>
      <w:pPr>
        <w:pStyle w:val="ListBullet"/>
      </w:pPr>
      <w:r>
        <w:t>Проектът се вписва в Регистъра на проектите и преминава проверка по Правилата за извършване на проверки на проектни предложения и дейности.</w:t>
      </w:r>
    </w:p>
    <w:p>
      <w:pPr>
        <w:pStyle w:val="ListBullet"/>
      </w:pPr>
      <w:r>
        <w:t>Нормативна рамка по образеца: ЗЕУ, ЗК, ЗЕИ, НОИИСРЕАУ, НМИМИС, Архитектура на електронното управление.</w:t>
      </w:r>
    </w:p>
    <w:p>
      <w:pPr>
        <w:pStyle w:val="Heading2"/>
      </w:pPr>
      <w:r>
        <w:t>6.2. Аргументация на прогнозната стойност</w:t>
      </w:r>
    </w:p>
    <w:p>
      <w:pPr>
        <w:pStyle w:val="ListBullet"/>
      </w:pPr>
      <w:r>
        <w:t>Време за изработване: 4–6 месеца при готова платформа; ≥ 6 месеца при изцяло нова разработка.</w:t>
      </w:r>
    </w:p>
    <w:p>
      <w:pPr>
        <w:pStyle w:val="ListBullet"/>
      </w:pPr>
      <w:r>
        <w:t>Разходи за поддръжка ≥ 15% от стойността на разработката/закупуването.</w:t>
      </w:r>
    </w:p>
    <w:p>
      <w:pPr>
        <w:pStyle w:val="ListBullet"/>
      </w:pPr>
      <w:r>
        <w:t>Решаващо дърво: „Приложимо ли е решението към повече от една администрация?" и „готов софтуер (COTS) vs. разработка на нов софтуер с право на собственост на изходния код".</w:t>
      </w:r>
    </w:p>
    <w:p>
      <w:pPr>
        <w:pStyle w:val="Heading2"/>
      </w:pPr>
      <w:r>
        <w:t>6.3. Изходен код и отворен код — най-съществената точка за ИСС ⇄ FVMS</w:t>
      </w:r>
    </w:p>
    <w:p>
      <w:r>
        <w:t>НОИИСРЕАУ изисква за разработвания софтуер:</w:t>
      </w:r>
    </w:p>
    <w:p>
      <w:pPr>
        <w:pStyle w:val="ListBullet"/>
      </w:pPr>
      <w:r>
        <w:t>авторските права и изходният код да възникват за Възложителя (чл. 42 ЗАПСП), без ограничения;</w:t>
      </w:r>
    </w:p>
    <w:p>
      <w:pPr>
        <w:pStyle w:val="ListBullet"/>
      </w:pPr>
      <w:r>
        <w:t>допустими лицензи: GPL, LGPL, AGPL, Apache 2.0, New BSD, MIT, MPL 2.0, EUPL;</w:t>
      </w:r>
    </w:p>
    <w:p>
      <w:pPr>
        <w:pStyle w:val="ListBullet"/>
      </w:pPr>
      <w:r>
        <w:t>публично хранилище за изходен код (глава шеста, раздел IV от НОИИСРЕАУ), онлайн в реално време;</w:t>
      </w:r>
    </w:p>
    <w:p>
      <w:pPr>
        <w:pStyle w:val="ListBullet"/>
      </w:pPr>
      <w:r>
        <w:t>публична API документация (Swagger / API Blueprint / аналог) с примерен код (Java/.NET).</w:t>
      </w:r>
    </w:p>
    <w:p>
      <w:r>
        <w:rPr>
          <w:b/>
        </w:rPr>
        <w:t xml:space="preserve">Wialon Local е готов, затворен търговски продукт (Gurtam) и сам по себе си не отговаря на изискванията за собственост и отворен код. Нормативно съответстващият модел е: </w:t>
      </w:r>
      <w:r>
        <w:t>Wialon / FVMS се третира като „готово софтуерно решение" (COTS) — лицензи + настройка; а интеграционният слой откъм ИСС (API адаптер) се разработва като собствен софтуер с отворен код по НОИИСРЕАУ. Готовата платформа остава отделен лицензиран компонент, а новата разработка е собственост на Възложителя, с отворен код, публично хранилище и документиран API.</w:t>
      </w:r>
    </w:p>
    <w:p>
      <w:pPr>
        <w:pStyle w:val="Heading2"/>
      </w:pPr>
      <w:r>
        <w:t>6.4. Допълнение към изводите</w:t>
      </w:r>
    </w:p>
    <w:p>
      <w:pPr>
        <w:pStyle w:val="ListBullet"/>
      </w:pPr>
      <w:r>
        <w:t>Обединяването е допустимо и съответства на е-управлението само ако е оформено по образеца на ТС (Прил. № 1, чл. 38, ал. 3), с аргументирана прогнозна стойност и преминава проверката/удостоверяването по чл. 58б ЗЕУ.</w:t>
      </w:r>
    </w:p>
    <w:p>
      <w:pPr>
        <w:pStyle w:val="ListBullet"/>
      </w:pPr>
      <w:r>
        <w:t>Чуждият COTS продукт (Wialon) не блокира обединяването, но определя архитектурата: лицензиран COTS-компонент + собствен интеграционен слой с отворен код.</w:t>
      </w:r>
    </w:p>
    <w:p>
      <w:r>
        <w:rPr>
          <w:b/>
          <w:i/>
        </w:rPr>
        <w:t xml:space="preserve">Бележка за източниците: </w:t>
      </w:r>
      <w:r>
        <w:rPr>
          <w:i/>
        </w:rPr>
        <w:t>становището ползва (1) четирите ръководства на ИАРА (проекти 0026 и 0007) и (2) предоставените официални образци и правила на МЕУ за ПП и ТС (Приложение № 1 към чл. 38, ал. 3; Приложение № 2 към чл. 38, ал. 4; Правила за проверки на проектни предложения; образци за аргументация на прогнозна стойност). Самите портални страници на egov.government.bg не бяха достъпни директно (мрежова политика блокира домейна), затова процедурните детайли се основават на тези образци и на нормативната рамка. Конкретните членове следва да се сверят с действащите редакции на ЗЕУ и НОИИСРЕАУ преди официално позоваване.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