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Българският жилищен пазар 2005–2025</w:t>
      </w:r>
    </w:p>
    <w:p>
      <w:pPr>
        <w:jc w:val="center"/>
      </w:pPr>
      <w:r>
        <w:rPr>
          <w:color w:val="555555"/>
          <w:sz w:val="25"/>
        </w:rPr>
        <w:t>Динамика на цените, роля на кредита и перспективи 2025–2027</w:t>
      </w:r>
    </w:p>
    <w:p>
      <w:pPr>
        <w:jc w:val="center"/>
      </w:pPr>
      <w:r>
        <w:rPr>
          <w:i/>
          <w:color w:val="555555"/>
          <w:sz w:val="19"/>
        </w:rPr>
        <w:t>Аналитичен обзор • юли 2026 г. • базиран на многоизточниково изследване с верификация</w:t>
      </w:r>
    </w:p>
    <w:p/>
    <w:p>
      <w:pPr>
        <w:pStyle w:val="Heading1"/>
      </w:pPr>
      <w:r>
        <w:rPr>
          <w:color w:val="1F3A5F"/>
        </w:rPr>
        <w:t>1. Кратко резюме</w:t>
      </w:r>
    </w:p>
    <w:p>
      <w:r>
        <w:rPr>
          <w:b w:val="0"/>
          <w:i w:val="0"/>
          <w:sz w:val="22"/>
        </w:rPr>
        <w:t>Българският жилищен пазар преминава през 2005–2025 г. през четири ясно очертани фази: бум (2005–2008), рязко срутване (2009–2013), възстановяване (2014–2019) и силен ковид/инфлационен цикъл (2020–2024), който доведе до рекордна активност през 2024–2025 г. Двигателят на настоящия бум е ипотечното кредитиране при исторически ниски лихви. Приемането на еврото (1 януари 2026 г.) не прекъсна двуцифрения ръст на кредитирането. За 2026 г. се очаква умерен, едноцифрен ръст и навлизане в „етап на зрялост". Китайската имотна криза влияе на България по-скоро като контраст, отколкото като пряк канал.</w:t>
      </w:r>
    </w:p>
    <w:p>
      <w:pPr>
        <w:ind w:left="288"/>
      </w:pPr>
      <w:r>
        <w:rPr>
          <w:b/>
          <w:color w:val="B03A2E"/>
        </w:rPr>
        <w:t xml:space="preserve">⚠ Бележка за прозрачност: </w:t>
      </w:r>
      <w:r>
        <w:rPr>
          <w:i/>
        </w:rPr>
        <w:t>Пълните годишни серии на НСИ по градове (средна цена/кв.м. в София, Пловдив, Варна, Бургас за целия период) не бяха потвърдени от надежден първичен източник по време на изследването — официалните таблици на НСИ не се извлякоха машинно. Затова проверените числа по-долу са ясно отделени от общата (ориентировъчна) картина.</w:t>
      </w:r>
    </w:p>
    <w:p>
      <w:pPr>
        <w:pStyle w:val="Heading1"/>
      </w:pPr>
      <w:r>
        <w:rPr>
          <w:color w:val="1F3A5F"/>
        </w:rPr>
        <w:t>2. Движение на цените по периоди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60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Динамика (посока и потвърденост)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2005–2008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Бум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Бърз ръст на цените и обемите (пик на сделките 2008 г.); подхранван от кредитна експанзия и чуждестранни/ваканционни покупки. Посока потвърдена; точни % — не.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2009–2013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Срутване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В началото на 2009 г. пазарът замръзва ~3 месеца, после сделките падат ~40% спрямо 2008 г. (в София до ~58%). Цените — рязък спад (порядъкът често се цитира ~30–36%, но точното ~36% беше отхвърлено при верификация — приемайте като посока).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2014–2019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Възстановяване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Постепенно връщане на търсенето и цените; ниски лихви, растящи доходи. Общоприета посока; конкретни числа непотвърдени.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2020–2024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Ковид/инфлация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Бягство към „твърди" активи, отрицателни реални лихви и висока инфлация тласкат търсенето. Eurostat: +18,3% г/г ръст на цените (Q4 2024) — най-висок в ЕС.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2024–2025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Рекорд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София: 40 629 сделки за годината — най-много от 2008 г. (~160/ден). София +~29% ръст на цените от началото на 2025 до Q1 2026.</w:t>
            </w:r>
          </w:p>
        </w:tc>
      </w:tr>
    </w:tbl>
    <w:p/>
    <w:p>
      <w:r>
        <w:rPr>
          <w:b/>
          <w:i w:val="0"/>
          <w:sz w:val="22"/>
        </w:rPr>
        <w:t>Проверени опорни числа (висока увереност):</w:t>
      </w:r>
    </w:p>
    <w:p>
      <w:pPr>
        <w:pStyle w:val="ListBullet"/>
      </w:pPr>
      <w:r>
        <w:rPr>
          <w:b/>
        </w:rPr>
        <w:t xml:space="preserve">Спад на сделките 2009: </w:t>
      </w:r>
      <w:r>
        <w:t>~40% национално, ~58% София — спад на сделките през 2009 г.</w:t>
      </w:r>
    </w:p>
    <w:p>
      <w:pPr>
        <w:pStyle w:val="ListBullet"/>
      </w:pPr>
      <w:r>
        <w:rPr>
          <w:b/>
        </w:rPr>
        <w:t xml:space="preserve">Ръст на цените Q4 2024: +18,3% г/г — </w:t>
      </w:r>
      <w:r>
        <w:t>най-висок в ЕС (Eurostat).</w:t>
      </w:r>
    </w:p>
    <w:p>
      <w:pPr>
        <w:pStyle w:val="ListBullet"/>
      </w:pPr>
      <w:r>
        <w:rPr>
          <w:b/>
        </w:rPr>
        <w:t xml:space="preserve">София 2025: </w:t>
      </w:r>
      <w:r>
        <w:t>40 629 сделки (рекорд от 2008 г.); +~29% цени 2025→Q1 2026.</w:t>
      </w:r>
    </w:p>
    <w:p>
      <w:pPr>
        <w:pStyle w:val="Heading1"/>
      </w:pPr>
      <w:r>
        <w:rPr>
          <w:color w:val="1F3A5F"/>
        </w:rPr>
        <w:t>3. Роля на ипотечното кредитиране и лихвите</w:t>
      </w:r>
    </w:p>
    <w:p>
      <w:r>
        <w:rPr>
          <w:b w:val="0"/>
          <w:i w:val="0"/>
          <w:sz w:val="22"/>
        </w:rPr>
        <w:t>Настоящият бум се движи основно от исторически ниски лихви:</w:t>
      </w:r>
    </w:p>
    <w:p>
      <w:pPr>
        <w:pStyle w:val="ListBullet"/>
      </w:pPr>
      <w:r>
        <w:rPr>
          <w:b/>
        </w:rPr>
        <w:t xml:space="preserve">Ипотечни лихви: </w:t>
      </w:r>
      <w:r>
        <w:t>~2,5–2,7% — второто най-ниско ниво в ЕС (след Кипър), срещу 7%+ в Полша и Румъния.</w:t>
      </w:r>
    </w:p>
    <w:p>
      <w:pPr>
        <w:pStyle w:val="ListBullet"/>
      </w:pPr>
      <w:r>
        <w:rPr>
          <w:b/>
        </w:rPr>
        <w:t xml:space="preserve">Допълнителни двигатели: </w:t>
      </w:r>
      <w:r>
        <w:t>рекордно ниска безработица, растящи доходи, стабилен пазар на труда.</w:t>
      </w:r>
    </w:p>
    <w:p>
      <w:pPr>
        <w:pStyle w:val="ListBullet"/>
      </w:pPr>
      <w:r>
        <w:rPr>
          <w:b/>
        </w:rPr>
        <w:t xml:space="preserve">Годишен ръст на ипотечния портфейл: </w:t>
      </w:r>
      <w:r>
        <w:t>около ~28–30%.</w:t>
      </w:r>
    </w:p>
    <w:p>
      <w:pPr>
        <w:pStyle w:val="ListBullet"/>
      </w:pPr>
      <w:r>
        <w:rPr>
          <w:b/>
        </w:rPr>
        <w:t xml:space="preserve">Риск: </w:t>
      </w:r>
      <w:r>
        <w:t>над 90% от ипотеките са с плаваща лихва — ключов риск при лихвен обрат.</w:t>
      </w:r>
    </w:p>
    <w:p>
      <w:pPr>
        <w:pStyle w:val="Heading1"/>
      </w:pPr>
      <w:r>
        <w:rPr>
          <w:color w:val="1F3A5F"/>
        </w:rPr>
        <w:t>4. Текуща обстановка и ефектът на еврото (2026)</w:t>
      </w:r>
    </w:p>
    <w:p>
      <w:pPr>
        <w:pStyle w:val="ListBullet"/>
      </w:pPr>
      <w:r>
        <w:rPr>
          <w:b/>
        </w:rPr>
        <w:t xml:space="preserve">Еврото не прекъсна ръста: </w:t>
      </w:r>
      <w:r>
        <w:t>през януари 2026 г. (първи месец в еврозоната) жилищните кредити достигат 17,037 млрд. евро салдо при годишен ръст ~28% (данни на БНБ). Уточнение: 17 млрд. е натрупано салдо, не новоотпуснати кредити за месеца.</w:t>
      </w:r>
    </w:p>
    <w:p>
      <w:pPr>
        <w:pStyle w:val="ListBullet"/>
      </w:pPr>
      <w:r>
        <w:rPr>
          <w:b/>
        </w:rPr>
        <w:t xml:space="preserve">Тезата, че еврото „ускорява" кредитирането, беше отхвърлена (0-3 гласа) — </w:t>
      </w:r>
      <w:r>
        <w:t>коректната формулировка е, че еврото не го прекъсна.</w:t>
      </w:r>
    </w:p>
    <w:p>
      <w:pPr>
        <w:pStyle w:val="ListBullet"/>
      </w:pPr>
      <w:r>
        <w:rPr>
          <w:b/>
        </w:rPr>
        <w:t xml:space="preserve">След рекордната 2025 г. БНБ отчита „леко охлаждане": </w:t>
      </w:r>
      <w:r>
        <w:t>силният ръст се запазва, но темпът се успокоява; в началото на 2026 г. сделките са около наполовина спрямо върховата 2025 г.</w:t>
      </w:r>
    </w:p>
    <w:p>
      <w:pPr>
        <w:pStyle w:val="ListBullet"/>
      </w:pPr>
      <w:r>
        <w:rPr>
          <w:b/>
        </w:rPr>
        <w:t xml:space="preserve">Промяна в структурата на търсенето — по-селективни купувачи: </w:t>
      </w:r>
      <w:r>
        <w:t>локация, функционалност, енергийна ефективност, степен на завършеност. Пазарът навлиза в „етап на зрялост" — по-малко, по-обмислени сделки.</w:t>
      </w:r>
    </w:p>
    <w:p>
      <w:pPr>
        <w:pStyle w:val="Heading1"/>
      </w:pPr>
      <w:r>
        <w:rPr>
          <w:color w:val="1F3A5F"/>
        </w:rPr>
        <w:t>5. Китайската имотна криза — структурно сравнение</w:t>
      </w:r>
    </w:p>
    <w:p>
      <w:r>
        <w:rPr>
          <w:b w:val="0"/>
          <w:i w:val="0"/>
          <w:sz w:val="22"/>
        </w:rPr>
        <w:t>Пряк канал върху България — слаб. Няма измерен пряк ефект; контрастът е предимно структурен/илюстративен. Потенциалните индиректни канали (глобални лихви, цени на строителни материали — стомана/мед, инвеститорски настроения) съществуват теоретично, но реалният количествен ефект върху България не е доказан от изследването.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Китай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България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Основен проблем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Свръхпредлагане („градове-призраци"), дългова корекция (Evergrande, Country Garden)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Ограничено качествено предлагане + евтин кредит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Ценова динамика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Натиск за спад (нови жилища −9,2% г/г 2025; очакван спад 2–4%)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Ръст (+18,3% г/г, най-висок в ЕС)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Кредит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Скъп/свит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Много евтин (~2,8% срещу 7%+ в региона)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Демография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Свиване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Свиване — но цените растат ~15%/год.; най-висок жилищен фонд на глава в ЕС (624/1000) при население ~7,7 млн. (2005) → ~6,4 млн. (2025)</w:t>
            </w:r>
          </w:p>
        </w:tc>
      </w:tr>
    </w:tbl>
    <w:p/>
    <w:p>
      <w:r>
        <w:rPr>
          <w:b w:val="0"/>
          <w:i/>
          <w:sz w:val="22"/>
        </w:rPr>
        <w:t>Авторите на сравнението (money.bg) определят българската ситуация като „режимна промяна, а не циклично отклонение" — структурна диспропорция между растящи цени и свиващо се население („региони-призраци"). Това е интерпретативна рамка, не обективно измерим факт.</w:t>
      </w:r>
    </w:p>
    <w:p>
      <w:pPr>
        <w:pStyle w:val="Heading1"/>
      </w:pPr>
      <w:r>
        <w:rPr>
          <w:color w:val="1F3A5F"/>
        </w:rPr>
        <w:t>6. Прогнозни сценарии 2025–2027</w:t>
      </w:r>
    </w:p>
    <w:p>
      <w:r>
        <w:rPr>
          <w:b w:val="0"/>
          <w:i w:val="0"/>
          <w:sz w:val="22"/>
        </w:rPr>
        <w:t>Единствената твърдо проверена прогноза е за 2026 г.: умерен, едноцифрен ръст — 5–10% за София, 5–8% за големите градове (Forbes Bulgaria, предаващ очаквания на брокери; корелирано с Investor.bg и eurocom.bg „до 7%"). За 2027 г. няма проверени числа — сценариите по-долу са аналитична рамка, не потвърдени данни: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2026–2027 (рамка)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Предпоставки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Консервативен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+2–5%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Стагнация / лека корекция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Лихвен обрат, затягане на кредита, външен шок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Реалистичен (базов)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+5–10% София / +5–8% страна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Забавящ се едноцифрен ръст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Ниски лихви се запазват, охлаждане на обемите, зрялост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Оптимистичен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+10%+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Продължаващ ръст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Приток от еврото, силни доходи, ограничено предлагане</w:t>
            </w:r>
          </w:p>
        </w:tc>
      </w:tr>
    </w:tbl>
    <w:p/>
    <w:p>
      <w:r>
        <w:rPr>
          <w:b/>
          <w:i w:val="0"/>
          <w:sz w:val="22"/>
        </w:rPr>
        <w:t>Рискове за наблюдение: обрат в лихвите (90%+ плаваща лихва), демографска диспропорция, регионално разслоение (София/големи градове vs малки населени места), възможно затягане от БНБ.</w:t>
      </w:r>
    </w:p>
    <w:p>
      <w:pPr>
        <w:pStyle w:val="Heading1"/>
      </w:pPr>
      <w:r>
        <w:rPr>
          <w:color w:val="1F3A5F"/>
        </w:rPr>
        <w:t>7. Ограничения на анализа</w:t>
      </w:r>
    </w:p>
    <w:p>
      <w:pPr>
        <w:pStyle w:val="ListBullet"/>
      </w:pPr>
      <w:r>
        <w:rPr>
          <w:b/>
        </w:rPr>
        <w:t xml:space="preserve">Празнина в данните: </w:t>
      </w:r>
      <w:r>
        <w:t>конкретните серии на НСИ по градове и годишни индекси за целия период 2005–2025 не бяха потвърдени — само отделни точки (Eurostat, София).</w:t>
      </w:r>
    </w:p>
    <w:p>
      <w:pPr>
        <w:pStyle w:val="ListBullet"/>
      </w:pPr>
      <w:r>
        <w:rPr>
          <w:b/>
        </w:rPr>
        <w:t xml:space="preserve">Отхвърлени твърдения (не влизат в изводите): </w:t>
      </w:r>
      <w:r>
        <w:t>точното −36% за 2009 г.; тезата че еврото „ускорява" кредита; конкретни 1500–1900 €/кв.м за София в края на 2025 г.</w:t>
      </w:r>
    </w:p>
    <w:p>
      <w:pPr>
        <w:pStyle w:val="ListBullet"/>
      </w:pPr>
      <w:r>
        <w:rPr>
          <w:b/>
        </w:rPr>
        <w:t xml:space="preserve">Времева чувствителност: </w:t>
      </w:r>
      <w:r>
        <w:t>повечето прогнозни данни са от януари–март 2026 г.; прегледът е от юли 2026 г.</w:t>
      </w:r>
    </w:p>
    <w:p>
      <w:pPr>
        <w:pStyle w:val="ListBullet"/>
      </w:pPr>
      <w:r>
        <w:rPr>
          <w:b/>
        </w:rPr>
        <w:t xml:space="preserve">Два ключови материала (money.bg) бяха недостъпни при директен достъп (HTTP 403); </w:t>
      </w:r>
      <w:r>
        <w:t>същината е възстановена през кеш/търсачки и корелирана независимо.</w:t>
      </w:r>
    </w:p>
    <w:p>
      <w:pPr>
        <w:pStyle w:val="Heading2"/>
      </w:pPr>
      <w:r>
        <w:rPr>
          <w:color w:val="1F3A5F"/>
        </w:rPr>
        <w:t>Основни източници</w:t>
      </w:r>
    </w:p>
    <w:p>
      <w:r>
        <w:rPr>
          <w:b w:val="0"/>
          <w:i w:val="0"/>
          <w:color w:val="555555"/>
          <w:sz w:val="19"/>
        </w:rPr>
        <w:t>Eurostat; Българска народна банка (БНБ); Агенция по вписванията (чрез investor.bg); economic.bg; Forbes Bulgaria; money.bg; S&amp;P Global / Bloomberg (за Китай). Методология: 5 направления на търсене, 24 извлечени източника, 14 проверени твърдения (11 потвърдени, 3 отхвърлени чрез 3-гласова състезателна верификация).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