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СТАНОВИЩЕ</w:t>
      </w:r>
    </w:p>
    <w:p>
      <w:pPr>
        <w:jc w:val="center"/>
      </w:pPr>
      <w:r>
        <w:rPr>
          <w:b/>
        </w:rPr>
        <w:t>Относно: Възможност за съвместяване (интеграция) на информационните системи на ИАРА и съответствие с изискванията на електронното управление</w:t>
      </w:r>
    </w:p>
    <w:p>
      <w:r>
        <w:rPr>
          <w:b/>
        </w:rPr>
        <w:t xml:space="preserve">Изготвил: </w:t>
      </w:r>
      <w:r>
        <w:t>Цветан Димитров</w:t>
      </w:r>
    </w:p>
    <w:p>
      <w:r>
        <w:rPr>
          <w:b/>
        </w:rPr>
        <w:t xml:space="preserve">Дата: </w:t>
      </w:r>
      <w:r>
        <w:t>31.05.2026 г.</w:t>
      </w:r>
    </w:p>
    <w:p>
      <w:r>
        <w:rPr>
          <w:b/>
        </w:rPr>
        <w:t xml:space="preserve">Предмет: </w:t>
      </w:r>
      <w:r>
        <w:t>Анализ дали ИСС на ИАРА заедно с мобилните приложения за граждани и за инспектори могат да бъдат съвместени със Системата за сателитно наблюдение (СНРК 2.0 / FVMS 2.0), възможна ли е една обща платформа/база данни, и съответства ли това на изискванията на електронното управление (ЗЕУ и подзаконовата уредба), вкл. избягване на двойно финансиране.</w:t>
      </w:r>
    </w:p>
    <w:p>
      <w:pPr>
        <w:pStyle w:val="Heading1"/>
      </w:pPr>
      <w:r>
        <w:t>1. Обхват на анализа — разгледани документи и системи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Документ / система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Проект (ОПМДР/ПМДРА)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Изпълнител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Мобилно приложение за граждани</w:t>
            </w:r>
          </w:p>
        </w:tc>
        <w:tc>
          <w:tcPr>
            <w:tcW w:type="dxa" w:w="1728"/>
          </w:tcPr>
          <w:p>
            <w:r>
              <w:t>Фронтенд за любители-риболовци</w:t>
            </w:r>
          </w:p>
        </w:tc>
        <w:tc>
          <w:tcPr>
            <w:tcW w:type="dxa" w:w="1728"/>
          </w:tcPr>
          <w:p>
            <w:r>
              <w:t>BG14MFOP001-3.001-0026</w:t>
            </w:r>
          </w:p>
        </w:tc>
        <w:tc>
          <w:tcPr>
            <w:tcW w:type="dxa" w:w="1728"/>
          </w:tcPr>
          <w:p>
            <w:r>
              <w:t>проект 0026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Мобилно приложение за инспектори</w:t>
            </w:r>
          </w:p>
        </w:tc>
        <w:tc>
          <w:tcPr>
            <w:tcW w:type="dxa" w:w="1728"/>
          </w:tcPr>
          <w:p>
            <w:r>
              <w:t>Фронтенд за теренна инспекция</w:t>
            </w:r>
          </w:p>
        </w:tc>
        <w:tc>
          <w:tcPr>
            <w:tcW w:type="dxa" w:w="1728"/>
          </w:tcPr>
          <w:p>
            <w:r>
              <w:t>BG14MFOP001-3.001-0026</w:t>
            </w:r>
          </w:p>
        </w:tc>
        <w:tc>
          <w:tcPr>
            <w:tcW w:type="dxa" w:w="1728"/>
          </w:tcPr>
          <w:p>
            <w:r>
              <w:t>проект 0026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Информационно-статистическа система (М ИСС)</w:t>
            </w:r>
          </w:p>
        </w:tc>
        <w:tc>
          <w:tcPr>
            <w:tcW w:type="dxa" w:w="1728"/>
          </w:tcPr>
          <w:p>
            <w:r>
              <w:t>Централна бекенд система</w:t>
            </w:r>
          </w:p>
        </w:tc>
        <w:tc>
          <w:tcPr>
            <w:tcW w:type="dxa" w:w="1728"/>
          </w:tcPr>
          <w:p>
            <w:r>
              <w:t>BG14MFOP001-3.001-0026</w:t>
            </w:r>
          </w:p>
        </w:tc>
        <w:tc>
          <w:tcPr>
            <w:tcW w:type="dxa" w:w="1728"/>
          </w:tcPr>
          <w:p>
            <w:r>
              <w:t>ТехноЛогика ЕАД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СНРК 2.0 / FVMS 2.0 (Wialon Local)</w:t>
            </w:r>
          </w:p>
        </w:tc>
        <w:tc>
          <w:tcPr>
            <w:tcW w:type="dxa" w:w="1728"/>
          </w:tcPr>
          <w:p>
            <w:r>
              <w:t>GPS/телеметрично проследяване</w:t>
            </w:r>
          </w:p>
        </w:tc>
        <w:tc>
          <w:tcPr>
            <w:tcW w:type="dxa" w:w="1728"/>
          </w:tcPr>
          <w:p>
            <w:r>
              <w:t>BG14MFOP001-3.001-0007</w:t>
            </w:r>
          </w:p>
        </w:tc>
        <w:tc>
          <w:tcPr>
            <w:tcW w:type="dxa" w:w="1728"/>
          </w:tcPr>
          <w:p>
            <w:r>
              <w:t>Скортел ООД</w:t>
            </w:r>
          </w:p>
        </w:tc>
      </w:tr>
    </w:tbl>
    <w:p/>
    <w:p>
      <w:r>
        <w:rPr>
          <w:b/>
        </w:rPr>
        <w:t xml:space="preserve">Ключово наблюдение: </w:t>
      </w:r>
      <w:r>
        <w:t>документи 1–3 са една интегрирана екосистема (проект 0026); документ 4 е отделен COTS продукт (Wialon) от проект 0007.</w:t>
      </w:r>
    </w:p>
    <w:p>
      <w:pPr>
        <w:pStyle w:val="Heading1"/>
      </w:pPr>
      <w:r>
        <w:t>2. Могат ли системите технически да се съвместят? — ДА</w:t>
      </w:r>
    </w:p>
    <w:p>
      <w:pPr>
        <w:pStyle w:val="Heading2"/>
      </w:pPr>
      <w:r>
        <w:t>2.1. Документи 1–3 — вече съвместени</w:t>
      </w:r>
    </w:p>
    <w:p>
      <w:r>
        <w:t>ИСС и двете мобилни приложения споделят потребители, номенклатури и процеси.</w:t>
      </w:r>
    </w:p>
    <w:p>
      <w:pPr>
        <w:pStyle w:val="Heading2"/>
      </w:pPr>
      <w:r>
        <w:t>2.2. Документ 4 (FVMS/Wialon) — съвместим чрез интеграция</w:t>
      </w:r>
    </w:p>
    <w:p>
      <w:r>
        <w:rPr>
          <w:b/>
        </w:rPr>
        <w:t xml:space="preserve">Препоръчителен модел: интеграция през API, а не сливане на кодовите бази. </w:t>
      </w:r>
      <w:r>
        <w:t>FVMS подава позиции/телеметрия → ИСС ги съхранява към съответната инспекция.</w:t>
      </w:r>
    </w:p>
    <w:p>
      <w:pPr>
        <w:pStyle w:val="Heading1"/>
      </w:pPr>
      <w:r>
        <w:t>3. Съответствие с изискванията на електронното управление — ДА, при условия</w:t>
      </w:r>
    </w:p>
    <w:p>
      <w:r>
        <w:t>Порталът на МЕУ budget-project-control е механизмът за съгласуване/бюджетен контрол; услугата „Проверка за съответствие на техническата спецификация" е gate преди поръчка/договор.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Нормативна основа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Какво трябва да се осигури</w:t>
            </w:r>
          </w:p>
        </w:tc>
      </w:tr>
      <w:tr>
        <w:tc>
          <w:tcPr>
            <w:tcW w:type="dxa" w:w="2880"/>
          </w:tcPr>
          <w:p>
            <w:r>
              <w:t>Съгласуване/бюджетен контрол</w:t>
            </w:r>
          </w:p>
        </w:tc>
        <w:tc>
          <w:tcPr>
            <w:tcW w:type="dxa" w:w="2880"/>
          </w:tcPr>
          <w:p>
            <w:r>
              <w:t>ЗЕУ; budget-project-control</w:t>
            </w:r>
          </w:p>
        </w:tc>
        <w:tc>
          <w:tcPr>
            <w:tcW w:type="dxa" w:w="2880"/>
          </w:tcPr>
          <w:p>
            <w:r>
              <w:t>Внасяне за съгласуване в МЕУ преди разход</w:t>
            </w:r>
          </w:p>
        </w:tc>
      </w:tr>
      <w:tr>
        <w:tc>
          <w:tcPr>
            <w:tcW w:type="dxa" w:w="2880"/>
          </w:tcPr>
          <w:p>
            <w:r>
              <w:t>Проверка за съответствие на ТС</w:t>
            </w:r>
          </w:p>
        </w:tc>
        <w:tc>
          <w:tcPr>
            <w:tcW w:type="dxa" w:w="2880"/>
          </w:tcPr>
          <w:p>
            <w:r>
              <w:t>чл. 38 ЗЕУ; услуга на МЕУ</w:t>
            </w:r>
          </w:p>
        </w:tc>
        <w:tc>
          <w:tcPr>
            <w:tcW w:type="dxa" w:w="2880"/>
          </w:tcPr>
          <w:p>
            <w:r>
              <w:t>ТС се проверява преди поръчка/договор</w:t>
            </w:r>
          </w:p>
        </w:tc>
      </w:tr>
      <w:tr>
        <w:tc>
          <w:tcPr>
            <w:tcW w:type="dxa" w:w="2880"/>
          </w:tcPr>
          <w:p>
            <w:r>
              <w:t>Удостоверяване на съответствие</w:t>
            </w:r>
          </w:p>
        </w:tc>
        <w:tc>
          <w:tcPr>
            <w:tcW w:type="dxa" w:w="2880"/>
          </w:tcPr>
          <w:p>
            <w:r>
              <w:t>чл. 58б ЗЕУ</w:t>
            </w:r>
          </w:p>
        </w:tc>
        <w:tc>
          <w:tcPr>
            <w:tcW w:type="dxa" w:w="2880"/>
          </w:tcPr>
          <w:p>
            <w:r>
              <w:t>На съответен етап</w:t>
            </w:r>
          </w:p>
        </w:tc>
      </w:tr>
      <w:tr>
        <w:tc>
          <w:tcPr>
            <w:tcW w:type="dxa" w:w="2880"/>
          </w:tcPr>
          <w:p>
            <w:r>
              <w:t>Оперативна съвместимост</w:t>
            </w:r>
          </w:p>
        </w:tc>
        <w:tc>
          <w:tcPr>
            <w:tcW w:type="dxa" w:w="2880"/>
          </w:tcPr>
          <w:p>
            <w:r>
              <w:t>НОИИСРЕАУ; регистри</w:t>
            </w:r>
          </w:p>
        </w:tc>
        <w:tc>
          <w:tcPr>
            <w:tcW w:type="dxa" w:w="2880"/>
          </w:tcPr>
          <w:p>
            <w:r>
              <w:t>Стандартизирани API; вписване</w:t>
            </w:r>
          </w:p>
        </w:tc>
      </w:tr>
      <w:tr>
        <w:tc>
          <w:tcPr>
            <w:tcW w:type="dxa" w:w="2880"/>
          </w:tcPr>
          <w:p>
            <w:r>
              <w:t>Еднократност / служебно начало</w:t>
            </w:r>
          </w:p>
        </w:tc>
        <w:tc>
          <w:tcPr>
            <w:tcW w:type="dxa" w:w="2880"/>
          </w:tcPr>
          <w:p>
            <w:r>
              <w:t>ЗЕУ; RegiX</w:t>
            </w:r>
          </w:p>
        </w:tc>
        <w:tc>
          <w:tcPr>
            <w:tcW w:type="dxa" w:w="2880"/>
          </w:tcPr>
          <w:p>
            <w:r>
              <w:t>Без дублиране на чужди данни</w:t>
            </w:r>
          </w:p>
        </w:tc>
      </w:tr>
      <w:tr>
        <w:tc>
          <w:tcPr>
            <w:tcW w:type="dxa" w:w="2880"/>
          </w:tcPr>
          <w:p>
            <w:r>
              <w:t>Е-идентификация</w:t>
            </w:r>
          </w:p>
        </w:tc>
        <w:tc>
          <w:tcPr>
            <w:tcW w:type="dxa" w:w="2880"/>
          </w:tcPr>
          <w:p>
            <w:r>
              <w:t>ЗЕИ/eID</w:t>
            </w:r>
          </w:p>
        </w:tc>
        <w:tc>
          <w:tcPr>
            <w:tcW w:type="dxa" w:w="2880"/>
          </w:tcPr>
          <w:p>
            <w:r>
              <w:t>ИСС вече ползва</w:t>
            </w:r>
          </w:p>
        </w:tc>
      </w:tr>
      <w:tr>
        <w:tc>
          <w:tcPr>
            <w:tcW w:type="dxa" w:w="2880"/>
          </w:tcPr>
          <w:p>
            <w:r>
              <w:t>Сигурно връчване / плащане</w:t>
            </w:r>
          </w:p>
        </w:tc>
        <w:tc>
          <w:tcPr>
            <w:tcW w:type="dxa" w:w="2880"/>
          </w:tcPr>
          <w:p>
            <w:r>
              <w:t>ССЕВ; pay.egov.bg</w:t>
            </w:r>
          </w:p>
        </w:tc>
        <w:tc>
          <w:tcPr>
            <w:tcW w:type="dxa" w:w="2880"/>
          </w:tcPr>
          <w:p>
            <w:r>
              <w:t>Вече ползвани</w:t>
            </w:r>
          </w:p>
        </w:tc>
      </w:tr>
      <w:tr>
        <w:tc>
          <w:tcPr>
            <w:tcW w:type="dxa" w:w="2880"/>
          </w:tcPr>
          <w:p>
            <w:r>
              <w:t>Държавен облак (ДХЧО)</w:t>
            </w:r>
          </w:p>
        </w:tc>
        <w:tc>
          <w:tcPr>
            <w:tcW w:type="dxa" w:w="2880"/>
          </w:tcPr>
          <w:p>
            <w:r>
              <w:t>политика на МЕУ</w:t>
            </w:r>
          </w:p>
        </w:tc>
        <w:tc>
          <w:tcPr>
            <w:tcW w:type="dxa" w:w="2880"/>
          </w:tcPr>
          <w:p>
            <w:r>
              <w:t>ИСС вече е на ДХЧО; Wialon — на собствен комплекс</w:t>
            </w:r>
          </w:p>
        </w:tc>
      </w:tr>
      <w:tr>
        <w:tc>
          <w:tcPr>
            <w:tcW w:type="dxa" w:w="2880"/>
          </w:tcPr>
          <w:p>
            <w:r>
              <w:t>Мрежова и информационна сигурност</w:t>
            </w:r>
          </w:p>
        </w:tc>
        <w:tc>
          <w:tcPr>
            <w:tcW w:type="dxa" w:w="2880"/>
          </w:tcPr>
          <w:p>
            <w:r>
              <w:t>ЗК; НМИМИС</w:t>
            </w:r>
          </w:p>
        </w:tc>
        <w:tc>
          <w:tcPr>
            <w:tcW w:type="dxa" w:w="2880"/>
          </w:tcPr>
          <w:p>
            <w:r>
              <w:t>Оценка на риска; журнали</w:t>
            </w:r>
          </w:p>
        </w:tc>
      </w:tr>
      <w:tr>
        <w:tc>
          <w:tcPr>
            <w:tcW w:type="dxa" w:w="2880"/>
          </w:tcPr>
          <w:p>
            <w:r>
              <w:t>Лични данни</w:t>
            </w:r>
          </w:p>
        </w:tc>
        <w:tc>
          <w:tcPr>
            <w:tcW w:type="dxa" w:w="2880"/>
          </w:tcPr>
          <w:p>
            <w:r>
              <w:t>GDPR; ЗЗЛД</w:t>
            </w:r>
          </w:p>
        </w:tc>
        <w:tc>
          <w:tcPr>
            <w:tcW w:type="dxa" w:w="2880"/>
          </w:tcPr>
          <w:p>
            <w:r>
              <w:t>DPIA за GPS проследяване</w:t>
            </w:r>
          </w:p>
        </w:tc>
      </w:tr>
    </w:tbl>
    <w:p>
      <w:pPr>
        <w:pStyle w:val="Heading1"/>
      </w:pPr>
      <w:r>
        <w:t>4. Реални рискови точки</w:t>
      </w:r>
    </w:p>
    <w:p>
      <w:pPr>
        <w:pStyle w:val="ListNumber"/>
      </w:pPr>
      <w:r>
        <w:rPr>
          <w:b/>
        </w:rPr>
        <w:t xml:space="preserve">Различни проекти/изпълнители (0026 vs 0007). </w:t>
      </w:r>
      <w:r>
        <w:t>Уреждане договорно/имуществено; без двойно финансиране.</w:t>
      </w:r>
    </w:p>
    <w:p>
      <w:pPr>
        <w:pStyle w:val="ListNumber"/>
      </w:pPr>
      <w:r>
        <w:rPr>
          <w:b/>
        </w:rPr>
        <w:t xml:space="preserve">Wialon Local е готов чужд продукт (Gurtam). </w:t>
      </w:r>
      <w:r>
        <w:t>Локация на данните; собственост на кода; оперативна съвместимост → интеграция през API.</w:t>
      </w:r>
    </w:p>
    <w:p>
      <w:pPr>
        <w:pStyle w:val="ListNumber"/>
      </w:pPr>
      <w:r>
        <w:rPr>
          <w:b/>
        </w:rPr>
        <w:t xml:space="preserve">GDPR за GPS проследяване. </w:t>
      </w:r>
      <w:r>
        <w:t>Задължителна DPIA и ясно правно основание.</w:t>
      </w:r>
    </w:p>
    <w:p>
      <w:pPr>
        <w:pStyle w:val="Heading1"/>
      </w:pPr>
      <w:r>
        <w:t>5. Извод</w:t>
      </w:r>
    </w:p>
    <w:p>
      <w:pPr>
        <w:pStyle w:val="ListBullet"/>
      </w:pPr>
      <w:r>
        <w:rPr>
          <w:b/>
        </w:rPr>
        <w:t xml:space="preserve">Технически — ДА. </w:t>
      </w:r>
      <w:r>
        <w:t>Интеграция ИСС ⇄ FVMS на ниво интерфейс, не сливане на кодове.</w:t>
      </w:r>
    </w:p>
    <w:p>
      <w:pPr>
        <w:pStyle w:val="ListBullet"/>
      </w:pPr>
      <w:r>
        <w:rPr>
          <w:b/>
        </w:rPr>
        <w:t xml:space="preserve">За е-управление — ДА, при условие, </w:t>
      </w:r>
      <w:r>
        <w:t>съгласуване в МЕУ, ТС по образец (чл. 38, ал. 3), проверка/удостоверяване по чл. 58б ЗЕУ, оперативна съвместимост, RegiX, eID, ССЕВ/плащания, ДХЧО, сигурност, GDPR.</w:t>
      </w:r>
    </w:p>
    <w:p>
      <w:pPr>
        <w:pStyle w:val="ListBullet"/>
      </w:pPr>
      <w:r>
        <w:rPr>
          <w:b/>
        </w:rPr>
        <w:t xml:space="preserve">Изходен код: </w:t>
      </w:r>
      <w:r>
        <w:t>Wialon (затворен COTS) не може да стане собствен OSS → COTS компонент + собствен интеграционен слой с отворен код.</w:t>
      </w:r>
    </w:p>
    <w:p>
      <w:pPr>
        <w:pStyle w:val="ListBullet"/>
      </w:pPr>
      <w:r>
        <w:rPr>
          <w:b/>
        </w:rPr>
        <w:t xml:space="preserve">Една платформа: </w:t>
      </w:r>
      <w:r>
        <w:t>М ИСС вече е единната база/платформа за собствените данни — новите нужди стават модули в нея; останалите системи се интегрират (раздел 7).</w:t>
      </w:r>
    </w:p>
    <w:p>
      <w:pPr>
        <w:pStyle w:val="Heading1"/>
      </w:pPr>
      <w:r>
        <w:t>6. Конкретни изисквания по методическата рамка на МЕУ (образци ПП и ТС)</w:t>
      </w:r>
    </w:p>
    <w:p>
      <w:pPr>
        <w:pStyle w:val="ListBullet"/>
      </w:pPr>
      <w:r>
        <w:t>ТС по образец Приложение № 1 към чл. 38, ал. 3 — задължителен; съдържанието не се изтрива.</w:t>
      </w:r>
    </w:p>
    <w:p>
      <w:pPr>
        <w:pStyle w:val="ListBullet"/>
      </w:pPr>
      <w:r>
        <w:t>Удостоверяване на съответствие по чл. 58б ЗЕУ; вписване в Регистъра на проектите.</w:t>
      </w:r>
    </w:p>
    <w:p>
      <w:pPr>
        <w:pStyle w:val="ListBullet"/>
      </w:pPr>
      <w:r>
        <w:t>Аргументация на прогнозната стойност (4–6 мес. готова платформа; ≥6 мес. нова разработка; поддръжка ≥15%).</w:t>
      </w:r>
    </w:p>
    <w:p>
      <w:pPr>
        <w:pStyle w:val="ListBullet"/>
      </w:pPr>
      <w:r>
        <w:t>НОИИСРЕАУ: изходен код за Възложителя (чл. 42 ЗАПСП); отворени лицензи (GPL/EUPL и др.); публично хранилище; публична API документация.</w:t>
      </w:r>
    </w:p>
    <w:p>
      <w:r>
        <w:rPr>
          <w:b/>
        </w:rPr>
        <w:t xml:space="preserve">Wialon Local е затворен COTS продукт и не отговаря на изискването за собствен отворен код. </w:t>
      </w:r>
      <w:r>
        <w:t>Съответстващ модел: Wialon = готово лицензирано решение (COTS); интеграционният слой от ИСС = собствен софтуер с отворен код.</w:t>
      </w:r>
    </w:p>
    <w:p>
      <w:pPr>
        <w:pStyle w:val="Heading1"/>
      </w:pPr>
      <w:r>
        <w:t>7. Карта на данните и единна платформа (на база „Описание на данните на ИАРА")</w:t>
      </w:r>
    </w:p>
    <w:p>
      <w:r>
        <w:t>Описанието на данните потвърждава, че ядрото на собствените данни на ИАРА вече е консолидирано в една платформа — М ИСС (PostgreSQL, ДХЧО, поддръжка по проект 1.001-0008).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Данни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Система/платформа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Хостинг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Финансиране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Консолидация</w:t>
            </w:r>
          </w:p>
        </w:tc>
      </w:tr>
      <w:tr>
        <w:tc>
          <w:tcPr>
            <w:tcW w:type="dxa" w:w="1728"/>
          </w:tcPr>
          <w:p>
            <w:r>
              <w:t>Регистър на флота (CFR)</w:t>
            </w:r>
          </w:p>
        </w:tc>
        <w:tc>
          <w:tcPr>
            <w:tcW w:type="dxa" w:w="1728"/>
          </w:tcPr>
          <w:p>
            <w:r>
              <w:t>М ИСС</w:t>
            </w:r>
          </w:p>
        </w:tc>
        <w:tc>
          <w:tcPr>
            <w:tcW w:type="dxa" w:w="1728"/>
          </w:tcPr>
          <w:p>
            <w:r>
              <w:t>ДХЧО</w:t>
            </w:r>
          </w:p>
        </w:tc>
        <w:tc>
          <w:tcPr>
            <w:tcW w:type="dxa" w:w="1728"/>
          </w:tcPr>
          <w:p>
            <w:r>
              <w:t>0008</w:t>
            </w:r>
          </w:p>
        </w:tc>
        <w:tc>
          <w:tcPr>
            <w:tcW w:type="dxa" w:w="1728"/>
          </w:tcPr>
          <w:p>
            <w:r>
              <w:t>✅ в ИСС</w:t>
            </w:r>
          </w:p>
        </w:tc>
      </w:tr>
      <w:tr>
        <w:tc>
          <w:tcPr>
            <w:tcW w:type="dxa" w:w="1728"/>
          </w:tcPr>
          <w:p>
            <w:r>
              <w:t>ERS дневници (FLUX)</w:t>
            </w:r>
          </w:p>
        </w:tc>
        <w:tc>
          <w:tcPr>
            <w:tcW w:type="dxa" w:w="1728"/>
          </w:tcPr>
          <w:p>
            <w:r>
              <w:t>М ИСС</w:t>
            </w:r>
          </w:p>
        </w:tc>
        <w:tc>
          <w:tcPr>
            <w:tcW w:type="dxa" w:w="1728"/>
          </w:tcPr>
          <w:p>
            <w:r>
              <w:t>ДХЧО</w:t>
            </w:r>
          </w:p>
        </w:tc>
        <w:tc>
          <w:tcPr>
            <w:tcW w:type="dxa" w:w="1728"/>
          </w:tcPr>
          <w:p>
            <w:r>
              <w:t>0008; → 0007</w:t>
            </w:r>
          </w:p>
        </w:tc>
        <w:tc>
          <w:tcPr>
            <w:tcW w:type="dxa" w:w="1728"/>
          </w:tcPr>
          <w:p>
            <w:r>
              <w:t>✅ в ИСС</w:t>
            </w:r>
          </w:p>
        </w:tc>
      </w:tr>
      <w:tr>
        <w:tc>
          <w:tcPr>
            <w:tcW w:type="dxa" w:w="1728"/>
          </w:tcPr>
          <w:p>
            <w:r>
              <w:t>Регистри по ЗРА (билети, разрешителни, аквакултури, купувачи, рибари)</w:t>
            </w:r>
          </w:p>
        </w:tc>
        <w:tc>
          <w:tcPr>
            <w:tcW w:type="dxa" w:w="1728"/>
          </w:tcPr>
          <w:p>
            <w:r>
              <w:t>М ИСС</w:t>
            </w:r>
          </w:p>
        </w:tc>
        <w:tc>
          <w:tcPr>
            <w:tcW w:type="dxa" w:w="1728"/>
          </w:tcPr>
          <w:p>
            <w:r>
              <w:t>ДХЧО</w:t>
            </w:r>
          </w:p>
        </w:tc>
        <w:tc>
          <w:tcPr>
            <w:tcW w:type="dxa" w:w="1728"/>
          </w:tcPr>
          <w:p>
            <w:r>
              <w:t>0008</w:t>
            </w:r>
          </w:p>
        </w:tc>
        <w:tc>
          <w:tcPr>
            <w:tcW w:type="dxa" w:w="1728"/>
          </w:tcPr>
          <w:p>
            <w:r>
              <w:t>✅ в ИСС — тук влиза любителският улов</w:t>
            </w:r>
          </w:p>
        </w:tc>
      </w:tr>
      <w:tr>
        <w:tc>
          <w:tcPr>
            <w:tcW w:type="dxa" w:w="1728"/>
          </w:tcPr>
          <w:p>
            <w:r>
              <w:t>Квоти / ОДУ</w:t>
            </w:r>
          </w:p>
        </w:tc>
        <w:tc>
          <w:tcPr>
            <w:tcW w:type="dxa" w:w="1728"/>
          </w:tcPr>
          <w:p>
            <w:r>
              <w:t>М ИСС</w:t>
            </w:r>
          </w:p>
        </w:tc>
        <w:tc>
          <w:tcPr>
            <w:tcW w:type="dxa" w:w="1728"/>
          </w:tcPr>
          <w:p>
            <w:r>
              <w:t>ДХЧО</w:t>
            </w:r>
          </w:p>
        </w:tc>
        <w:tc>
          <w:tcPr>
            <w:tcW w:type="dxa" w:w="1728"/>
          </w:tcPr>
          <w:p>
            <w:r>
              <w:t>0008</w:t>
            </w:r>
          </w:p>
        </w:tc>
        <w:tc>
          <w:tcPr>
            <w:tcW w:type="dxa" w:w="1728"/>
          </w:tcPr>
          <w:p>
            <w:r>
              <w:t>✅ в ИСС</w:t>
            </w:r>
          </w:p>
        </w:tc>
      </w:tr>
      <w:tr>
        <w:tc>
          <w:tcPr>
            <w:tcW w:type="dxa" w:w="1728"/>
          </w:tcPr>
          <w:p>
            <w:r>
              <w:t>Публично уеб съдържание</w:t>
            </w:r>
          </w:p>
        </w:tc>
        <w:tc>
          <w:tcPr>
            <w:tcW w:type="dxa" w:w="1728"/>
          </w:tcPr>
          <w:p>
            <w:r>
              <w:t>публичен модул на ИСС</w:t>
            </w:r>
          </w:p>
        </w:tc>
        <w:tc>
          <w:tcPr>
            <w:tcW w:type="dxa" w:w="1728"/>
          </w:tcPr>
          <w:p>
            <w:r>
              <w:t>ДХЧО</w:t>
            </w:r>
          </w:p>
        </w:tc>
        <w:tc>
          <w:tcPr>
            <w:tcW w:type="dxa" w:w="1728"/>
          </w:tcPr>
          <w:p>
            <w:r>
              <w:t>0008</w:t>
            </w:r>
          </w:p>
        </w:tc>
        <w:tc>
          <w:tcPr>
            <w:tcW w:type="dxa" w:w="1728"/>
          </w:tcPr>
          <w:p>
            <w:r>
              <w:t>✅ в ИСС</w:t>
            </w:r>
          </w:p>
        </w:tc>
      </w:tr>
      <w:tr>
        <w:tc>
          <w:tcPr>
            <w:tcW w:type="dxa" w:w="1728"/>
          </w:tcPr>
          <w:p>
            <w:r>
              <w:t>VMS сателитни позиции</w:t>
            </w:r>
          </w:p>
        </w:tc>
        <w:tc>
          <w:tcPr>
            <w:tcW w:type="dxa" w:w="1728"/>
          </w:tcPr>
          <w:p>
            <w:r>
              <w:t>СНРК 2.0 / Wialon</w:t>
            </w:r>
          </w:p>
        </w:tc>
        <w:tc>
          <w:tcPr>
            <w:tcW w:type="dxa" w:w="1728"/>
          </w:tcPr>
          <w:p>
            <w:r>
              <w:t>собствен сървър</w:t>
            </w:r>
          </w:p>
        </w:tc>
        <w:tc>
          <w:tcPr>
            <w:tcW w:type="dxa" w:w="1728"/>
          </w:tcPr>
          <w:p>
            <w:r>
              <w:t>0007/0008</w:t>
            </w:r>
          </w:p>
        </w:tc>
        <w:tc>
          <w:tcPr>
            <w:tcW w:type="dxa" w:w="1728"/>
          </w:tcPr>
          <w:p>
            <w:r>
              <w:t>⚠️ COTS → интеграция (FLUX)</w:t>
            </w:r>
          </w:p>
        </w:tc>
      </w:tr>
      <w:tr>
        <w:tc>
          <w:tcPr>
            <w:tcW w:type="dxa" w:w="1728"/>
          </w:tcPr>
          <w:p>
            <w:r>
              <w:t>Деловодство</w:t>
            </w:r>
          </w:p>
        </w:tc>
        <w:tc>
          <w:tcPr>
            <w:tcW w:type="dxa" w:w="1728"/>
          </w:tcPr>
          <w:p>
            <w:r>
              <w:t>Евентис (лицензна)</w:t>
            </w:r>
          </w:p>
        </w:tc>
        <w:tc>
          <w:tcPr>
            <w:tcW w:type="dxa" w:w="1728"/>
          </w:tcPr>
          <w:p>
            <w:r>
              <w:t>доставчик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⚠️ интеграция (СЕОС)</w:t>
            </w:r>
          </w:p>
        </w:tc>
      </w:tr>
      <w:tr>
        <w:tc>
          <w:tcPr>
            <w:tcW w:type="dxa" w:w="1728"/>
          </w:tcPr>
          <w:p>
            <w:r>
              <w:t>Счетоводство + ПРБ</w:t>
            </w:r>
          </w:p>
        </w:tc>
        <w:tc>
          <w:tcPr>
            <w:tcW w:type="dxa" w:w="1728"/>
          </w:tcPr>
          <w:p>
            <w:r>
              <w:t>счет. софтуер + модул ПРБ</w:t>
            </w:r>
          </w:p>
        </w:tc>
        <w:tc>
          <w:tcPr>
            <w:tcW w:type="dxa" w:w="1728"/>
          </w:tcPr>
          <w:p>
            <w:r>
              <w:t>собствен + ДХЧО</w:t>
            </w:r>
          </w:p>
        </w:tc>
        <w:tc>
          <w:tcPr>
            <w:tcW w:type="dxa" w:w="1728"/>
          </w:tcPr>
          <w:p>
            <w:r>
              <w:t>ПРБ = 0004</w:t>
            </w:r>
          </w:p>
        </w:tc>
        <w:tc>
          <w:tcPr>
            <w:tcW w:type="dxa" w:w="1728"/>
          </w:tcPr>
          <w:p>
            <w:r>
              <w:t>🟡 ПРБ се влива в ИСС</w:t>
            </w:r>
          </w:p>
        </w:tc>
      </w:tr>
      <w:tr>
        <w:tc>
          <w:tcPr>
            <w:tcW w:type="dxa" w:w="1728"/>
          </w:tcPr>
          <w:p>
            <w:r>
              <w:t>Научни данни (DCF)</w:t>
            </w:r>
          </w:p>
        </w:tc>
        <w:tc>
          <w:tcPr>
            <w:tcW w:type="dxa" w:w="1728"/>
          </w:tcPr>
          <w:p>
            <w:r>
              <w:t>dcf-bulgaria.bg + институти</w:t>
            </w:r>
          </w:p>
        </w:tc>
        <w:tc>
          <w:tcPr>
            <w:tcW w:type="dxa" w:w="1728"/>
          </w:tcPr>
          <w:p>
            <w:r>
              <w:t>собствен + изпълнители</w:t>
            </w:r>
          </w:p>
        </w:tc>
        <w:tc>
          <w:tcPr>
            <w:tcW w:type="dxa" w:w="1728"/>
          </w:tcPr>
          <w:p>
            <w:r>
              <w:t>1.002.0002</w:t>
            </w:r>
          </w:p>
        </w:tc>
        <w:tc>
          <w:tcPr>
            <w:tcW w:type="dxa" w:w="1728"/>
          </w:tcPr>
          <w:p>
            <w:r>
              <w:t>⚠️ отделна платформа</w:t>
            </w:r>
          </w:p>
        </w:tc>
      </w:tr>
      <w:tr>
        <w:tc>
          <w:tcPr>
            <w:tcW w:type="dxa" w:w="1728"/>
          </w:tcPr>
          <w:p>
            <w:r>
              <w:t>IUU уловни сертификати</w:t>
            </w:r>
          </w:p>
        </w:tc>
        <w:tc>
          <w:tcPr>
            <w:tcW w:type="dxa" w:w="1728"/>
          </w:tcPr>
          <w:p>
            <w:r>
              <w:t>CATCH (на ЕК)</w:t>
            </w:r>
          </w:p>
        </w:tc>
        <w:tc>
          <w:tcPr>
            <w:tcW w:type="dxa" w:w="1728"/>
          </w:tcPr>
          <w:p>
            <w:r>
              <w:t>ЕК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⛔ външна → интеграция</w:t>
            </w:r>
          </w:p>
        </w:tc>
      </w:tr>
    </w:tbl>
    <w:p>
      <w:pPr>
        <w:pStyle w:val="ListBullet"/>
      </w:pPr>
      <w:r>
        <w:rPr>
          <w:b/>
        </w:rPr>
        <w:t xml:space="preserve">Една платформа вече съществува (М ИСС). </w:t>
      </w:r>
      <w:r>
        <w:t>Скъпите „прехвърляния" идват от системите извън нея.</w:t>
      </w:r>
    </w:p>
    <w:p>
      <w:pPr>
        <w:pStyle w:val="ListBullet"/>
      </w:pPr>
      <w:r>
        <w:rPr>
          <w:b/>
        </w:rPr>
        <w:t xml:space="preserve">Критерий за консолидация: </w:t>
      </w:r>
      <w:r>
        <w:t>собствени данни, на които ИАРА е първичен администратор → модул в М ИСС (билети, улови, разрешителни, квоти, ПРБ); останалите → интеграция, не сливане.</w:t>
      </w:r>
    </w:p>
    <w:p>
      <w:pPr>
        <w:pStyle w:val="ListBullet"/>
      </w:pPr>
      <w:r>
        <w:rPr>
          <w:b/>
        </w:rPr>
        <w:t xml:space="preserve">Принцип за еднократност: </w:t>
      </w:r>
      <w:r>
        <w:t>чужди данни (CATCH/ЕК, регистри през RegiX) не се дублират.</w:t>
      </w:r>
    </w:p>
    <w:p>
      <w:pPr>
        <w:pStyle w:val="Heading1"/>
      </w:pPr>
      <w:r>
        <w:t>8. Демаркация и риск от двойно финансиране</w:t>
      </w:r>
    </w:p>
    <w:p>
      <w:r>
        <w:t>Текущи проекти по процедура BG14MFPR001-1.001 „Контрол и правоприлагане", които създават риск от застъпване: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Проект (статус)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Предмет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Застъпване</w:t>
            </w:r>
          </w:p>
        </w:tc>
      </w:tr>
      <w:tr>
        <w:tc>
          <w:tcPr>
            <w:tcW w:type="dxa" w:w="2880"/>
          </w:tcPr>
          <w:p>
            <w:r>
              <w:t>1.001-0004 (в изпълнение)</w:t>
            </w:r>
          </w:p>
        </w:tc>
        <w:tc>
          <w:tcPr>
            <w:tcW w:type="dxa" w:w="2880"/>
          </w:tcPr>
          <w:p>
            <w:r>
              <w:t>Модул „ПРБ" към ИСС</w:t>
            </w:r>
          </w:p>
        </w:tc>
        <w:tc>
          <w:tcPr>
            <w:tcW w:type="dxa" w:w="2880"/>
          </w:tcPr>
          <w:p>
            <w:r>
              <w:t>шаблон „модул към ИСС"; друг домейн</w:t>
            </w:r>
          </w:p>
        </w:tc>
      </w:tr>
      <w:tr>
        <w:tc>
          <w:tcPr>
            <w:tcW w:type="dxa" w:w="2880"/>
          </w:tcPr>
          <w:p>
            <w:r>
              <w:t>1.001-0005 (в изпълнение)</w:t>
            </w:r>
          </w:p>
        </w:tc>
        <w:tc>
          <w:tcPr>
            <w:tcW w:type="dxa" w:w="2880"/>
          </w:tcPr>
          <w:p>
            <w:r>
              <w:t>Надграждане на системите за наблюдение + ИСС</w:t>
            </w:r>
          </w:p>
        </w:tc>
        <w:tc>
          <w:tcPr>
            <w:tcW w:type="dxa" w:w="2880"/>
          </w:tcPr>
          <w:p>
            <w:r>
              <w:t>общо „надграждане на ИСС"</w:t>
            </w:r>
          </w:p>
        </w:tc>
      </w:tr>
      <w:tr>
        <w:tc>
          <w:tcPr>
            <w:tcW w:type="dxa" w:w="2880"/>
          </w:tcPr>
          <w:p>
            <w:r>
              <w:t>1.001-0007 (в изпълнение)</w:t>
            </w:r>
          </w:p>
        </w:tc>
        <w:tc>
          <w:tcPr>
            <w:tcW w:type="dxa" w:w="2880"/>
          </w:tcPr>
          <w:p>
            <w:r>
              <w:t>Бордово оборудване 9–11.99 м + интеграция СНРК и М ИСС</w:t>
            </w:r>
          </w:p>
        </w:tc>
        <w:tc>
          <w:tcPr>
            <w:tcW w:type="dxa" w:w="2880"/>
          </w:tcPr>
          <w:p>
            <w:r>
              <w:t>интеграция ИСС ⇄ СНРК</w:t>
            </w:r>
          </w:p>
        </w:tc>
      </w:tr>
      <w:tr>
        <w:tc>
          <w:tcPr>
            <w:tcW w:type="dxa" w:w="2880"/>
          </w:tcPr>
          <w:p>
            <w:r>
              <w:t>1.001-0008 (в изпълнение)</w:t>
            </w:r>
          </w:p>
        </w:tc>
        <w:tc>
          <w:tcPr>
            <w:tcW w:type="dxa" w:w="2880"/>
          </w:tcPr>
          <w:p>
            <w:r>
              <w:t>Функциониране на СНРК + FLUX + ИСС</w:t>
            </w:r>
          </w:p>
        </w:tc>
        <w:tc>
          <w:tcPr>
            <w:tcW w:type="dxa" w:w="2880"/>
          </w:tcPr>
          <w:p>
            <w:r>
              <w:t>поддръжка/функционалност на ИСС</w:t>
            </w:r>
          </w:p>
        </w:tc>
      </w:tr>
      <w:tr>
        <w:tc>
          <w:tcPr>
            <w:tcW w:type="dxa" w:w="2880"/>
          </w:tcPr>
          <w:p>
            <w:r>
              <w:t>3.001-0026 (приключен)</w:t>
            </w:r>
          </w:p>
        </w:tc>
        <w:tc>
          <w:tcPr>
            <w:tcW w:type="dxa" w:w="2880"/>
          </w:tcPr>
          <w:p>
            <w:r>
              <w:t>Надграждане на ИСС + мобилни приложения + ЕАУ</w:t>
            </w:r>
          </w:p>
        </w:tc>
        <w:tc>
          <w:tcPr>
            <w:tcW w:type="dxa" w:w="2880"/>
          </w:tcPr>
          <w:p>
            <w:r>
              <w:t>първоначална разработка на мобилното приложение</w:t>
            </w:r>
          </w:p>
        </w:tc>
      </w:tr>
    </w:tbl>
    <w:p>
      <w:r>
        <w:t>Демаркация за новото задание (любителски улов), за да е допустимо (т. 14.2, т. 1; чл. 188 Регл. 2018/1046):</w:t>
      </w:r>
    </w:p>
    <w:p>
      <w:pPr>
        <w:pStyle w:val="ListBullet"/>
      </w:pPr>
      <w:r>
        <w:t>надгражда ИСС само за домейна „улов от любителски риболов / лицензионен режим / дигитален билет / RecFishing";</w:t>
      </w:r>
    </w:p>
    <w:p>
      <w:pPr>
        <w:pStyle w:val="ListBullet"/>
      </w:pPr>
      <w:r>
        <w:t>не дублира общата поддръжка (0008), модул ПРБ (0004), нито VMS разширението (0007);</w:t>
      </w:r>
    </w:p>
    <w:p>
      <w:pPr>
        <w:pStyle w:val="ListBullet"/>
      </w:pPr>
      <w:r>
        <w:t>мобилно приложение: миграцията Xamarin → поддържана платформа е нов разход (EOL от 01.05.2024 г.), не повторно финансиране на 0026;</w:t>
      </w:r>
    </w:p>
    <w:p>
      <w:pPr>
        <w:pStyle w:val="ListBullet"/>
      </w:pPr>
      <w:r>
        <w:t>интеграция със СНРК: преизползване на вече изградената (0007/0008), без повторна разработка;</w:t>
      </w:r>
    </w:p>
    <w:p>
      <w:pPr>
        <w:pStyle w:val="ListBullet"/>
      </w:pPr>
      <w:r>
        <w:t>към формуляра в ИСУН: декларация за липса на двойно финансиране + демаркационна таблица.</w:t>
      </w:r>
    </w:p>
    <w:p>
      <w:r>
        <w:rPr>
          <w:b/>
          <w:i/>
        </w:rPr>
        <w:t xml:space="preserve">Бележка за източниците: </w:t>
      </w:r>
      <w:r>
        <w:rPr>
          <w:i/>
        </w:rPr>
        <w:t>становището ползва четирите ръководства на ИАРА (0026, 0007); образците и правилата на МЕУ за ПП и ТС; заданието за модул „Любителски улов" (v08012026); Условията по процедура BG14MFPR001-1.001; списъка с проекти; и описанието на данните на ИАРА. Страниците на egov.government.bg не бяха достъпни директно (мрежова политика). Конкретните членове и проектни обхвати да се сверят с действащите ЗЕУ/НОИИСРЕАУ и актуалните договори преди официално позоваване.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