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Оценка на въздействието върху защитата на данните (DPIA) — СКЕЛЕТ</w:t>
      </w:r>
    </w:p>
    <w:p>
      <w:r>
        <w:t>Относно: проследяване на местоположението (GPS/телеметрия) на патрулни средства и инспектори чрез интеграцията ИСС ⇄ FVMS (Wialon Local).</w:t>
      </w:r>
    </w:p>
    <w:p>
      <w:r>
        <w:t>Правно основание за DPIA: чл. 35 от Регламент (ЕС) 2016/679 (GDPR); ЗЗЛД. Скелет за попълване от ИАРА и DPO.</w:t>
      </w:r>
    </w:p>
    <w:p>
      <w:pPr>
        <w:pStyle w:val="Heading1"/>
      </w:pPr>
      <w:r>
        <w:t>1. Описание на обработването</w:t>
      </w:r>
    </w:p>
    <w:p>
      <w:pPr>
        <w:pStyle w:val="ListBullet"/>
      </w:pPr>
      <w:r>
        <w:t>Администратор: ИАРА.</w:t>
      </w:r>
    </w:p>
    <w:p>
      <w:pPr>
        <w:pStyle w:val="ListBullet"/>
      </w:pPr>
      <w:r>
        <w:t>Естество: непрекъснато събиране на геолокация и телеметрия (скорост, маршрут, време) на патрулни средства.</w:t>
      </w:r>
    </w:p>
    <w:p>
      <w:pPr>
        <w:pStyle w:val="ListBullet"/>
      </w:pPr>
      <w:r>
        <w:t>Данни: идентификатор на обект/средство; идентификатор/име на инспектор (при обвързване); GPS координати; време; телеметрия.</w:t>
      </w:r>
    </w:p>
    <w:p>
      <w:pPr>
        <w:pStyle w:val="ListBullet"/>
      </w:pPr>
      <w:r>
        <w:t>Субекти: инспектори (служители). Получатели: ИСС (модул „Контролна дейност"); [Wialon/Скортел като обработващ?].</w:t>
      </w:r>
    </w:p>
    <w:p>
      <w:pPr>
        <w:pStyle w:val="ListBullet"/>
      </w:pPr>
      <w:r>
        <w:t>Срок на съхранение: [Х] (минимизиран). Трансфери: [локация на сървърите на Wialon? извън ЕС?] — критично.</w:t>
      </w:r>
    </w:p>
    <w:p>
      <w:pPr>
        <w:pStyle w:val="Heading1"/>
      </w:pPr>
      <w:r>
        <w:t>2. Необходимост и пропорционалност</w:t>
      </w:r>
    </w:p>
    <w:p>
      <w:pPr>
        <w:pStyle w:val="ListBullet"/>
      </w:pPr>
      <w:r>
        <w:t>Цел: контрол на патрулната/инспекционната дейност; отчетност.</w:t>
      </w:r>
    </w:p>
    <w:p>
      <w:pPr>
        <w:pStyle w:val="ListBullet"/>
      </w:pPr>
      <w:r>
        <w:t>Правно основание (чл. 6 GDPR): [обществен интерес/правно задължение; трудово/служебно правоотношение].</w:t>
      </w:r>
    </w:p>
    <w:p>
      <w:pPr>
        <w:pStyle w:val="ListBullet"/>
      </w:pPr>
      <w:r>
        <w:t>Принципи: ограничаване на целта; минимизиране; ограничено съхранение; прозрачност.</w:t>
      </w:r>
    </w:p>
    <w:p>
      <w:pPr>
        <w:pStyle w:val="ListBullet"/>
      </w:pPr>
      <w:r>
        <w:t>Пропорционалност: проследяване само при служебни задачи/работно време; без мониторинг на личния живот.</w:t>
      </w:r>
    </w:p>
    <w:p>
      <w:pPr>
        <w:pStyle w:val="Heading1"/>
      </w:pPr>
      <w:r>
        <w:t>3. Рискове за правата и свободите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Риск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Ниво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Мярка</w:t>
            </w:r>
          </w:p>
        </w:tc>
      </w:tr>
      <w:tr>
        <w:tc>
          <w:tcPr>
            <w:tcW w:type="dxa" w:w="2880"/>
          </w:tcPr>
          <w:p>
            <w:r>
              <w:t>Прекомерно наблюдение на служители</w:t>
            </w:r>
          </w:p>
        </w:tc>
        <w:tc>
          <w:tcPr>
            <w:tcW w:type="dxa" w:w="2880"/>
          </w:tcPr>
          <w:p>
            <w:r>
              <w:t>Високо</w:t>
            </w:r>
          </w:p>
        </w:tc>
        <w:tc>
          <w:tcPr>
            <w:tcW w:type="dxa" w:w="2880"/>
          </w:tcPr>
          <w:p>
            <w:r>
              <w:t>Ограничаване във времето/целта; политика</w:t>
            </w:r>
          </w:p>
        </w:tc>
      </w:tr>
      <w:tr>
        <w:tc>
          <w:tcPr>
            <w:tcW w:type="dxa" w:w="2880"/>
          </w:tcPr>
          <w:p>
            <w:r>
              <w:t>Неоторизиран достъп</w:t>
            </w:r>
          </w:p>
        </w:tc>
        <w:tc>
          <w:tcPr>
            <w:tcW w:type="dxa" w:w="2880"/>
          </w:tcPr>
          <w:p>
            <w:r>
              <w:t>Високо</w:t>
            </w:r>
          </w:p>
        </w:tc>
        <w:tc>
          <w:tcPr>
            <w:tcW w:type="dxa" w:w="2880"/>
          </w:tcPr>
          <w:p>
            <w:r>
              <w:t>RBAC/ACL; одит; криптиране</w:t>
            </w:r>
          </w:p>
        </w:tc>
      </w:tr>
      <w:tr>
        <w:tc>
          <w:tcPr>
            <w:tcW w:type="dxa" w:w="2880"/>
          </w:tcPr>
          <w:p>
            <w:r>
              <w:t>Локация на данните (Wialon)</w:t>
            </w:r>
          </w:p>
        </w:tc>
        <w:tc>
          <w:tcPr>
            <w:tcW w:type="dxa" w:w="2880"/>
          </w:tcPr>
          <w:p>
            <w:r>
              <w:t>Високо</w:t>
            </w:r>
          </w:p>
        </w:tc>
        <w:tc>
          <w:tcPr>
            <w:tcW w:type="dxa" w:w="2880"/>
          </w:tcPr>
          <w:p>
            <w:r>
              <w:t>Държавен облак / договорни гаранции; DPA</w:t>
            </w:r>
          </w:p>
        </w:tc>
      </w:tr>
      <w:tr>
        <w:tc>
          <w:tcPr>
            <w:tcW w:type="dxa" w:w="2880"/>
          </w:tcPr>
          <w:p>
            <w:r>
              <w:t>Вторично използване</w:t>
            </w:r>
          </w:p>
        </w:tc>
        <w:tc>
          <w:tcPr>
            <w:tcW w:type="dxa" w:w="2880"/>
          </w:tcPr>
          <w:p>
            <w:r>
              <w:t>Средно</w:t>
            </w:r>
          </w:p>
        </w:tc>
        <w:tc>
          <w:tcPr>
            <w:tcW w:type="dxa" w:w="2880"/>
          </w:tcPr>
          <w:p>
            <w:r>
              <w:t>Ограничаване на целта; контроли</w:t>
            </w:r>
          </w:p>
        </w:tc>
      </w:tr>
      <w:tr>
        <w:tc>
          <w:tcPr>
            <w:tcW w:type="dxa" w:w="2880"/>
          </w:tcPr>
          <w:p>
            <w:r>
              <w:t>Дълго съхранение</w:t>
            </w:r>
          </w:p>
        </w:tc>
        <w:tc>
          <w:tcPr>
            <w:tcW w:type="dxa" w:w="2880"/>
          </w:tcPr>
          <w:p>
            <w:r>
              <w:t>Средно</w:t>
            </w:r>
          </w:p>
        </w:tc>
        <w:tc>
          <w:tcPr>
            <w:tcW w:type="dxa" w:w="2880"/>
          </w:tcPr>
          <w:p>
            <w:r>
              <w:t>Срокове; изтриване</w:t>
            </w:r>
          </w:p>
        </w:tc>
      </w:tr>
    </w:tbl>
    <w:p>
      <w:pPr>
        <w:pStyle w:val="Heading1"/>
      </w:pPr>
      <w:r>
        <w:t>4. Мерки за съответствие</w:t>
      </w:r>
    </w:p>
    <w:p>
      <w:pPr>
        <w:pStyle w:val="ListBullet"/>
      </w:pPr>
      <w:r>
        <w:t>Прозрачно информиране (чл. 13 GDPR); вътрешни правила.</w:t>
      </w:r>
    </w:p>
    <w:p>
      <w:pPr>
        <w:pStyle w:val="ListBullet"/>
      </w:pPr>
      <w:r>
        <w:t>Технически: криптиране; контрол на достъпа (ACL + роли); одитен журнал.</w:t>
      </w:r>
    </w:p>
    <w:p>
      <w:pPr>
        <w:pStyle w:val="ListBullet"/>
      </w:pPr>
      <w:r>
        <w:t>Организационни: договор за обработване (чл. 28 GDPR); срокове; периодичен преглед.</w:t>
      </w:r>
    </w:p>
    <w:p>
      <w:pPr>
        <w:pStyle w:val="ListBullet"/>
      </w:pPr>
      <w:r>
        <w:t>Консултация с DPO; при остатъчен висок риск — КЗЛД (чл. 36 GDPR).</w:t>
      </w:r>
    </w:p>
    <w:p>
      <w:pPr>
        <w:pStyle w:val="Heading1"/>
      </w:pPr>
      <w:r>
        <w:t>5. Заключение</w:t>
      </w:r>
    </w:p>
    <w:p>
      <w:r>
        <w:t>[Положителна оценка при изпълнение на мерките / необходими допълнителни действия].</w:t>
      </w:r>
    </w:p>
    <w:p>
      <w:r>
        <w:rPr>
          <w:i/>
        </w:rPr>
        <w:t>Скелет на DPIA. Локацията на данните на Wialon Local е ключов фактор за крайната оценка.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