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ТЕХНИЧЕСКА СПЕЦИФИКАЦИЯ (ЧЕРНОВА)</w:t>
      </w:r>
    </w:p>
    <w:p>
      <w:pPr>
        <w:jc w:val="center"/>
      </w:pPr>
      <w:r>
        <w:rPr>
          <w:i/>
        </w:rPr>
        <w:t>Приложение № 1 към чл. 38, ал. 3 — образец на МЕУ</w:t>
      </w:r>
    </w:p>
    <w:p>
      <w:pPr>
        <w:jc w:val="center"/>
      </w:pPr>
      <w:r>
        <w:rPr>
          <w:b/>
        </w:rPr>
        <w:t>Интеграция на ИСС на ИАРА със Системата за сателитно наблюдение на инспекторски автомобили (СНРК 2.0 / FVMS 2.0)</w:t>
      </w:r>
    </w:p>
    <w:p>
      <w:r>
        <w:t>Чернова по официалния образец. В […] са полетата за попълване от Възложителя (ИАРА). Задължителното съдържание на образеца е запазено.</w:t>
      </w:r>
    </w:p>
    <w:p>
      <w:pPr>
        <w:pStyle w:val="Heading1"/>
      </w:pPr>
      <w:r>
        <w:t>Речник на термини и съкращения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Съкращение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ИАРА</w:t>
            </w:r>
          </w:p>
        </w:tc>
        <w:tc>
          <w:tcPr>
            <w:tcW w:type="dxa" w:w="4320"/>
          </w:tcPr>
          <w:p>
            <w:r>
              <w:t>Изпълнителна агенция по рибарство и аквакултури (Възложител)</w:t>
            </w:r>
          </w:p>
        </w:tc>
      </w:tr>
      <w:tr>
        <w:tc>
          <w:tcPr>
            <w:tcW w:type="dxa" w:w="4320"/>
          </w:tcPr>
          <w:p>
            <w:r>
              <w:t>ИСС</w:t>
            </w:r>
          </w:p>
        </w:tc>
        <w:tc>
          <w:tcPr>
            <w:tcW w:type="dxa" w:w="4320"/>
          </w:tcPr>
          <w:p>
            <w:r>
              <w:t>Информационно-статистическа система на ИАРА (проект 0026)</w:t>
            </w:r>
          </w:p>
        </w:tc>
      </w:tr>
      <w:tr>
        <w:tc>
          <w:tcPr>
            <w:tcW w:type="dxa" w:w="4320"/>
          </w:tcPr>
          <w:p>
            <w:r>
              <w:t>FVMS / СНРК 2.0</w:t>
            </w:r>
          </w:p>
        </w:tc>
        <w:tc>
          <w:tcPr>
            <w:tcW w:type="dxa" w:w="4320"/>
          </w:tcPr>
          <w:p>
            <w:r>
              <w:t>Система за сателитно наблюдение (проект 0007, платформа Wialon Local)</w:t>
            </w:r>
          </w:p>
        </w:tc>
      </w:tr>
      <w:tr>
        <w:tc>
          <w:tcPr>
            <w:tcW w:type="dxa" w:w="4320"/>
          </w:tcPr>
          <w:p>
            <w:r>
              <w:t>COTS</w:t>
            </w:r>
          </w:p>
        </w:tc>
        <w:tc>
          <w:tcPr>
            <w:tcW w:type="dxa" w:w="4320"/>
          </w:tcPr>
          <w:p>
            <w:r>
              <w:t>Готов търговски софтуерен продукт</w:t>
            </w:r>
          </w:p>
        </w:tc>
      </w:tr>
      <w:tr>
        <w:tc>
          <w:tcPr>
            <w:tcW w:type="dxa" w:w="4320"/>
          </w:tcPr>
          <w:p>
            <w:r>
              <w:t>НОИИСРЕАУ</w:t>
            </w:r>
          </w:p>
        </w:tc>
        <w:tc>
          <w:tcPr>
            <w:tcW w:type="dxa" w:w="4320"/>
          </w:tcPr>
          <w:p>
            <w:r>
              <w:t>Наредба за общите изисквания към ИС, регистри и ЕАУ</w:t>
            </w:r>
          </w:p>
        </w:tc>
      </w:tr>
      <w:tr>
        <w:tc>
          <w:tcPr>
            <w:tcW w:type="dxa" w:w="4320"/>
          </w:tcPr>
          <w:p>
            <w:r>
              <w:t>НМИМИС</w:t>
            </w:r>
          </w:p>
        </w:tc>
        <w:tc>
          <w:tcPr>
            <w:tcW w:type="dxa" w:w="4320"/>
          </w:tcPr>
          <w:p>
            <w:r>
              <w:t>Наредба за минималните изисквания за мрежова и информационна сигурност</w:t>
            </w:r>
          </w:p>
        </w:tc>
      </w:tr>
    </w:tbl>
    <w:p>
      <w:pPr>
        <w:pStyle w:val="Heading1"/>
      </w:pPr>
      <w:r>
        <w:t>1. Въведение</w:t>
      </w:r>
    </w:p>
    <w:p>
      <w:pPr>
        <w:pStyle w:val="Heading2"/>
      </w:pPr>
      <w:r>
        <w:t>1.1 Цел на документа</w:t>
      </w:r>
    </w:p>
    <w:p>
      <w:r>
        <w:t>Описание на изискванията към обществена поръчка с предмет: изграждане на интеграция между ИСС на ИАРА и FVMS/Wialon Local, чрез която данните за местоположение и телеметрия на патрулните средства да се предоставят към ИСС (модул „Контролна дейност") и към мобилното приложение за инспектори.</w:t>
      </w:r>
    </w:p>
    <w:p>
      <w:pPr>
        <w:pStyle w:val="Heading2"/>
      </w:pPr>
      <w:r>
        <w:t>1.3 Нормативна рамка</w:t>
      </w:r>
    </w:p>
    <w:p>
      <w:pPr>
        <w:pStyle w:val="ListBullet"/>
      </w:pPr>
      <w:r>
        <w:t>ЗЕУ</w:t>
      </w:r>
    </w:p>
    <w:p>
      <w:pPr>
        <w:pStyle w:val="ListBullet"/>
      </w:pPr>
      <w:r>
        <w:t>ЗК (киберсигурност)</w:t>
      </w:r>
    </w:p>
    <w:p>
      <w:pPr>
        <w:pStyle w:val="ListBullet"/>
      </w:pPr>
      <w:r>
        <w:t>ЗЕИ (електронна идентификация)</w:t>
      </w:r>
    </w:p>
    <w:p>
      <w:pPr>
        <w:pStyle w:val="ListBullet"/>
      </w:pPr>
      <w:r>
        <w:t>НОИИСРЕАУ</w:t>
      </w:r>
    </w:p>
    <w:p>
      <w:pPr>
        <w:pStyle w:val="ListBullet"/>
      </w:pPr>
      <w:r>
        <w:t>НМИМИС</w:t>
      </w:r>
    </w:p>
    <w:p>
      <w:pPr>
        <w:pStyle w:val="ListBullet"/>
      </w:pPr>
      <w:r>
        <w:t>Архитектура на е-управление; GDPR; ЗЗЛД</w:t>
      </w:r>
    </w:p>
    <w:p>
      <w:pPr>
        <w:pStyle w:val="Heading1"/>
      </w:pPr>
      <w:r>
        <w:t>2. Цели, обхват и очаквани резултати</w:t>
      </w:r>
    </w:p>
    <w:p>
      <w:r>
        <w:t>Обща цел: свързване на данните за местоположение на патрулните средства (FVMS) с контролната дейност в ИСС, без сливане на кодовите бази и при пълно съответствие с е-управлението.</w:t>
      </w:r>
    </w:p>
    <w:p>
      <w:pPr>
        <w:pStyle w:val="ListBullet"/>
      </w:pPr>
      <w:r>
        <w:t>Дейност 1. Анализ на интерфейсите на ИСС и Wialon Remote API.</w:t>
      </w:r>
    </w:p>
    <w:p>
      <w:pPr>
        <w:pStyle w:val="ListBullet"/>
      </w:pPr>
      <w:r>
        <w:t>Дейност 2. Разработка на интеграционен слой (адаптер) като софтуер с отворен код, собственост на Възложителя.</w:t>
      </w:r>
    </w:p>
    <w:p>
      <w:pPr>
        <w:pStyle w:val="ListBullet"/>
      </w:pPr>
      <w:r>
        <w:t>Дейност 3. Интеграция с модул „Контролна дейност" и мобилното приложение за инспектори.</w:t>
      </w:r>
    </w:p>
    <w:p>
      <w:pPr>
        <w:pStyle w:val="ListBullet"/>
      </w:pPr>
      <w:r>
        <w:t>Дейност 4. Тестване, внедряване, обучение, гаранционна поддръжка.</w:t>
      </w:r>
    </w:p>
    <w:p>
      <w:r>
        <w:t>Период на изпълнение: [Х] месеца (ориентир 4–6 мес. — готова платформа + ограничена нова разработка).</w:t>
      </w:r>
    </w:p>
    <w:p>
      <w:pPr>
        <w:pStyle w:val="Heading1"/>
      </w:pPr>
      <w:r>
        <w:t>3. Текущо състояние</w:t>
      </w:r>
    </w:p>
    <w:p>
      <w:pPr>
        <w:pStyle w:val="ListBullet"/>
      </w:pPr>
      <w:r>
        <w:t>ИСС (0026): модули, вкл. „Контролна дейност" и „Администрация" (номенклатури „Инспектори", „Патрулни средства").</w:t>
      </w:r>
    </w:p>
    <w:p>
      <w:pPr>
        <w:pStyle w:val="ListBullet"/>
      </w:pPr>
      <w:r>
        <w:t>Мобилни приложения (0026): за граждани и за инспектори (вкл. офлайн инспекции).</w:t>
      </w:r>
    </w:p>
    <w:p>
      <w:pPr>
        <w:pStyle w:val="ListBullet"/>
      </w:pPr>
      <w:r>
        <w:t>FVMS / СНРК 2.0 (0007, Скортел ООД): Wialon Local — обекти, датчици, геозони, ACL.</w:t>
      </w:r>
    </w:p>
    <w:p>
      <w:pPr>
        <w:pStyle w:val="Heading1"/>
      </w:pPr>
      <w:r>
        <w:t>4. Изисквания към изпълнение</w:t>
      </w:r>
    </w:p>
    <w:p>
      <w:r>
        <w:t>Управление на проекта (PMBOK/PRINCE2/Agile) и управление на риска (вкл. лицензни ограничения на Wialon, оперативна съвместимост, забавяне).</w:t>
      </w:r>
    </w:p>
    <w:p>
      <w:pPr>
        <w:pStyle w:val="Heading1"/>
      </w:pPr>
      <w:r>
        <w:t>5. Етапи на изпълнение</w:t>
      </w:r>
    </w:p>
    <w:p>
      <w:pPr>
        <w:pStyle w:val="ListBullet"/>
      </w:pPr>
      <w:r>
        <w:t>Анализ на данните и изискванията (API на ИСС и Wialon).</w:t>
      </w:r>
    </w:p>
    <w:p>
      <w:pPr>
        <w:pStyle w:val="ListBullet"/>
      </w:pPr>
      <w:r>
        <w:t>Системен проект (BPMN; одобрение от Възложителя).</w:t>
      </w:r>
    </w:p>
    <w:p>
      <w:pPr>
        <w:pStyle w:val="ListBullet"/>
      </w:pPr>
      <w:r>
        <w:t>Разработване на адаптера и вътрешни тестове.</w:t>
      </w:r>
    </w:p>
    <w:p>
      <w:pPr>
        <w:pStyle w:val="ListBullet"/>
      </w:pPr>
      <w:r>
        <w:t>Тестване (план, тестова среда, дефекти).</w:t>
      </w:r>
    </w:p>
    <w:p>
      <w:pPr>
        <w:pStyle w:val="ListBullet"/>
      </w:pPr>
      <w:r>
        <w:t>Внедряване (инфраструктура/Държавен облак).</w:t>
      </w:r>
    </w:p>
    <w:p>
      <w:pPr>
        <w:pStyle w:val="ListBullet"/>
      </w:pPr>
      <w:r>
        <w:t>Обучение.</w:t>
      </w:r>
    </w:p>
    <w:p>
      <w:pPr>
        <w:pStyle w:val="ListBullet"/>
      </w:pPr>
      <w:r>
        <w:t>Гаранционна поддръжка ≥ 24 месеца.</w:t>
      </w:r>
    </w:p>
    <w:p>
      <w:pPr>
        <w:pStyle w:val="Heading1"/>
      </w:pPr>
      <w:r>
        <w:t>6. Общи изисквания за ИС в държавната администрация</w:t>
      </w:r>
    </w:p>
    <w:p>
      <w:pPr>
        <w:pStyle w:val="Heading2"/>
      </w:pPr>
      <w:r>
        <w:t>6.2 Авторски права и изходен код (критично)</w:t>
      </w:r>
    </w:p>
    <w:p>
      <w:pPr>
        <w:pStyle w:val="ListBullet"/>
      </w:pPr>
      <w:r>
        <w:t>Новоразработеният интеграционен код възниква за Възложителя (чл. 42 ЗАПСП), без ограничения.</w:t>
      </w:r>
    </w:p>
    <w:p>
      <w:pPr>
        <w:pStyle w:val="ListBullet"/>
      </w:pPr>
      <w:r>
        <w:t>Допустими лицензи: GPL 3.0, LGPL, AGPL, Apache 2.0, New BSD, MIT, MPL 2.0, EUPL.</w:t>
      </w:r>
    </w:p>
    <w:p>
      <w:pPr>
        <w:pStyle w:val="ListBullet"/>
      </w:pPr>
      <w:r>
        <w:t>Изходният код е публично достъпен онлайн (Хранилище за изходен код, гл. 6, р. IV НОИИСРЕАУ).</w:t>
      </w:r>
    </w:p>
    <w:p>
      <w:pPr>
        <w:pStyle w:val="ListBullet"/>
      </w:pPr>
      <w:r>
        <w:t>Wialon Local се ползва като готово лицензирано решение (COTS) — интеграцията към него е отворена и документирана.</w:t>
      </w:r>
    </w:p>
    <w:p>
      <w:pPr>
        <w:pStyle w:val="Heading2"/>
      </w:pPr>
      <w:r>
        <w:t>6.3–6.6 Архитектура, сигурност, журнал, бази данни</w:t>
      </w:r>
    </w:p>
    <w:p>
      <w:pPr>
        <w:pStyle w:val="ListBullet"/>
      </w:pPr>
      <w:r>
        <w:t>Стандартни технологии; API с версии и метаданни (чл. 14, 41 НОИИСРЕАУ).</w:t>
      </w:r>
    </w:p>
    <w:p>
      <w:pPr>
        <w:pStyle w:val="ListBullet"/>
      </w:pPr>
      <w:r>
        <w:t>Тестово покритие &gt; 60%, CI; защита от SQLi/XSS; валидиране на вход; cookies флагове.</w:t>
      </w:r>
    </w:p>
    <w:p>
      <w:pPr>
        <w:pStyle w:val="ListBullet"/>
      </w:pPr>
      <w:r>
        <w:t>Одитен журнал (време, вид, източник, приоритет); NTP v4; времеви печат (Регл. 910/2014, RFC 3161); архив ≥ 12 мес.</w:t>
      </w:r>
    </w:p>
    <w:p>
      <w:pPr>
        <w:pStyle w:val="ListBullet"/>
      </w:pPr>
      <w:r>
        <w:t>Бази данни: унифицирани конвенции; обосновани индекси; без n+1 заявки.</w:t>
      </w:r>
    </w:p>
    <w:p>
      <w:pPr>
        <w:pStyle w:val="Heading1"/>
      </w:pPr>
      <w:r>
        <w:t>7. Документация</w:t>
      </w:r>
    </w:p>
    <w:p>
      <w:pPr>
        <w:pStyle w:val="ListBullet"/>
      </w:pPr>
      <w:r>
        <w:t>На български, редактируем формат.</w:t>
      </w:r>
    </w:p>
    <w:p>
      <w:pPr>
        <w:pStyle w:val="ListBullet"/>
      </w:pPr>
      <w:r>
        <w:t>Публична API документация (Swagger/API Blueprint) с примерен код (Java/.NET).</w:t>
      </w:r>
    </w:p>
    <w:p>
      <w:pPr>
        <w:pStyle w:val="ListBullet"/>
      </w:pPr>
      <w:r>
        <w:t>Схема на БД; ръководства за потребител и администратор; месечни машинночетими отчети.</w:t>
      </w:r>
    </w:p>
    <w:p>
      <w:r>
        <w:rPr>
          <w:i/>
        </w:rPr>
        <w:t>Чернова по образец на МЕУ (Прил. № 1 към чл. 38, ал. 3). Преди обявяване на поръчка ТС подлежи на проверка за съответствие в МЕУ и сверка с действащите ЗЕУ и НОИИСРЕАУ.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