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Чеклист за съответствие — интеграция ИСС ⇄ FVMS (Wialon)</w:t>
      </w:r>
    </w:p>
    <w:p>
      <w:r>
        <w:t>Оценка на проекта спрямо изискванията на електронното управление (ЗЕУ, НОИИСРЕАУ, НМИМИС, методическа рамка на МЕУ).</w:t>
      </w:r>
    </w:p>
    <w:p>
      <w:r>
        <w:t>Легенда: ✅ покрито · ⚠️ изисква действие · ❗ критичен риск · ⬜ за уточнение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Изискване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Основание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Бележка / действие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ТС по образец Приложение № 1</w:t>
            </w:r>
          </w:p>
        </w:tc>
        <w:tc>
          <w:tcPr>
            <w:tcW w:type="dxa" w:w="1728"/>
          </w:tcPr>
          <w:p>
            <w:r>
              <w:t>чл. 38, ал. 3 ЗЕУ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Използвай черновата; не изтривай съдържание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Проверка за съответствие на ТС в МЕУ</w:t>
            </w:r>
          </w:p>
        </w:tc>
        <w:tc>
          <w:tcPr>
            <w:tcW w:type="dxa" w:w="1728"/>
          </w:tcPr>
          <w:p>
            <w:r>
              <w:t>verification-compliance-...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Преди обявяване на поръчка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Удостоверяване на съответствие</w:t>
            </w:r>
          </w:p>
        </w:tc>
        <w:tc>
          <w:tcPr>
            <w:tcW w:type="dxa" w:w="1728"/>
          </w:tcPr>
          <w:p>
            <w:r>
              <w:t>чл. 58б ЗЕУ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На съответен етап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Вписване в Регистъра на проектите</w:t>
            </w:r>
          </w:p>
        </w:tc>
        <w:tc>
          <w:tcPr>
            <w:tcW w:type="dxa" w:w="1728"/>
          </w:tcPr>
          <w:p>
            <w:r>
              <w:t>Правила за проверки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Проектно предложение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Аргументация на прогнозната стойност</w:t>
            </w:r>
          </w:p>
        </w:tc>
        <w:tc>
          <w:tcPr>
            <w:tcW w:type="dxa" w:w="1728"/>
          </w:tcPr>
          <w:p>
            <w:r>
              <w:t>образци на МЕУ</w:t>
            </w:r>
          </w:p>
        </w:tc>
        <w:tc>
          <w:tcPr>
            <w:tcW w:type="dxa" w:w="1728"/>
          </w:tcPr>
          <w:p>
            <w:r>
              <w:t>⬜</w:t>
            </w:r>
          </w:p>
        </w:tc>
        <w:tc>
          <w:tcPr>
            <w:tcW w:type="dxa" w:w="1728"/>
          </w:tcPr>
          <w:p>
            <w:r>
              <w:t>Готова платформа → 4–6 мес.; поддръжка ≥ 15%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Изходен код — собственост на Възложителя</w:t>
            </w:r>
          </w:p>
        </w:tc>
        <w:tc>
          <w:tcPr>
            <w:tcW w:type="dxa" w:w="1728"/>
          </w:tcPr>
          <w:p>
            <w:r>
              <w:t>чл. 42 ЗАПСП; НОИИСРЕАУ</w:t>
            </w:r>
          </w:p>
        </w:tc>
        <w:tc>
          <w:tcPr>
            <w:tcW w:type="dxa" w:w="1728"/>
          </w:tcPr>
          <w:p>
            <w:r>
              <w:t>❗</w:t>
            </w:r>
          </w:p>
        </w:tc>
        <w:tc>
          <w:tcPr>
            <w:tcW w:type="dxa" w:w="1728"/>
          </w:tcPr>
          <w:p>
            <w:r>
              <w:t>За новия код, не за Wialon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Отворен лиценз</w:t>
            </w:r>
          </w:p>
        </w:tc>
        <w:tc>
          <w:tcPr>
            <w:tcW w:type="dxa" w:w="1728"/>
          </w:tcPr>
          <w:p>
            <w:r>
              <w:t>НОИИСРЕАУ</w:t>
            </w:r>
          </w:p>
        </w:tc>
        <w:tc>
          <w:tcPr>
            <w:tcW w:type="dxa" w:w="1728"/>
          </w:tcPr>
          <w:p>
            <w:r>
              <w:t>❗</w:t>
            </w:r>
          </w:p>
        </w:tc>
        <w:tc>
          <w:tcPr>
            <w:tcW w:type="dxa" w:w="1728"/>
          </w:tcPr>
          <w:p>
            <w:r>
              <w:t>Адаптерът — отворен код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Публично хранилище за изходен код</w:t>
            </w:r>
          </w:p>
        </w:tc>
        <w:tc>
          <w:tcPr>
            <w:tcW w:type="dxa" w:w="1728"/>
          </w:tcPr>
          <w:p>
            <w:r>
              <w:t>гл. 6, р. IV НОИИСРЕАУ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Онлайн, от ден 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Wialon като COTS компонент</w:t>
            </w:r>
          </w:p>
        </w:tc>
        <w:tc>
          <w:tcPr>
            <w:tcW w:type="dxa" w:w="1728"/>
          </w:tcPr>
          <w:p>
            <w:r>
              <w:t>образец „готов vs. разработка"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Лицензи + настройка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Оперативна съвместимост (API)</w:t>
            </w:r>
          </w:p>
        </w:tc>
        <w:tc>
          <w:tcPr>
            <w:tcW w:type="dxa" w:w="1728"/>
          </w:tcPr>
          <w:p>
            <w:r>
              <w:t>НОИИСРЕАУ; регистри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REST/SOAP; версии (чл. 14, 41)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Публична API документация</w:t>
            </w:r>
          </w:p>
        </w:tc>
        <w:tc>
          <w:tcPr>
            <w:tcW w:type="dxa" w:w="1728"/>
          </w:tcPr>
          <w:p>
            <w:r>
              <w:t>НОИИСРЕАУ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Swagger; примерен код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Еднократно събиране / служебно начало</w:t>
            </w:r>
          </w:p>
        </w:tc>
        <w:tc>
          <w:tcPr>
            <w:tcW w:type="dxa" w:w="1728"/>
          </w:tcPr>
          <w:p>
            <w:r>
              <w:t>ЗЕУ; RegiX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Без дублиране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Електронна идентификация</w:t>
            </w:r>
          </w:p>
        </w:tc>
        <w:tc>
          <w:tcPr>
            <w:tcW w:type="dxa" w:w="1728"/>
          </w:tcPr>
          <w:p>
            <w:r>
              <w:t>ЗЕИ / eID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ИСС вече ползва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Сигурно е-връчване / е-плащане</w:t>
            </w:r>
          </w:p>
        </w:tc>
        <w:tc>
          <w:tcPr>
            <w:tcW w:type="dxa" w:w="1728"/>
          </w:tcPr>
          <w:p>
            <w:r>
              <w:t>ССЕВ; pay.egov.bg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Вече ползвано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Хостинг в Държавния облак</w:t>
            </w:r>
          </w:p>
        </w:tc>
        <w:tc>
          <w:tcPr>
            <w:tcW w:type="dxa" w:w="1728"/>
          </w:tcPr>
          <w:p>
            <w:r>
              <w:t>политика на МЕУ</w:t>
            </w:r>
          </w:p>
        </w:tc>
        <w:tc>
          <w:tcPr>
            <w:tcW w:type="dxa" w:w="1728"/>
          </w:tcPr>
          <w:p>
            <w:r>
              <w:t>❗</w:t>
            </w:r>
          </w:p>
        </w:tc>
        <w:tc>
          <w:tcPr>
            <w:tcW w:type="dxa" w:w="1728"/>
          </w:tcPr>
          <w:p>
            <w:r>
              <w:t>Локация на данните на Wialon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Мрежова и информационна сигурност</w:t>
            </w:r>
          </w:p>
        </w:tc>
        <w:tc>
          <w:tcPr>
            <w:tcW w:type="dxa" w:w="1728"/>
          </w:tcPr>
          <w:p>
            <w:r>
              <w:t>ЗК; НМИМИС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Оценка на риска; SQLi/XSS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Одитен журнал и време</w:t>
            </w:r>
          </w:p>
        </w:tc>
        <w:tc>
          <w:tcPr>
            <w:tcW w:type="dxa" w:w="1728"/>
          </w:tcPr>
          <w:p>
            <w:r>
              <w:t>НМИМИС; 910/2014; RFC 3161/5905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NTP v4; времеви печат; ≥ 12 мес.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Резервни копия извън инфраструктурата</w:t>
            </w:r>
          </w:p>
        </w:tc>
        <w:tc>
          <w:tcPr>
            <w:tcW w:type="dxa" w:w="1728"/>
          </w:tcPr>
          <w:p>
            <w:r>
              <w:t>НМИМИС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Ежедневни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Тестово покритие &gt; 60%, CI/CD</w:t>
            </w:r>
          </w:p>
        </w:tc>
        <w:tc>
          <w:tcPr>
            <w:tcW w:type="dxa" w:w="1728"/>
          </w:tcPr>
          <w:p>
            <w:r>
              <w:t>НОИИСРЕАУ</w:t>
            </w:r>
          </w:p>
        </w:tc>
        <w:tc>
          <w:tcPr>
            <w:tcW w:type="dxa" w:w="1728"/>
          </w:tcPr>
          <w:p>
            <w:r>
              <w:t>⬜</w:t>
            </w:r>
          </w:p>
        </w:tc>
        <w:tc>
          <w:tcPr>
            <w:tcW w:type="dxa" w:w="1728"/>
          </w:tcPr>
          <w:p>
            <w:r>
              <w:t>За новия код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DPIA за GPS проследяване</w:t>
            </w:r>
          </w:p>
        </w:tc>
        <w:tc>
          <w:tcPr>
            <w:tcW w:type="dxa" w:w="1728"/>
          </w:tcPr>
          <w:p>
            <w:r>
              <w:t>чл. 35 GDPR; ЗЗЛД</w:t>
            </w:r>
          </w:p>
        </w:tc>
        <w:tc>
          <w:tcPr>
            <w:tcW w:type="dxa" w:w="1728"/>
          </w:tcPr>
          <w:p>
            <w:r>
              <w:t>❗</w:t>
            </w:r>
          </w:p>
        </w:tc>
        <w:tc>
          <w:tcPr>
            <w:tcW w:type="dxa" w:w="1728"/>
          </w:tcPr>
          <w:p>
            <w:r>
              <w:t>Виж DPIA документа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Гаранционна поддръжка ≥ 24 мес.</w:t>
            </w:r>
          </w:p>
        </w:tc>
        <w:tc>
          <w:tcPr>
            <w:tcW w:type="dxa" w:w="1728"/>
          </w:tcPr>
          <w:p>
            <w:r>
              <w:t>образец на ТС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Единна точка за достъп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Документация на български</w:t>
            </w:r>
          </w:p>
        </w:tc>
        <w:tc>
          <w:tcPr>
            <w:tcW w:type="dxa" w:w="1728"/>
          </w:tcPr>
          <w:p>
            <w:r>
              <w:t>образец на ТС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+ машинночетими отчети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Разграничение проекти 0026/0007</w:t>
            </w:r>
          </w:p>
        </w:tc>
        <w:tc>
          <w:tcPr>
            <w:tcW w:type="dxa" w:w="1728"/>
          </w:tcPr>
          <w:p>
            <w:r>
              <w:t>договорно/имуществено</w:t>
            </w:r>
          </w:p>
        </w:tc>
        <w:tc>
          <w:tcPr>
            <w:tcW w:type="dxa" w:w="1728"/>
          </w:tcPr>
          <w:p>
            <w:r>
              <w:t>❗</w:t>
            </w:r>
          </w:p>
        </w:tc>
        <w:tc>
          <w:tcPr>
            <w:tcW w:type="dxa" w:w="1728"/>
          </w:tcPr>
          <w:p>
            <w:r>
              <w:t>Без двойно финансиране</w:t>
            </w:r>
          </w:p>
        </w:tc>
      </w:tr>
    </w:tbl>
    <w:p>
      <w:pPr>
        <w:pStyle w:val="Heading1"/>
      </w:pPr>
      <w:r>
        <w:t>Обобщение</w:t>
      </w:r>
    </w:p>
    <w:p>
      <w:pPr>
        <w:pStyle w:val="ListBullet"/>
      </w:pPr>
      <w:r>
        <w:t>Критични точки (❗): собственост/отворен код на новата разработка, хостинг на данните на Wialon, DPIA, разграничение 0026/0007.</w:t>
      </w:r>
    </w:p>
    <w:p>
      <w:pPr>
        <w:pStyle w:val="ListBullet"/>
      </w:pPr>
      <w:r>
        <w:t>Архитектурен извод: лицензиран COTS компонент (Wialon/FVMS) + собствен интеграционен слой с отворен код.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