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1e3a5f"/>
          <w:sz w:val="40"/>
          <w:szCs w:val="40"/>
        </w:rPr>
        <w:t xml:space="preserve">PROCUREMENT PROPOSAL</w:t>
      </w:r>
    </w:p>
    <w:p>
      <w:pPr>
        <w:spacing w:after="60" w:before="0"/>
        <w:jc w:val="center"/>
      </w:pPr>
      <w:r>
        <w:rPr>
          <w:rFonts w:ascii="Arial" w:cs="Arial" w:eastAsia="Arial" w:hAnsi="Arial"/>
          <w:b/>
          <w:bCs/>
          <w:color w:val="1A56DB"/>
          <w:sz w:val="34"/>
          <w:szCs w:val="34"/>
        </w:rPr>
        <w:t xml:space="preserve">Google Antigravity IDE</w:t>
      </w:r>
    </w:p>
    <w:p>
      <w:pPr>
        <w:spacing w:after="60" w:before="0"/>
        <w:jc w:val="center"/>
      </w:pPr>
      <w:r>
        <w:rPr>
          <w:rFonts w:ascii="Arial" w:cs="Arial" w:eastAsia="Arial" w:hAnsi="Arial"/>
          <w:i/>
          <w:iCs/>
          <w:color w:val="555555"/>
          <w:sz w:val="22"/>
          <w:szCs w:val="22"/>
        </w:rPr>
        <w:t xml:space="preserve">For Our Software Development Team</w:t>
      </w:r>
    </w:p>
    <w:p>
      <w:pPr>
        <w:spacing w:after="240" w:before="0"/>
        <w:jc w:val="center"/>
      </w:pPr>
      <w:r>
        <w:rPr>
          <w:rFonts w:ascii="Arial" w:cs="Arial" w:eastAsia="Arial" w:hAnsi="Arial"/>
          <w:color w:val="888888"/>
          <w:sz w:val="20"/>
          <w:szCs w:val="20"/>
        </w:rPr>
        <w:t xml:space="preserve">June 18, 2026</w:t>
      </w:r>
    </w:p>
    <w:p>
      <w:pPr>
        <w:pBdr>
          <w:bottom w:val="single" w:color="BFDBFE" w:sz="4" w:space="1"/>
        </w:pBdr>
        <w:spacing w:after="160" w:before="160"/>
      </w:pPr>
      <w:r>
        <w:t xml:space="preserve"/>
      </w:r>
    </w:p>
    <w:p>
      <w:pPr>
        <w:pStyle w:val="Heading1"/>
        <w:spacing w:after="120" w:before="320"/>
      </w:pPr>
      <w:r>
        <w:rPr>
          <w:rFonts w:ascii="Arial" w:cs="Arial" w:eastAsia="Arial" w:hAnsi="Arial"/>
          <w:b/>
          <w:bCs/>
          <w:color w:val="1e3a5f"/>
          <w:sz w:val="28"/>
          <w:szCs w:val="28"/>
        </w:rPr>
        <w:t xml:space="preserve">1. Executive Summary</w:t>
      </w:r>
    </w:p>
    <w:p>
      <w:pPr>
        <w:spacing w:after="100" w:before="60"/>
      </w:pPr>
      <w:r>
        <w:rPr>
          <w:rFonts w:ascii="Arial" w:cs="Arial" w:eastAsia="Arial" w:hAnsi="Arial"/>
          <w:sz w:val="22"/>
          <w:szCs w:val="22"/>
        </w:rPr>
        <w:t xml:space="preserve">This proposal requests approval to adopt Google Antigravity IDE as the primary development environment for our software development team of up to 5 developers. Antigravity is Google’s latest AI-native IDE, built from the ground up around agentic workflows, multi-model AI assistance, and seamless Google Cloud integration.</w:t>
      </w:r>
    </w:p>
    <w:p>
      <w:pPr>
        <w:spacing w:after="100" w:before="60"/>
      </w:pPr>
      <w:r>
        <w:rPr>
          <w:rFonts w:ascii="Arial" w:cs="Arial" w:eastAsia="Arial" w:hAnsi="Arial"/>
          <w:sz w:val="22"/>
          <w:szCs w:val="22"/>
        </w:rPr>
        <w:t xml:space="preserve">The tool is currently in public preview and available at no cost for individual developers, with a paid Pro tier at $20 per seat per month once the preview period ends. Adopting it now allows the team to build familiarity during the free window and benefit from significant productivity gains from day one.</w:t>
      </w:r>
    </w:p>
    <w:p>
      <w:pPr>
        <w:pBdr>
          <w:bottom w:val="single" w:color="BFDBFE" w:sz="4" w:space="1"/>
        </w:pBdr>
        <w:spacing w:after="160" w:before="160"/>
      </w:pPr>
      <w:r>
        <w:t xml:space="preserve"/>
      </w:r>
    </w:p>
    <w:p>
      <w:pPr>
        <w:pStyle w:val="Heading1"/>
        <w:spacing w:after="120" w:before="320"/>
      </w:pPr>
      <w:r>
        <w:rPr>
          <w:rFonts w:ascii="Arial" w:cs="Arial" w:eastAsia="Arial" w:hAnsi="Arial"/>
          <w:b/>
          <w:bCs/>
          <w:color w:val="1e3a5f"/>
          <w:sz w:val="28"/>
          <w:szCs w:val="28"/>
        </w:rPr>
        <w:t xml:space="preserve">2. What Is Google Antigravity IDE?</w:t>
      </w:r>
    </w:p>
    <w:p>
      <w:pPr>
        <w:spacing w:after="100" w:before="60"/>
      </w:pPr>
      <w:r>
        <w:rPr>
          <w:rFonts w:ascii="Arial" w:cs="Arial" w:eastAsia="Arial" w:hAnsi="Arial"/>
          <w:sz w:val="22"/>
          <w:szCs w:val="22"/>
        </w:rPr>
        <w:t xml:space="preserve">Google Antigravity is an AI-first integrated development environment that competes directly with tools like Cursor and GitHub Copilot. Unlike traditional IDEs retrofitted with AI plugins, Antigravity is built from scratch around the concept of autonomous agents — AI workers that can plan, code, test, and verify software tasks without constant human input.</w:t>
      </w:r>
    </w:p>
    <w:p>
      <w:pPr>
        <w:spacing w:after="60" w:before="0"/>
      </w:pPr>
      <w:r>
        <w:t xml:space="preserve"/>
      </w:r>
    </w:p>
    <w:p>
      <w:pPr>
        <w:pStyle w:val="Heading2"/>
        <w:spacing w:after="80" w:before="240"/>
      </w:pPr>
      <w:r>
        <w:rPr>
          <w:rFonts w:ascii="Arial" w:cs="Arial" w:eastAsia="Arial" w:hAnsi="Arial"/>
          <w:b/>
          <w:bCs/>
          <w:color w:val="1A56DB"/>
          <w:sz w:val="24"/>
          <w:szCs w:val="24"/>
        </w:rPr>
        <w:t xml:space="preserve">Key Capabilities</w:t>
      </w:r>
    </w:p>
    <w:p>
      <w:pPr>
        <w:pStyle w:val="ListParagraph"/>
        <w:numPr>
          <w:ilvl w:val="0"/>
          <w:numId w:val="2"/>
        </w:numPr>
        <w:spacing w:after="40" w:before="40"/>
      </w:pPr>
      <w:r>
        <w:rPr>
          <w:rFonts w:ascii="Arial" w:cs="Arial" w:eastAsia="Arial" w:hAnsi="Arial"/>
          <w:b/>
          <w:bCs/>
          <w:sz w:val="22"/>
          <w:szCs w:val="22"/>
        </w:rPr>
        <w:t xml:space="preserve">Switch between Gemini 3 Pro, Claude Sonnet, and GPT models within the same IDE session.</w:t>
      </w:r>
      <w:r>
        <w:rPr>
          <w:rFonts w:ascii="Arial" w:cs="Arial" w:eastAsia="Arial" w:hAnsi="Arial"/>
          <w:sz w:val="22"/>
          <w:szCs w:val="22"/>
        </w:rPr>
        <w:t xml:space="preserve">Multi-model AI access: </w:t>
      </w:r>
    </w:p>
    <w:p>
      <w:pPr>
        <w:pStyle w:val="ListParagraph"/>
        <w:numPr>
          <w:ilvl w:val="0"/>
          <w:numId w:val="2"/>
        </w:numPr>
        <w:spacing w:after="40" w:before="40"/>
      </w:pPr>
      <w:r>
        <w:rPr>
          <w:rFonts w:ascii="Arial" w:cs="Arial" w:eastAsia="Arial" w:hAnsi="Arial"/>
          <w:b/>
          <w:bCs/>
          <w:sz w:val="22"/>
          <w:szCs w:val="22"/>
        </w:rPr>
        <w:t xml:space="preserve">Spawn multiple agents working in parallel across different tasks — bug fixes, features, tests — simultaneously.</w:t>
      </w:r>
      <w:r>
        <w:rPr>
          <w:rFonts w:ascii="Arial" w:cs="Arial" w:eastAsia="Arial" w:hAnsi="Arial"/>
          <w:sz w:val="22"/>
          <w:szCs w:val="22"/>
        </w:rPr>
        <w:t xml:space="preserve">Multi-agent orchestration: </w:t>
      </w:r>
    </w:p>
    <w:p>
      <w:pPr>
        <w:pStyle w:val="ListParagraph"/>
        <w:numPr>
          <w:ilvl w:val="0"/>
          <w:numId w:val="2"/>
        </w:numPr>
        <w:spacing w:after="40" w:before="40"/>
      </w:pPr>
      <w:r>
        <w:rPr>
          <w:rFonts w:ascii="Arial" w:cs="Arial" w:eastAsia="Arial" w:hAnsi="Arial"/>
          <w:b/>
          <w:bCs/>
          <w:sz w:val="22"/>
          <w:szCs w:val="22"/>
        </w:rPr>
        <w:t xml:space="preserve">Agents can write code, run the terminal, launch the app, and use the browser to verify results end-to-end without synchronous human intervention.</w:t>
      </w:r>
      <w:r>
        <w:rPr>
          <w:rFonts w:ascii="Arial" w:cs="Arial" w:eastAsia="Arial" w:hAnsi="Arial"/>
          <w:sz w:val="22"/>
          <w:szCs w:val="22"/>
        </w:rPr>
        <w:t xml:space="preserve">Autonomous task execution: </w:t>
      </w:r>
    </w:p>
    <w:p>
      <w:pPr>
        <w:pStyle w:val="ListParagraph"/>
        <w:numPr>
          <w:ilvl w:val="0"/>
          <w:numId w:val="2"/>
        </w:numPr>
        <w:spacing w:after="40" w:before="40"/>
      </w:pPr>
      <w:r>
        <w:rPr>
          <w:rFonts w:ascii="Arial" w:cs="Arial" w:eastAsia="Arial" w:hAnsi="Arial"/>
          <w:b/>
          <w:bCs/>
          <w:sz w:val="22"/>
          <w:szCs w:val="22"/>
        </w:rPr>
        <w:t xml:space="preserve">Maintain full awareness of large codebases across sessions.</w:t>
      </w:r>
      <w:r>
        <w:rPr>
          <w:rFonts w:ascii="Arial" w:cs="Arial" w:eastAsia="Arial" w:hAnsi="Arial"/>
          <w:sz w:val="22"/>
          <w:szCs w:val="22"/>
        </w:rPr>
        <w:t xml:space="preserve">1M-token context window: </w:t>
      </w:r>
    </w:p>
    <w:p>
      <w:pPr>
        <w:pStyle w:val="ListParagraph"/>
        <w:numPr>
          <w:ilvl w:val="0"/>
          <w:numId w:val="2"/>
        </w:numPr>
        <w:spacing w:after="40" w:before="40"/>
      </w:pPr>
      <w:r>
        <w:rPr>
          <w:rFonts w:ascii="Arial" w:cs="Arial" w:eastAsia="Arial" w:hAnsi="Arial"/>
          <w:b/>
          <w:bCs/>
          <w:sz w:val="22"/>
          <w:szCs w:val="22"/>
        </w:rPr>
        <w:t xml:space="preserve">Agents verify UI changes in a headless browser as part of the workflow.</w:t>
      </w:r>
      <w:r>
        <w:rPr>
          <w:rFonts w:ascii="Arial" w:cs="Arial" w:eastAsia="Arial" w:hAnsi="Arial"/>
          <w:sz w:val="22"/>
          <w:szCs w:val="22"/>
        </w:rPr>
        <w:t xml:space="preserve">Built-in browser testing: </w:t>
      </w:r>
    </w:p>
    <w:p>
      <w:pPr>
        <w:pStyle w:val="ListParagraph"/>
        <w:numPr>
          <w:ilvl w:val="0"/>
          <w:numId w:val="2"/>
        </w:numPr>
        <w:spacing w:after="40" w:before="40"/>
      </w:pPr>
      <w:r>
        <w:rPr>
          <w:rFonts w:ascii="Arial" w:cs="Arial" w:eastAsia="Arial" w:hAnsi="Arial"/>
          <w:b/>
          <w:bCs/>
          <w:sz w:val="22"/>
          <w:szCs w:val="22"/>
        </w:rPr>
        <w:t xml:space="preserve">Agents produce tangible deliverables — task lists, implementation plans, screenshots — so developers can review and comment without reading raw tool logs.</w:t>
      </w:r>
      <w:r>
        <w:rPr>
          <w:rFonts w:ascii="Arial" w:cs="Arial" w:eastAsia="Arial" w:hAnsi="Arial"/>
          <w:sz w:val="22"/>
          <w:szCs w:val="22"/>
        </w:rPr>
        <w:t xml:space="preserve">Artifact generation: </w:t>
      </w:r>
    </w:p>
    <w:p>
      <w:pPr>
        <w:pStyle w:val="ListParagraph"/>
        <w:numPr>
          <w:ilvl w:val="0"/>
          <w:numId w:val="2"/>
        </w:numPr>
        <w:spacing w:after="40" w:before="40"/>
      </w:pPr>
      <w:r>
        <w:rPr>
          <w:rFonts w:ascii="Arial" w:cs="Arial" w:eastAsia="Arial" w:hAnsi="Arial"/>
          <w:b/>
          <w:bCs/>
          <w:sz w:val="22"/>
          <w:szCs w:val="22"/>
        </w:rPr>
        <w:t xml:space="preserve">The IDE saves useful context and code snippets across sessions to improve future task quality.</w:t>
      </w:r>
      <w:r>
        <w:rPr>
          <w:rFonts w:ascii="Arial" w:cs="Arial" w:eastAsia="Arial" w:hAnsi="Arial"/>
          <w:sz w:val="22"/>
          <w:szCs w:val="22"/>
        </w:rPr>
        <w:t xml:space="preserve">Knowledge base learning: </w:t>
      </w:r>
    </w:p>
    <w:p>
      <w:pPr>
        <w:pStyle w:val="ListParagraph"/>
        <w:numPr>
          <w:ilvl w:val="0"/>
          <w:numId w:val="2"/>
        </w:numPr>
        <w:spacing w:after="40" w:before="40"/>
      </w:pPr>
      <w:r>
        <w:rPr>
          <w:rFonts w:ascii="Arial" w:cs="Arial" w:eastAsia="Arial" w:hAnsi="Arial"/>
          <w:b/>
          <w:bCs/>
          <w:sz w:val="22"/>
          <w:szCs w:val="22"/>
        </w:rPr>
        <w:t xml:space="preserve">Available on macOS, Windows, and Linux.</w:t>
      </w:r>
      <w:r>
        <w:rPr>
          <w:rFonts w:ascii="Arial" w:cs="Arial" w:eastAsia="Arial" w:hAnsi="Arial"/>
          <w:sz w:val="22"/>
          <w:szCs w:val="22"/>
        </w:rPr>
        <w:t xml:space="preserve">Cross-platform support: </w:t>
      </w:r>
    </w:p>
    <w:p>
      <w:pPr>
        <w:pStyle w:val="ListParagraph"/>
        <w:numPr>
          <w:ilvl w:val="0"/>
          <w:numId w:val="2"/>
        </w:numPr>
        <w:spacing w:after="40" w:before="40"/>
      </w:pPr>
      <w:r>
        <w:rPr>
          <w:rFonts w:ascii="Arial" w:cs="Arial" w:eastAsia="Arial" w:hAnsi="Arial"/>
          <w:b/>
          <w:bCs/>
          <w:sz w:val="22"/>
          <w:szCs w:val="22"/>
        </w:rPr>
        <w:t xml:space="preserve">Connects to external services and APIs through the Model Context Protocol for extended agent capabilities.</w:t>
      </w:r>
      <w:r>
        <w:rPr>
          <w:rFonts w:ascii="Arial" w:cs="Arial" w:eastAsia="Arial" w:hAnsi="Arial"/>
          <w:sz w:val="22"/>
          <w:szCs w:val="22"/>
        </w:rPr>
        <w:t xml:space="preserve">MCP integration: </w:t>
      </w:r>
    </w:p>
    <w:p>
      <w:pPr>
        <w:pBdr>
          <w:bottom w:val="single" w:color="BFDBFE" w:sz="4" w:space="1"/>
        </w:pBdr>
        <w:spacing w:after="160" w:before="160"/>
      </w:pPr>
      <w:r>
        <w:t xml:space="preserve"/>
      </w:r>
    </w:p>
    <w:p>
      <w:pPr>
        <w:pStyle w:val="Heading1"/>
        <w:spacing w:after="120" w:before="320"/>
      </w:pPr>
      <w:r>
        <w:rPr>
          <w:rFonts w:ascii="Arial" w:cs="Arial" w:eastAsia="Arial" w:hAnsi="Arial"/>
          <w:b/>
          <w:bCs/>
          <w:color w:val="1e3a5f"/>
          <w:sz w:val="28"/>
          <w:szCs w:val="28"/>
        </w:rPr>
        <w:t xml:space="preserve">3. How Antigravity Will Benefit Our Team</w:t>
      </w:r>
    </w:p>
    <w:p>
      <w:pPr>
        <w:pStyle w:val="Heading2"/>
        <w:spacing w:after="80" w:before="240"/>
      </w:pPr>
      <w:r>
        <w:rPr>
          <w:rFonts w:ascii="Arial" w:cs="Arial" w:eastAsia="Arial" w:hAnsi="Arial"/>
          <w:b/>
          <w:bCs/>
          <w:color w:val="1A56DB"/>
          <w:sz w:val="24"/>
          <w:szCs w:val="24"/>
        </w:rPr>
        <w:t xml:space="preserve">3.1 Developer Productivity</w:t>
      </w:r>
    </w:p>
    <w:p>
      <w:pPr>
        <w:spacing w:after="100" w:before="60"/>
      </w:pPr>
      <w:r>
        <w:rPr>
          <w:rFonts w:ascii="Arial" w:cs="Arial" w:eastAsia="Arial" w:hAnsi="Arial"/>
          <w:sz w:val="22"/>
          <w:szCs w:val="22"/>
        </w:rPr>
        <w:t xml:space="preserve">The most immediate benefit is time saved on repetitive and high-context tasks. Antigravity’s agents can be delegated full end-to-end tasks — not just autocomplete suggestions. A developer can describe a feature in plain language and have the agent plan, implement, test, and report back, all without the developer leaving the manager surface.</w:t>
      </w:r>
    </w:p>
    <w:p>
      <w:pPr>
        <w:spacing w:after="100" w:before="60"/>
      </w:pPr>
      <w:r>
        <w:rPr>
          <w:rFonts w:ascii="Arial" w:cs="Arial" w:eastAsia="Arial" w:hAnsi="Arial"/>
          <w:sz w:val="22"/>
          <w:szCs w:val="22"/>
        </w:rPr>
        <w:t xml:space="preserve">For our team of 5, even a conservative estimate of 8–10 hours saved per developer per month translates to 40–50 hours of recovered capacity monthly — equivalent to a week of additional development output.</w:t>
      </w:r>
    </w:p>
    <w:p>
      <w:pPr>
        <w:spacing w:after="60" w:before="0"/>
      </w:pPr>
      <w:r>
        <w:t xml:space="preserve"/>
      </w:r>
    </w:p>
    <w:p>
      <w:pPr>
        <w:pStyle w:val="Heading2"/>
        <w:spacing w:after="80" w:before="240"/>
      </w:pPr>
      <w:r>
        <w:rPr>
          <w:rFonts w:ascii="Arial" w:cs="Arial" w:eastAsia="Arial" w:hAnsi="Arial"/>
          <w:b/>
          <w:bCs/>
          <w:color w:val="1A56DB"/>
          <w:sz w:val="24"/>
          <w:szCs w:val="24"/>
        </w:rPr>
        <w:t xml:space="preserve">3.2 Parallel Workstreams</w:t>
      </w:r>
    </w:p>
    <w:p>
      <w:pPr>
        <w:spacing w:after="100" w:before="60"/>
      </w:pPr>
      <w:r>
        <w:rPr>
          <w:rFonts w:ascii="Arial" w:cs="Arial" w:eastAsia="Arial" w:hAnsi="Arial"/>
          <w:sz w:val="22"/>
          <w:szCs w:val="22"/>
        </w:rPr>
        <w:t xml:space="preserve">Traditional development is serial: one task per developer at a time. Antigravity’s manager surface allows each developer to oversee multiple agents running simultaneously. A developer can instruct one agent to fix a bug, another to write unit tests, and a third to refactor a module — all in parallel. This fundamentally changes throughput for our team.</w:t>
      </w:r>
    </w:p>
    <w:p>
      <w:pPr>
        <w:spacing w:after="60" w:before="0"/>
      </w:pPr>
      <w:r>
        <w:t xml:space="preserve"/>
      </w:r>
    </w:p>
    <w:p>
      <w:pPr>
        <w:pStyle w:val="Heading2"/>
        <w:spacing w:after="80" w:before="240"/>
      </w:pPr>
      <w:r>
        <w:rPr>
          <w:rFonts w:ascii="Arial" w:cs="Arial" w:eastAsia="Arial" w:hAnsi="Arial"/>
          <w:b/>
          <w:bCs/>
          <w:color w:val="1A56DB"/>
          <w:sz w:val="24"/>
          <w:szCs w:val="24"/>
        </w:rPr>
        <w:t xml:space="preserve">3.3 Reduced Context Switching</w:t>
      </w:r>
    </w:p>
    <w:p>
      <w:pPr>
        <w:spacing w:after="100" w:before="60"/>
      </w:pPr>
      <w:r>
        <w:rPr>
          <w:rFonts w:ascii="Arial" w:cs="Arial" w:eastAsia="Arial" w:hAnsi="Arial"/>
          <w:sz w:val="22"/>
          <w:szCs w:val="22"/>
        </w:rPr>
        <w:t xml:space="preserve">The tool’s 1-million token context window means agents can work across large, multi-file projects without losing awareness of the codebase. Developers spend less time re-explaining context or manually copying code between windows.</w:t>
      </w:r>
    </w:p>
    <w:p>
      <w:pPr>
        <w:spacing w:after="60" w:before="0"/>
      </w:pPr>
      <w:r>
        <w:t xml:space="preserve"/>
      </w:r>
    </w:p>
    <w:p>
      <w:pPr>
        <w:pStyle w:val="Heading2"/>
        <w:spacing w:after="80" w:before="240"/>
      </w:pPr>
      <w:r>
        <w:rPr>
          <w:rFonts w:ascii="Arial" w:cs="Arial" w:eastAsia="Arial" w:hAnsi="Arial"/>
          <w:b/>
          <w:bCs/>
          <w:color w:val="1A56DB"/>
          <w:sz w:val="24"/>
          <w:szCs w:val="24"/>
        </w:rPr>
        <w:t xml:space="preserve">3.4 Google Cloud &amp; Firebase Integration</w:t>
      </w:r>
    </w:p>
    <w:p>
      <w:pPr>
        <w:spacing w:after="100" w:before="60"/>
      </w:pPr>
      <w:r>
        <w:rPr>
          <w:rFonts w:ascii="Arial" w:cs="Arial" w:eastAsia="Arial" w:hAnsi="Arial"/>
          <w:sz w:val="22"/>
          <w:szCs w:val="22"/>
        </w:rPr>
        <w:t xml:space="preserve">If our team uses or plans to use Google Cloud, Firebase, or Vertex AI, Antigravity offers deep native integration that is unmatched by competing tools. Deploying, testing, and iterating against cloud services becomes dramatically faster.</w:t>
      </w:r>
    </w:p>
    <w:p>
      <w:pPr>
        <w:spacing w:after="60" w:before="0"/>
      </w:pPr>
      <w:r>
        <w:t xml:space="preserve"/>
      </w:r>
    </w:p>
    <w:p>
      <w:pPr>
        <w:pStyle w:val="Heading2"/>
        <w:spacing w:after="80" w:before="240"/>
      </w:pPr>
      <w:r>
        <w:rPr>
          <w:rFonts w:ascii="Arial" w:cs="Arial" w:eastAsia="Arial" w:hAnsi="Arial"/>
          <w:b/>
          <w:bCs/>
          <w:color w:val="1A56DB"/>
          <w:sz w:val="24"/>
          <w:szCs w:val="24"/>
        </w:rPr>
        <w:t xml:space="preserve">3.5 Transparent Agent Oversight</w:t>
      </w:r>
    </w:p>
    <w:p>
      <w:pPr>
        <w:spacing w:after="100" w:before="60"/>
      </w:pPr>
      <w:r>
        <w:rPr>
          <w:rFonts w:ascii="Arial" w:cs="Arial" w:eastAsia="Arial" w:hAnsi="Arial"/>
          <w:sz w:val="22"/>
          <w:szCs w:val="22"/>
        </w:rPr>
        <w:t xml:space="preserve">Unlike black-box AI suggestions, Antigravity’s artifact system makes agent decisions visible. Developers can review an agent’s plan, leave inline comments, and redirect the agent mid-task, similar to commenting on a shared document. This makes AI assistance auditable and controllable, which is critical for code quality and team trust.</w:t>
      </w:r>
    </w:p>
    <w:p>
      <w:pPr>
        <w:pBdr>
          <w:bottom w:val="single" w:color="BFDBFE" w:sz="4" w:space="1"/>
        </w:pBdr>
        <w:spacing w:after="160" w:before="160"/>
      </w:pPr>
      <w:r>
        <w:t xml:space="preserve"/>
      </w:r>
    </w:p>
    <w:p>
      <w:pPr>
        <w:pStyle w:val="Heading1"/>
        <w:spacing w:after="120" w:before="320"/>
      </w:pPr>
      <w:r>
        <w:rPr>
          <w:rFonts w:ascii="Arial" w:cs="Arial" w:eastAsia="Arial" w:hAnsi="Arial"/>
          <w:b/>
          <w:bCs/>
          <w:color w:val="1e3a5f"/>
          <w:sz w:val="28"/>
          <w:szCs w:val="28"/>
        </w:rPr>
        <w:t xml:space="preserve">4. Pricing Overview</w:t>
      </w:r>
    </w:p>
    <w:p>
      <w:pPr>
        <w:spacing w:after="100" w:before="60"/>
      </w:pPr>
      <w:r>
        <w:rPr>
          <w:rFonts w:ascii="Arial" w:cs="Arial" w:eastAsia="Arial" w:hAnsi="Arial"/>
          <w:sz w:val="22"/>
          <w:szCs w:val="22"/>
        </w:rPr>
        <w:t xml:space="preserve">Antigravity uses a subscription model tied to Google AI plan tiers. The pricing structure as of June 2026 is as follows: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700"/>
        <w:gridCol w:w="1660"/>
      </w:tblGrid>
      <w:tr>
        <w:tc>
          <w:tcPr>
            <w:tcW w:type="dxa" w:w="2600"/>
            <w:tcBorders>
              <w:top w:val="single" w:color="BFDBFE" w:sz="1"/>
              <w:left w:val="single" w:color="BFDBFE" w:sz="1"/>
              <w:bottom w:val="single" w:color="BFDBFE" w:sz="1"/>
              <w:right w:val="single" w:color="BFDBFE"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Plan</w:t>
            </w:r>
          </w:p>
        </w:tc>
        <w:tc>
          <w:tcPr>
            <w:tcW w:type="dxa" w:w="1700"/>
            <w:tcBorders>
              <w:top w:val="single" w:color="BFDBFE" w:sz="1"/>
              <w:left w:val="single" w:color="BFDBFE" w:sz="1"/>
              <w:bottom w:val="single" w:color="BFDBFE" w:sz="1"/>
              <w:right w:val="single" w:color="BFDBFE"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Price/mo</w:t>
            </w:r>
          </w:p>
        </w:tc>
        <w:tc>
          <w:tcPr>
            <w:tcW w:type="dxa" w:w="1700"/>
            <w:tcBorders>
              <w:top w:val="single" w:color="BFDBFE" w:sz="1"/>
              <w:left w:val="single" w:color="BFDBFE" w:sz="1"/>
              <w:bottom w:val="single" w:color="BFDBFE" w:sz="1"/>
              <w:right w:val="single" w:color="BFDBFE"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Models</w:t>
            </w:r>
          </w:p>
        </w:tc>
        <w:tc>
          <w:tcPr>
            <w:tcW w:type="dxa" w:w="1700"/>
            <w:tcBorders>
              <w:top w:val="single" w:color="BFDBFE" w:sz="1"/>
              <w:left w:val="single" w:color="BFDBFE" w:sz="1"/>
              <w:bottom w:val="single" w:color="BFDBFE" w:sz="1"/>
              <w:right w:val="single" w:color="BFDBFE"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Agents</w:t>
            </w:r>
          </w:p>
        </w:tc>
        <w:tc>
          <w:tcPr>
            <w:tcW w:type="dxa" w:w="1660"/>
            <w:tcBorders>
              <w:top w:val="single" w:color="BFDBFE" w:sz="1"/>
              <w:left w:val="single" w:color="BFDBFE" w:sz="1"/>
              <w:bottom w:val="single" w:color="BFDBFE" w:sz="1"/>
              <w:right w:val="single" w:color="BFDBFE"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Best For</w:t>
            </w:r>
          </w:p>
        </w:tc>
      </w:tr>
      <w:tr>
        <w:tc>
          <w:tcPr>
            <w:tcW w:type="dxa" w:w="2600"/>
            <w:tcBorders>
              <w:top w:val="single" w:color="BFDBFE" w:sz="1"/>
              <w:left w:val="single" w:color="BFDBFE" w:sz="1"/>
              <w:bottom w:val="single" w:color="BFDBFE" w:sz="1"/>
              <w:right w:val="single" w:color="BFDBFE"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Free (Preview)</w:t>
            </w:r>
          </w:p>
        </w:tc>
        <w:tc>
          <w:tcPr>
            <w:tcW w:type="dxa" w:w="1700"/>
            <w:tcBorders>
              <w:top w:val="single" w:color="BFDBFE" w:sz="1"/>
              <w:left w:val="single" w:color="BFDBFE" w:sz="1"/>
              <w:bottom w:val="single" w:color="BFDBFE" w:sz="1"/>
              <w:right w:val="single" w:color="BFDBFE"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w:t>
            </w:r>
          </w:p>
        </w:tc>
        <w:tc>
          <w:tcPr>
            <w:tcW w:type="dxa" w:w="1700"/>
            <w:tcBorders>
              <w:top w:val="single" w:color="BFDBFE" w:sz="1"/>
              <w:left w:val="single" w:color="BFDBFE" w:sz="1"/>
              <w:bottom w:val="single" w:color="BFDBFE" w:sz="1"/>
              <w:right w:val="single" w:color="BFDBFE"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Gemini 3 Pro, Claude, GPT</w:t>
            </w:r>
          </w:p>
        </w:tc>
        <w:tc>
          <w:tcPr>
            <w:tcW w:type="dxa" w:w="1700"/>
            <w:tcBorders>
              <w:top w:val="single" w:color="BFDBFE" w:sz="1"/>
              <w:left w:val="single" w:color="BFDBFE" w:sz="1"/>
              <w:bottom w:val="single" w:color="BFDBFE" w:sz="1"/>
              <w:right w:val="single" w:color="BFDBFE"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Limited</w:t>
            </w:r>
          </w:p>
        </w:tc>
        <w:tc>
          <w:tcPr>
            <w:tcW w:type="dxa" w:w="1660"/>
            <w:tcBorders>
              <w:top w:val="single" w:color="BFDBFE" w:sz="1"/>
              <w:left w:val="single" w:color="BFDBFE" w:sz="1"/>
              <w:bottom w:val="single" w:color="BFDBFE" w:sz="1"/>
              <w:right w:val="single" w:color="BFDBFE"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Evaluation</w:t>
            </w:r>
          </w:p>
        </w:tc>
      </w:tr>
      <w:tr>
        <w:tc>
          <w:tcPr>
            <w:tcW w:type="dxa" w:w="26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Pro</w:t>
            </w:r>
          </w:p>
        </w:tc>
        <w:tc>
          <w:tcPr>
            <w:tcW w:type="dxa" w:w="17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$20 / seat</w:t>
            </w:r>
          </w:p>
        </w:tc>
        <w:tc>
          <w:tcPr>
            <w:tcW w:type="dxa" w:w="17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All models</w:t>
            </w:r>
          </w:p>
        </w:tc>
        <w:tc>
          <w:tcPr>
            <w:tcW w:type="dxa" w:w="17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Parallel</w:t>
            </w:r>
          </w:p>
        </w:tc>
        <w:tc>
          <w:tcPr>
            <w:tcW w:type="dxa" w:w="166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Daily dev work</w:t>
            </w:r>
          </w:p>
        </w:tc>
      </w:tr>
      <w:tr>
        <w:tc>
          <w:tcPr>
            <w:tcW w:type="dxa" w:w="2600"/>
            <w:tcBorders>
              <w:top w:val="single" w:color="BFDBFE" w:sz="1"/>
              <w:left w:val="single" w:color="BFDBFE" w:sz="1"/>
              <w:bottom w:val="single" w:color="BFDBFE" w:sz="1"/>
              <w:right w:val="single" w:color="BFDBFE"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Ultra</w:t>
            </w:r>
          </w:p>
        </w:tc>
        <w:tc>
          <w:tcPr>
            <w:tcW w:type="dxa" w:w="1700"/>
            <w:tcBorders>
              <w:top w:val="single" w:color="BFDBFE" w:sz="1"/>
              <w:left w:val="single" w:color="BFDBFE" w:sz="1"/>
              <w:bottom w:val="single" w:color="BFDBFE" w:sz="1"/>
              <w:right w:val="single" w:color="BFDBFE"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$100</w:t>
            </w:r>
          </w:p>
        </w:tc>
        <w:tc>
          <w:tcPr>
            <w:tcW w:type="dxa" w:w="1700"/>
            <w:tcBorders>
              <w:top w:val="single" w:color="BFDBFE" w:sz="1"/>
              <w:left w:val="single" w:color="BFDBFE" w:sz="1"/>
              <w:bottom w:val="single" w:color="BFDBFE" w:sz="1"/>
              <w:right w:val="single" w:color="BFDBFE"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All models</w:t>
            </w:r>
          </w:p>
        </w:tc>
        <w:tc>
          <w:tcPr>
            <w:tcW w:type="dxa" w:w="1700"/>
            <w:tcBorders>
              <w:top w:val="single" w:color="BFDBFE" w:sz="1"/>
              <w:left w:val="single" w:color="BFDBFE" w:sz="1"/>
              <w:bottom w:val="single" w:color="BFDBFE" w:sz="1"/>
              <w:right w:val="single" w:color="BFDBFE"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5x quota</w:t>
            </w:r>
          </w:p>
        </w:tc>
        <w:tc>
          <w:tcPr>
            <w:tcW w:type="dxa" w:w="1660"/>
            <w:tcBorders>
              <w:top w:val="single" w:color="BFDBFE" w:sz="1"/>
              <w:left w:val="single" w:color="BFDBFE" w:sz="1"/>
              <w:bottom w:val="single" w:color="BFDBFE" w:sz="1"/>
              <w:right w:val="single" w:color="BFDBFE"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Heavy usage</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Ultra Max</w:t>
            </w:r>
          </w:p>
        </w:tc>
        <w:tc>
          <w:tcPr>
            <w:tcW w:type="dxa" w:w="17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$200</w:t>
            </w:r>
          </w:p>
        </w:tc>
        <w:tc>
          <w:tcPr>
            <w:tcW w:type="dxa" w:w="17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All models</w:t>
            </w:r>
          </w:p>
        </w:tc>
        <w:tc>
          <w:tcPr>
            <w:tcW w:type="dxa" w:w="17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20x quota</w:t>
            </w:r>
          </w:p>
        </w:tc>
        <w:tc>
          <w:tcPr>
            <w:tcW w:type="dxa" w:w="16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Max throughput</w:t>
            </w:r>
          </w:p>
        </w:tc>
      </w:tr>
    </w:tbl>
    <w:p>
      <w:pPr>
        <w:spacing w:after="120" w:before="0"/>
      </w:pPr>
      <w:r>
        <w:t xml:space="preserve"/>
      </w:r>
    </w:p>
    <w:p>
      <w:pPr>
        <w:spacing w:after="100" w:before="60"/>
      </w:pPr>
      <w:r>
        <w:rPr>
          <w:rFonts w:ascii="Arial" w:cs="Arial" w:eastAsia="Arial" w:hAnsi="Arial"/>
          <w:sz w:val="22"/>
          <w:szCs w:val="22"/>
        </w:rPr>
        <w:t xml:space="preserve">The Pro plan at $20 per seat per month is the recommended starting point for our team of 5. It provides full model access and parallel agent support sufficient for daily development work. The Ultra tier at $100/month per seat is available if usage patterns show we regularly hit Pro quotas.</w:t>
      </w:r>
    </w:p>
    <w:p>
      <w:pPr>
        <w:spacing w:after="60" w:before="0"/>
      </w:pPr>
      <w:r>
        <w:t xml:space="preserve"/>
      </w:r>
    </w:p>
    <w:p>
      <w:pPr>
        <w:spacing w:after="100" w:before="60"/>
      </w:pPr>
      <w:r>
        <w:rPr>
          <w:rFonts w:ascii="Arial" w:cs="Arial" w:eastAsia="Arial" w:hAnsi="Arial"/>
          <w:sz w:val="22"/>
          <w:szCs w:val="22"/>
        </w:rPr>
        <w:t xml:space="preserve">Note: The product is currently in a free public preview phase. Adopting now means the team can onboard and build workflows at no cost before committing to a paid tier.</w:t>
      </w:r>
    </w:p>
    <w:p>
      <w:pPr>
        <w:pBdr>
          <w:bottom w:val="single" w:color="BFDBFE" w:sz="4" w:space="1"/>
        </w:pBdr>
        <w:spacing w:after="160" w:before="160"/>
      </w:pPr>
      <w:r>
        <w:t xml:space="preserve"/>
      </w:r>
    </w:p>
    <w:p>
      <w:pPr>
        <w:pStyle w:val="Heading1"/>
        <w:spacing w:after="120" w:before="320"/>
      </w:pPr>
      <w:r>
        <w:rPr>
          <w:rFonts w:ascii="Arial" w:cs="Arial" w:eastAsia="Arial" w:hAnsi="Arial"/>
          <w:b/>
          <w:bCs/>
          <w:color w:val="1e3a5f"/>
          <w:sz w:val="28"/>
          <w:szCs w:val="28"/>
        </w:rPr>
        <w:t xml:space="preserve">5. Cost &amp; ROI Analysis</w:t>
      </w:r>
    </w:p>
    <w:p>
      <w:pPr>
        <w:spacing w:after="100" w:before="60"/>
      </w:pPr>
      <w:r>
        <w:rPr>
          <w:rFonts w:ascii="Arial" w:cs="Arial" w:eastAsia="Arial" w:hAnsi="Arial"/>
          <w:sz w:val="22"/>
          <w:szCs w:val="22"/>
        </w:rPr>
        <w:t xml:space="preserve">The table below outlines the estimated cost for 5 developer seats and compares it against the productivity value recovered: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DBFE" w:sz="1"/>
              <w:left w:val="single" w:color="BFDBFE" w:sz="1"/>
              <w:bottom w:val="single" w:color="BFDBFE" w:sz="1"/>
              <w:right w:val="single" w:color="BFDBFE"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Item</w:t>
            </w:r>
          </w:p>
        </w:tc>
        <w:tc>
          <w:tcPr>
            <w:tcW w:type="dxa" w:w="3120"/>
            <w:tcBorders>
              <w:top w:val="single" w:color="BFDBFE" w:sz="1"/>
              <w:left w:val="single" w:color="BFDBFE" w:sz="1"/>
              <w:bottom w:val="single" w:color="BFDBFE" w:sz="1"/>
              <w:right w:val="single" w:color="BFDBFE"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Monthly Cost (5 devs)</w:t>
            </w:r>
          </w:p>
        </w:tc>
        <w:tc>
          <w:tcPr>
            <w:tcW w:type="dxa" w:w="3120"/>
            <w:tcBorders>
              <w:top w:val="single" w:color="BFDBFE" w:sz="1"/>
              <w:left w:val="single" w:color="BFDBFE" w:sz="1"/>
              <w:bottom w:val="single" w:color="BFDBFE" w:sz="1"/>
              <w:right w:val="single" w:color="BFDBFE"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Annual Cost</w:t>
            </w:r>
          </w:p>
        </w:tc>
      </w:tr>
      <w:tr>
        <w:tc>
          <w:tcPr>
            <w:tcW w:type="dxa" w:w="312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pPr>
              <w:jc w:val="center"/>
            </w:pPr>
            <w:r>
              <w:rPr>
                <w:rFonts w:ascii="Arial" w:cs="Arial" w:eastAsia="Arial" w:hAnsi="Arial"/>
                <w:b/>
                <w:bCs/>
                <w:sz w:val="20"/>
                <w:szCs w:val="20"/>
              </w:rPr>
              <w:t xml:space="preserve">Antigravity Pro × 5</w:t>
            </w:r>
          </w:p>
        </w:tc>
        <w:tc>
          <w:tcPr>
            <w:tcW w:type="dxa" w:w="312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pPr>
              <w:jc w:val="center"/>
            </w:pPr>
            <w:r>
              <w:rPr>
                <w:rFonts w:ascii="Arial" w:cs="Arial" w:eastAsia="Arial" w:hAnsi="Arial"/>
                <w:b/>
                <w:bCs/>
                <w:sz w:val="20"/>
                <w:szCs w:val="20"/>
              </w:rPr>
              <w:t xml:space="preserve">$100</w:t>
            </w:r>
          </w:p>
        </w:tc>
        <w:tc>
          <w:tcPr>
            <w:tcW w:type="dxa" w:w="312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pPr>
              <w:jc w:val="center"/>
            </w:pPr>
            <w:r>
              <w:rPr>
                <w:rFonts w:ascii="Arial" w:cs="Arial" w:eastAsia="Arial" w:hAnsi="Arial"/>
                <w:b/>
                <w:bCs/>
                <w:sz w:val="20"/>
                <w:szCs w:val="20"/>
              </w:rPr>
              <w:t xml:space="preserve">$1,200</w:t>
            </w:r>
          </w:p>
        </w:tc>
      </w:tr>
      <w:tr>
        <w:tc>
          <w:tcPr>
            <w:tcW w:type="dxa" w:w="3120"/>
            <w:tcBorders>
              <w:top w:val="single" w:color="BFDBFE" w:sz="1"/>
              <w:left w:val="single" w:color="BFDBFE" w:sz="1"/>
              <w:bottom w:val="single" w:color="BFDBFE" w:sz="1"/>
              <w:right w:val="single" w:color="BFDBFE" w:sz="1"/>
            </w:tcBorders>
            <w:shd w:fill="F3F4F6"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Antigravity Ultra × 5</w:t>
            </w:r>
          </w:p>
        </w:tc>
        <w:tc>
          <w:tcPr>
            <w:tcW w:type="dxa" w:w="3120"/>
            <w:tcBorders>
              <w:top w:val="single" w:color="BFDBFE" w:sz="1"/>
              <w:left w:val="single" w:color="BFDBFE" w:sz="1"/>
              <w:bottom w:val="single" w:color="BFDBFE" w:sz="1"/>
              <w:right w:val="single" w:color="BFDBFE" w:sz="1"/>
            </w:tcBorders>
            <w:shd w:fill="F3F4F6"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$500</w:t>
            </w:r>
          </w:p>
        </w:tc>
        <w:tc>
          <w:tcPr>
            <w:tcW w:type="dxa" w:w="3120"/>
            <w:tcBorders>
              <w:top w:val="single" w:color="BFDBFE" w:sz="1"/>
              <w:left w:val="single" w:color="BFDBFE" w:sz="1"/>
              <w:bottom w:val="single" w:color="BFDBFE" w:sz="1"/>
              <w:right w:val="single" w:color="BFDBFE" w:sz="1"/>
            </w:tcBorders>
            <w:shd w:fill="F3F4F6"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$6,000</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Est. time saved (hrs/dev/mo × $50)</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~$2,000+</w:t>
            </w:r>
          </w:p>
        </w:tc>
        <w:tc>
          <w:tcPr>
            <w:tcW w:type="dxa" w:w="31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~$24,000+</w:t>
            </w:r>
          </w:p>
        </w:tc>
      </w:tr>
    </w:tbl>
    <w:p>
      <w:pPr>
        <w:spacing w:after="120" w:before="0"/>
      </w:pPr>
      <w:r>
        <w:t xml:space="preserve"/>
      </w:r>
    </w:p>
    <w:p>
      <w:pPr>
        <w:spacing w:after="100" w:before="60"/>
      </w:pPr>
      <w:r>
        <w:rPr>
          <w:rFonts w:ascii="Arial" w:cs="Arial" w:eastAsia="Arial" w:hAnsi="Arial"/>
          <w:sz w:val="22"/>
          <w:szCs w:val="22"/>
        </w:rPr>
        <w:t xml:space="preserve">At $100/month for 5 Pro seats, the investment pays for itself if the team recovers just 2 hours of productivity per developer per month — a highly conservative threshold given typical AI IDE productivity benchmarks. The annual cost of $1,200 for Pro seats is modest relative to developer salaries and represents a strong ROI even without accounting for quality improvements, fewer bugs, and faster iteration cycles.</w:t>
      </w:r>
    </w:p>
    <w:p>
      <w:pPr>
        <w:pBdr>
          <w:bottom w:val="single" w:color="BFDBFE" w:sz="4" w:space="1"/>
        </w:pBdr>
        <w:spacing w:after="160" w:before="160"/>
      </w:pPr>
      <w:r>
        <w:t xml:space="preserve"/>
      </w:r>
    </w:p>
    <w:p>
      <w:pPr>
        <w:pStyle w:val="Heading1"/>
        <w:spacing w:after="120" w:before="320"/>
      </w:pPr>
      <w:r>
        <w:rPr>
          <w:rFonts w:ascii="Arial" w:cs="Arial" w:eastAsia="Arial" w:hAnsi="Arial"/>
          <w:b/>
          <w:bCs/>
          <w:color w:val="1e3a5f"/>
          <w:sz w:val="28"/>
          <w:szCs w:val="28"/>
        </w:rPr>
        <w:t xml:space="preserve">6. Comparison with Alternatives</w:t>
      </w:r>
    </w:p>
    <w:p>
      <w:pPr>
        <w:spacing w:after="100" w:before="60"/>
      </w:pPr>
      <w:r>
        <w:rPr>
          <w:rFonts w:ascii="Arial" w:cs="Arial" w:eastAsia="Arial" w:hAnsi="Arial"/>
          <w:sz w:val="22"/>
          <w:szCs w:val="22"/>
        </w:rPr>
        <w:t xml:space="preserve">Below is a brief comparison of Antigravity against the two most common alternatives our team might consider:</w:t>
      </w:r>
    </w:p>
    <w:p>
      <w:pPr>
        <w:spacing w:after="60" w:before="0"/>
      </w:pPr>
      <w:r>
        <w:t xml:space="preserve"/>
      </w:r>
    </w:p>
    <w:p>
      <w:pPr>
        <w:pStyle w:val="ListParagraph"/>
        <w:numPr>
          <w:ilvl w:val="0"/>
          <w:numId w:val="2"/>
        </w:numPr>
        <w:spacing w:after="40" w:before="40"/>
      </w:pPr>
      <w:r>
        <w:rPr>
          <w:rFonts w:ascii="Arial" w:cs="Arial" w:eastAsia="Arial" w:hAnsi="Arial"/>
          <w:b/>
          <w:bCs/>
          <w:sz w:val="22"/>
          <w:szCs w:val="22"/>
        </w:rPr>
        <w:t xml:space="preserve">Strong autocomplete and inline suggestions, but no multi-agent support and limited autonomous task execution. Priced at $19/user/month for Business.</w:t>
      </w:r>
      <w:r>
        <w:rPr>
          <w:rFonts w:ascii="Arial" w:cs="Arial" w:eastAsia="Arial" w:hAnsi="Arial"/>
          <w:sz w:val="22"/>
          <w:szCs w:val="22"/>
        </w:rPr>
        <w:t xml:space="preserve">GitHub Copilot: </w:t>
      </w:r>
    </w:p>
    <w:p>
      <w:pPr>
        <w:pStyle w:val="ListParagraph"/>
        <w:numPr>
          <w:ilvl w:val="0"/>
          <w:numId w:val="2"/>
        </w:numPr>
        <w:spacing w:after="40" w:before="40"/>
      </w:pPr>
      <w:r>
        <w:rPr>
          <w:rFonts w:ascii="Arial" w:cs="Arial" w:eastAsia="Arial" w:hAnsi="Arial"/>
          <w:b/>
          <w:bCs/>
          <w:sz w:val="22"/>
          <w:szCs w:val="22"/>
        </w:rPr>
        <w:t xml:space="preserve">Excellent VS Code-based AI coding experience at $20/month. Strong for individual productivity but lacks Antigravity’s parallel agent orchestration and built-in browser testing.</w:t>
      </w:r>
      <w:r>
        <w:rPr>
          <w:rFonts w:ascii="Arial" w:cs="Arial" w:eastAsia="Arial" w:hAnsi="Arial"/>
          <w:sz w:val="22"/>
          <w:szCs w:val="22"/>
        </w:rPr>
        <w:t xml:space="preserve">Cursor Pro: </w:t>
      </w:r>
    </w:p>
    <w:p>
      <w:pPr>
        <w:pStyle w:val="ListParagraph"/>
        <w:numPr>
          <w:ilvl w:val="0"/>
          <w:numId w:val="2"/>
        </w:numPr>
        <w:spacing w:after="40" w:before="40"/>
      </w:pPr>
      <w:r>
        <w:rPr>
          <w:rFonts w:ascii="Arial" w:cs="Arial" w:eastAsia="Arial" w:hAnsi="Arial"/>
          <w:b/>
          <w:bCs/>
          <w:sz w:val="22"/>
          <w:szCs w:val="22"/>
        </w:rPr>
        <w:t xml:space="preserve">Purpose-built for agentic workflows with multi-model access, parallel agents, and the deepest Gemini integration on the market. Best fit for teams wanting to delegate full tasks, not just get line-by-line suggestions.</w:t>
      </w:r>
      <w:r>
        <w:rPr>
          <w:rFonts w:ascii="Arial" w:cs="Arial" w:eastAsia="Arial" w:hAnsi="Arial"/>
          <w:sz w:val="22"/>
          <w:szCs w:val="22"/>
        </w:rPr>
        <w:t xml:space="preserve">Google Antigravity Pro: </w:t>
      </w:r>
    </w:p>
    <w:p>
      <w:pPr>
        <w:spacing w:after="60" w:before="0"/>
      </w:pPr>
      <w:r>
        <w:t xml:space="preserve"/>
      </w:r>
    </w:p>
    <w:p>
      <w:pPr>
        <w:spacing w:after="100" w:before="60"/>
      </w:pPr>
      <w:r>
        <w:rPr>
          <w:rFonts w:ascii="Arial" w:cs="Arial" w:eastAsia="Arial" w:hAnsi="Arial"/>
          <w:sz w:val="22"/>
          <w:szCs w:val="22"/>
        </w:rPr>
        <w:t xml:space="preserve">For a team that wants to go beyond autocomplete and leverage AI as an active participant in the development process, Antigravity is the most capable option available today.</w:t>
      </w:r>
    </w:p>
    <w:p>
      <w:pPr>
        <w:pBdr>
          <w:bottom w:val="single" w:color="BFDBFE" w:sz="4" w:space="1"/>
        </w:pBdr>
        <w:spacing w:after="160" w:before="160"/>
      </w:pPr>
      <w:r>
        <w:t xml:space="preserve"/>
      </w:r>
    </w:p>
    <w:p>
      <w:pPr>
        <w:pStyle w:val="Heading1"/>
        <w:spacing w:after="120" w:before="320"/>
      </w:pPr>
      <w:r>
        <w:rPr>
          <w:rFonts w:ascii="Arial" w:cs="Arial" w:eastAsia="Arial" w:hAnsi="Arial"/>
          <w:b/>
          <w:bCs/>
          <w:color w:val="1e3a5f"/>
          <w:sz w:val="28"/>
          <w:szCs w:val="28"/>
        </w:rPr>
        <w:t xml:space="preserve">7. Implementation Plan</w:t>
      </w:r>
    </w:p>
    <w:p>
      <w:pPr>
        <w:spacing w:after="100" w:before="60"/>
      </w:pPr>
      <w:r>
        <w:rPr>
          <w:rFonts w:ascii="Arial" w:cs="Arial" w:eastAsia="Arial" w:hAnsi="Arial"/>
          <w:sz w:val="22"/>
          <w:szCs w:val="22"/>
        </w:rPr>
        <w:t xml:space="preserve">To minimise disruption and allow for structured evaluation, we propose the following phased rollout:</w:t>
      </w:r>
    </w:p>
    <w:p>
      <w:pPr>
        <w:spacing w:after="60" w:before="0"/>
      </w:pPr>
      <w:r>
        <w:t xml:space="preserve"/>
      </w:r>
    </w:p>
    <w:p>
      <w:pPr>
        <w:pStyle w:val="ListParagraph"/>
        <w:numPr>
          <w:ilvl w:val="0"/>
          <w:numId w:val="2"/>
        </w:numPr>
        <w:spacing w:after="40" w:before="40"/>
      </w:pPr>
      <w:r>
        <w:rPr>
          <w:rFonts w:ascii="Arial" w:cs="Arial" w:eastAsia="Arial" w:hAnsi="Arial"/>
          <w:b/>
          <w:bCs/>
          <w:sz w:val="22"/>
          <w:szCs w:val="22"/>
        </w:rPr>
        <w:t xml:space="preserve">All 5 developers install Antigravity and begin using it alongside their current environment. No cost incurred.</w:t>
      </w:r>
      <w:r>
        <w:rPr>
          <w:rFonts w:ascii="Arial" w:cs="Arial" w:eastAsia="Arial" w:hAnsi="Arial"/>
          <w:sz w:val="22"/>
          <w:szCs w:val="22"/>
        </w:rPr>
        <w:t xml:space="preserve">Phase 1 – Free Preview (Weeks 1–4): </w:t>
      </w:r>
    </w:p>
    <w:p>
      <w:pPr>
        <w:pStyle w:val="ListParagraph"/>
        <w:numPr>
          <w:ilvl w:val="0"/>
          <w:numId w:val="2"/>
        </w:numPr>
        <w:spacing w:after="40" w:before="40"/>
      </w:pPr>
      <w:r>
        <w:rPr>
          <w:rFonts w:ascii="Arial" w:cs="Arial" w:eastAsia="Arial" w:hAnsi="Arial"/>
          <w:b/>
          <w:bCs/>
          <w:sz w:val="22"/>
          <w:szCs w:val="22"/>
        </w:rPr>
        <w:t xml:space="preserve">Identify 2–3 real sprint tasks delegated primarily to Antigravity agents. Track time saved, quality of output, and team satisfaction.</w:t>
      </w:r>
      <w:r>
        <w:rPr>
          <w:rFonts w:ascii="Arial" w:cs="Arial" w:eastAsia="Arial" w:hAnsi="Arial"/>
          <w:sz w:val="22"/>
          <w:szCs w:val="22"/>
        </w:rPr>
        <w:t xml:space="preserve">Phase 2 – Structured Evaluation (Weeks 5–8): </w:t>
      </w:r>
    </w:p>
    <w:p>
      <w:pPr>
        <w:pStyle w:val="ListParagraph"/>
        <w:numPr>
          <w:ilvl w:val="0"/>
          <w:numId w:val="2"/>
        </w:numPr>
        <w:spacing w:after="40" w:before="40"/>
      </w:pPr>
      <w:r>
        <w:rPr>
          <w:rFonts w:ascii="Arial" w:cs="Arial" w:eastAsia="Arial" w:hAnsi="Arial"/>
          <w:b/>
          <w:bCs/>
          <w:sz w:val="22"/>
          <w:szCs w:val="22"/>
        </w:rPr>
        <w:t xml:space="preserve">Based on evaluation results, make a go/no-go decision on Pro subscriptions. Expected recommendation: proceed with Pro for all 5 seats.</w:t>
      </w:r>
      <w:r>
        <w:rPr>
          <w:rFonts w:ascii="Arial" w:cs="Arial" w:eastAsia="Arial" w:hAnsi="Arial"/>
          <w:sz w:val="22"/>
          <w:szCs w:val="22"/>
        </w:rPr>
        <w:t xml:space="preserve">Phase 3 – Decision &amp; Subscription (Week 9+): </w:t>
      </w:r>
    </w:p>
    <w:p>
      <w:pPr>
        <w:pBdr>
          <w:bottom w:val="single" w:color="BFDBFE" w:sz="4" w:space="1"/>
        </w:pBdr>
        <w:spacing w:after="160" w:before="160"/>
      </w:pPr>
      <w:r>
        <w:t xml:space="preserve"/>
      </w:r>
    </w:p>
    <w:p>
      <w:pPr>
        <w:pStyle w:val="Heading1"/>
        <w:spacing w:after="120" w:before="320"/>
      </w:pPr>
      <w:r>
        <w:rPr>
          <w:rFonts w:ascii="Arial" w:cs="Arial" w:eastAsia="Arial" w:hAnsi="Arial"/>
          <w:b/>
          <w:bCs/>
          <w:color w:val="1e3a5f"/>
          <w:sz w:val="28"/>
          <w:szCs w:val="28"/>
        </w:rPr>
        <w:t xml:space="preserve">8. Recommendation &amp; Requested Approval</w:t>
      </w:r>
    </w:p>
    <w:p>
      <w:pPr>
        <w:spacing w:after="100" w:before="60"/>
      </w:pPr>
      <w:r>
        <w:rPr>
          <w:rFonts w:ascii="Arial" w:cs="Arial" w:eastAsia="Arial" w:hAnsi="Arial"/>
          <w:sz w:val="22"/>
          <w:szCs w:val="22"/>
        </w:rPr>
        <w:t xml:space="preserve">We recommend approving the adoption of Google Antigravity IDE for our 5-person software development team under the following terms:</w:t>
      </w:r>
    </w:p>
    <w:p>
      <w:pPr>
        <w:spacing w:after="60" w:before="0"/>
      </w:pPr>
      <w:r>
        <w:t xml:space="preserve"/>
      </w:r>
    </w:p>
    <w:p>
      <w:pPr>
        <w:pStyle w:val="ListParagraph"/>
        <w:numPr>
          <w:ilvl w:val="0"/>
          <w:numId w:val="2"/>
        </w:numPr>
        <w:spacing w:after="40" w:before="40"/>
      </w:pPr>
      <w:r>
        <w:rPr>
          <w:rFonts w:ascii="Arial" w:cs="Arial" w:eastAsia="Arial" w:hAnsi="Arial"/>
          <w:sz w:val="22"/>
          <w:szCs w:val="22"/>
        </w:rPr>
        <w:t xml:space="preserve">Immediate start on the free public preview — no budget required at this stage.</w:t>
      </w:r>
    </w:p>
    <w:p>
      <w:pPr>
        <w:pStyle w:val="ListParagraph"/>
        <w:numPr>
          <w:ilvl w:val="0"/>
          <w:numId w:val="2"/>
        </w:numPr>
        <w:spacing w:after="40" w:before="40"/>
      </w:pPr>
      <w:r>
        <w:rPr>
          <w:rFonts w:ascii="Arial" w:cs="Arial" w:eastAsia="Arial" w:hAnsi="Arial"/>
          <w:sz w:val="22"/>
          <w:szCs w:val="22"/>
        </w:rPr>
        <w:t xml:space="preserve">Pre-approval for up to 5 Pro seats at $20/seat/month ($100/month total) after the 8-week evaluation phase.</w:t>
      </w:r>
    </w:p>
    <w:p>
      <w:pPr>
        <w:pStyle w:val="ListParagraph"/>
        <w:numPr>
          <w:ilvl w:val="0"/>
          <w:numId w:val="2"/>
        </w:numPr>
        <w:spacing w:after="40" w:before="40"/>
      </w:pPr>
      <w:r>
        <w:rPr>
          <w:rFonts w:ascii="Arial" w:cs="Arial" w:eastAsia="Arial" w:hAnsi="Arial"/>
          <w:sz w:val="22"/>
          <w:szCs w:val="22"/>
        </w:rPr>
        <w:t xml:space="preserve">Annual budget allocation of $1,200 for Pro tier, with an optional escalation to Ultra ($6,000/year) if usage demands it.</w:t>
      </w:r>
    </w:p>
    <w:p>
      <w:pPr>
        <w:spacing w:after="100" w:before="0"/>
      </w:pPr>
      <w:r>
        <w:t xml:space="preserve"/>
      </w:r>
    </w:p>
    <w:p>
      <w:pPr>
        <w:spacing w:after="100" w:before="60"/>
      </w:pPr>
      <w:r>
        <w:rPr>
          <w:rFonts w:ascii="Arial" w:cs="Arial" w:eastAsia="Arial" w:hAnsi="Arial"/>
          <w:sz w:val="22"/>
          <w:szCs w:val="22"/>
        </w:rPr>
        <w:t xml:space="preserve">This investment positions our team to deliver software faster, reduce repetitive overhead, and take full advantage of the current wave of agentic AI development tools — at one of the most competitive price points in the market.</w:t>
      </w:r>
    </w:p>
    <w:p>
      <w:pPr>
        <w:spacing w:after="80" w:before="0"/>
      </w:pPr>
      <w:r>
        <w:t xml:space="preserve"/>
      </w:r>
    </w:p>
    <w:p>
      <w:pPr>
        <w:spacing w:after="100" w:before="60"/>
      </w:pPr>
      <w:r>
        <w:rPr>
          <w:rFonts w:ascii="Arial" w:cs="Arial" w:eastAsia="Arial" w:hAnsi="Arial"/>
          <w:sz w:val="22"/>
          <w:szCs w:val="22"/>
        </w:rPr>
        <w:t xml:space="preserve">We welcome any questions or a live demonstration before a final decision is made. Thank you for your consideration.</w:t>
      </w:r>
    </w:p>
    <w:p>
      <w:pPr>
        <w:pBdr>
          <w:bottom w:val="single" w:color="BFDBFE" w:sz="4" w:space="1"/>
        </w:pBdr>
        <w:spacing w:after="160" w:before="160"/>
      </w:pPr>
      <w:r>
        <w:t xml:space="preserve"/>
      </w:r>
    </w:p>
    <w:p>
      <w:pPr>
        <w:spacing w:after="60" w:before="200"/>
      </w:pPr>
      <w:r>
        <w:rPr>
          <w:rFonts w:ascii="Arial" w:cs="Arial" w:eastAsia="Arial" w:hAnsi="Arial"/>
          <w:b/>
          <w:bCs/>
          <w:sz w:val="22"/>
          <w:szCs w:val="22"/>
        </w:rPr>
        <w:t xml:space="preserve">Prepared by:</w:t>
      </w:r>
    </w:p>
    <w:p>
      <w:pPr>
        <w:spacing w:after="20" w:before="60"/>
      </w:pPr>
      <w:r>
        <w:rPr>
          <w:rFonts w:ascii="Arial" w:cs="Arial" w:eastAsia="Arial" w:hAnsi="Arial"/>
          <w:color w:val="888888"/>
          <w:sz w:val="22"/>
          <w:szCs w:val="22"/>
        </w:rPr>
        <w:t xml:space="preserve">_________________________________</w:t>
      </w:r>
    </w:p>
    <w:p>
      <w:pPr>
        <w:spacing w:after="200" w:before="0"/>
      </w:pPr>
      <w:r>
        <w:rPr>
          <w:rFonts w:ascii="Arial" w:cs="Arial" w:eastAsia="Arial" w:hAnsi="Arial"/>
          <w:i/>
          <w:iCs/>
          <w:color w:val="888888"/>
          <w:sz w:val="20"/>
          <w:szCs w:val="20"/>
        </w:rPr>
        <w:t xml:space="preserve">Name / Title / Date</w:t>
      </w:r>
    </w:p>
    <w:p>
      <w:pPr>
        <w:spacing w:after="60" w:before="0"/>
      </w:pPr>
      <w:r>
        <w:rPr>
          <w:rFonts w:ascii="Arial" w:cs="Arial" w:eastAsia="Arial" w:hAnsi="Arial"/>
          <w:b/>
          <w:bCs/>
          <w:sz w:val="22"/>
          <w:szCs w:val="22"/>
        </w:rPr>
        <w:t xml:space="preserve">Reviewed &amp; Approved by:</w:t>
      </w:r>
    </w:p>
    <w:p>
      <w:pPr>
        <w:spacing w:after="20" w:before="60"/>
      </w:pPr>
      <w:r>
        <w:rPr>
          <w:rFonts w:ascii="Arial" w:cs="Arial" w:eastAsia="Arial" w:hAnsi="Arial"/>
          <w:color w:val="888888"/>
          <w:sz w:val="22"/>
          <w:szCs w:val="22"/>
        </w:rPr>
        <w:t xml:space="preserve">_________________________________</w:t>
      </w:r>
    </w:p>
    <w:p>
      <w:pPr>
        <w:spacing w:after="60" w:before="0"/>
      </w:pPr>
      <w:r>
        <w:rPr>
          <w:rFonts w:ascii="Arial" w:cs="Arial" w:eastAsia="Arial" w:hAnsi="Arial"/>
          <w:i/>
          <w:iCs/>
          <w:color w:val="888888"/>
          <w:sz w:val="20"/>
          <w:szCs w:val="20"/>
        </w:rPr>
        <w:t xml:space="preserve">Manager Name / Title / Date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DBFE" w:sz="4" w:space="4"/>
      </w:pBdr>
      <w:tabs>
        <w:tab w:val="right" w:pos="9360"/>
      </w:tabs>
      <w:spacing w:before="100"/>
    </w:pPr>
    <w:r>
      <w:rPr>
        <w:rFonts w:ascii="Arial" w:cs="Arial" w:eastAsia="Arial" w:hAnsi="Arial"/>
        <w:color w:val="888888"/>
        <w:sz w:val="18"/>
        <w:szCs w:val="18"/>
      </w:rPr>
      <w:t xml:space="preserve">Confidential – Internal Use Only</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DBFE" w:sz="4" w:space="4"/>
      </w:pBdr>
      <w:tabs>
        <w:tab w:val="right" w:pos="9360"/>
      </w:tabs>
      <w:spacing w:after="100"/>
    </w:pPr>
    <w:r>
      <w:rPr>
        <w:rFonts w:ascii="Arial" w:cs="Arial" w:eastAsia="Arial" w:hAnsi="Arial"/>
        <w:color w:val="888888"/>
        <w:sz w:val="18"/>
        <w:szCs w:val="18"/>
      </w:rPr>
      <w:t xml:space="preserve">Software Tool Procurement Proposal</w:t>
    </w:r>
    <w:r>
      <w:rPr>
        <w:rFonts w:ascii="Arial" w:cs="Arial" w:eastAsia="Arial" w:hAnsi="Arial"/>
        <w:color w:val="888888"/>
        <w:sz w:val="18"/>
        <w:szCs w:val="18"/>
      </w:rPr>
      <w:t xml:space="preserve">	June 18,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e3a5f"/>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A56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2026-06-18T11:00:08.131Z</dcterms:created>
  <dcterms:modified xsi:type="dcterms:W3CDTF">2026-06-18T11:00:08.132Z</dcterms:modified>
</cp:coreProperties>
</file>

<file path=docProps/custom.xml><?xml version="1.0" encoding="utf-8"?>
<Properties xmlns="http://schemas.openxmlformats.org/officeDocument/2006/custom-properties" xmlns:vt="http://schemas.openxmlformats.org/officeDocument/2006/docPropsVTypes"/>
</file>