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1  Physical model architecture</w:t>
      </w:r>
    </w:p>
    <w:p>
      <w:r>
        <w:t>The saved Simulink model connects a wind turbine and single-mass shaft to a native PMSG, machine-side converter (MSC), DC capacitor, grid-side converter (GSC), RL filter, point of common coupling (PCC) and three-phase grid. The components in Figure 1 are the executable Simscape network.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189720" cy="5014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mplete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9720" cy="501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1. Full top-level model exported directly from Simulink. Power conversion runs left to right; grouped MSC and GSC/PLL controls sit below the physical network.</w:t>
      </w:r>
    </w:p>
    <w:p>
      <w:r>
        <w:t>The native PMSM block integrates stator d- and q-axis current states and rotor dynamics. Both converters use average-value three-phase voltage-source models. The 5 MW rating follows Wang et al. (2019); other machine, turbine, filter, grid and controller numbers are project engineering assumptions.</w:t>
      </w:r>
    </w:p>
    <w:p>
      <w:pPr>
        <w:pStyle w:val="Title"/>
        <w:pageBreakBefore/>
      </w:pPr>
      <w:r>
        <w:t>2  Converter controls and weak-grid response</w:t>
      </w:r>
    </w:p>
    <w:p>
      <w:r>
        <w:t>The MSC uses rotor-speed and d/q current loops to control generator torque. The GSC regulates DC-link voltage and grid current in a PLL-aligned frame. Figure 2 shows the actual control subsystems; measurement and Scope paths are separate from the power path.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31464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msc_contro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14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331642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sc_pll_contro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316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Figure 2. Machine-side control (left) and GSC/PLL control (right), exported from the saved Simulink model.</w:t>
      </w:r>
    </w:p>
    <w:p>
      <w:r>
        <w:t>A 12 to 13 m/s wind step at 2 s changes turbine torque and converter power. With nominal external short-circuit ratio (SCR) reduced from 10 to 5, the same disturbance excites a larger, decaying PCC q-axis voltage oscillation. The oscillation is a coupled control/network response; no sinusoid is injected. Its weak-grid FFT peak is 4.681 Hz, and the near-equilibrium physical-model snapshot mode is 4.638 Hz with 5.24% damping.</w:t>
      </w:r>
    </w:p>
    <w:p>
      <w:r>
        <w:t>The tested mitigation changes only PLL proportional gain from 0.00558 to 0.02 rad/(s V). The integral gain remains 1.56 rad/(s² V). Wang et al., DOI 10.1109/EI247390.2019.9061793, motivates Prony-based SSO analysis; these measured numbers are from this model.</w:t>
      </w:r>
    </w:p>
    <w:p>
      <w:pPr>
        <w:pStyle w:val="Title"/>
        <w:pageBreakBefore/>
      </w:pPr>
      <w:r>
        <w:t>3  Results and interpretation</w:t>
      </w:r>
    </w:p>
    <w:p>
      <w:r>
        <w:t>Figure 3 compares identical wind steps with common voltage and time axes. Figure 4 is a captured native Simulink Scope display from the weak-grid run. The high-resolution comparison and the Scope both come from the saved physical model.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1"/>
        <w:gridCol w:w="7481"/>
      </w:tblGrid>
      <w:tr>
        <w:tc>
          <w:tcPr>
            <w:tcW w:type="dxa" w:w="101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5080" cy="377260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cenario_comparis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5080" cy="3772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1259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grid_1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</w:pPr>
      <w:r>
        <w:t>Figure 3. MATLAB comparison of PCC q-axis voltage. Figure 4. Native Simulink Scope snapshot from the weak-grid response.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c>
          <w:tcPr>
            <w:tcW w:type="dxa" w:w="3740"/>
          </w:tcPr>
          <w:p>
            <w:r>
              <w:t>Case</w:t>
            </w:r>
          </w:p>
        </w:tc>
        <w:tc>
          <w:tcPr>
            <w:tcW w:type="dxa" w:w="3740"/>
          </w:tcPr>
          <w:p>
            <w:r>
              <w:t>Early PCC q std</w:t>
            </w:r>
          </w:p>
        </w:tc>
        <w:tc>
          <w:tcPr>
            <w:tcW w:type="dxa" w:w="3740"/>
          </w:tcPr>
          <w:p>
            <w:r>
              <w:t>Late DC voltage</w:t>
            </w:r>
          </w:p>
        </w:tc>
        <w:tc>
          <w:tcPr>
            <w:tcW w:type="dxa" w:w="3740"/>
          </w:tcPr>
          <w:p>
            <w:r>
              <w:t>Late PCC power</w:t>
            </w:r>
          </w:p>
        </w:tc>
      </w:tr>
      <w:tr>
        <w:tc>
          <w:tcPr>
            <w:tcW w:type="dxa" w:w="3740"/>
          </w:tcPr>
          <w:p>
            <w:r>
              <w:t>SCR 10 / SCR 5 / mitigated</w:t>
            </w:r>
          </w:p>
        </w:tc>
        <w:tc>
          <w:tcPr>
            <w:tcW w:type="dxa" w:w="3740"/>
          </w:tcPr>
          <w:p>
            <w:r>
              <w:t>1.788 / 3.997 / 0.554 V</w:t>
            </w:r>
          </w:p>
        </w:tc>
        <w:tc>
          <w:tcPr>
            <w:tcW w:type="dxa" w:w="3740"/>
          </w:tcPr>
          <w:p>
            <w:r>
              <w:t>1405.27 / 1405.42 / 1405.42 V</w:t>
            </w:r>
          </w:p>
        </w:tc>
        <w:tc>
          <w:tcPr>
            <w:tcW w:type="dxa" w:w="3740"/>
          </w:tcPr>
          <w:p>
            <w:r>
              <w:t>4.916 / 4.916 / 4.916 MW</w:t>
            </w:r>
          </w:p>
        </w:tc>
      </w:tr>
    </w:tbl>
    <w:p>
      <w:r>
        <w:t>The early standard deviation uses 2.25–3.25 s. Relative to the unmitigated weak-grid run, PLL retuning reduces that metric by a factor of 7.21. Damping of the matched approximately 4.6 Hz linearized mode rises from 5.24% to 18.99%. The mitigated least-damped mode overall is a different 1.843 Hz mode. All four scenario runs and 25 physical/numerical checks pass.</w:t>
      </w:r>
    </w:p>
    <w:p>
      <w:r>
        <w:t>These are responses of an assumed, averaged single-turbine system. The model does not establish a sustained instability, a field-calibrated SCR threshold, PWM harmonics or shaft torsion. Full methods and parameter provenance are in the accompanying technical and validation reports.</w:t>
      </w:r>
    </w:p>
    <w:sectPr w:rsidR="00FC693F" w:rsidRPr="0006063C" w:rsidSect="00034616">
      <w:footerReference w:type="default" r:id="rId9"/>
      <w:pgSz w:w="16834" w:h="11909"/>
      <w:pgMar w:top="792" w:right="936" w:bottom="734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Vataleni PMSG–SSO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532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32B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32B4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32B4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00"/>
    </w:pPr>
    <w:rPr>
      <w:rFonts w:ascii="Arial" w:hAnsi="Arial"/>
      <w:i/>
      <w:color w:val="46525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