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99b304d3900a964b969d43d48b9f0b4e90e2a5"/>
    <w:p>
      <w:pPr>
        <w:pStyle w:val="Title"/>
        <w:jc w:val="left"/>
      </w:pPr>
      <w:r>
        <w:t xml:space="preserve">Technical report on the physical PMSG weak grid SSO model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report evaluates a saved, self-contained MATLAB R2025b Simscape Electrical model of a 5 MW permanent magnet synchronous generator (PMSG) wind turbine connected through an averaged full converter to a 50 Hz grid. The physical network includes native stator electrical dynamics, mechanical inertia, two bidirectional converters, a DC capacitor, an RL filter, grid impedance and three-phase measurements. Under a 12 to 13 m/s wind step, reducing nominal external short-circuit ratio (SCR) from 10 to 5 increases the early PCC q-axis voltage oscillation standard deviation from 1.79 V to 4.00 V. The response decays. Increasing PLL proportional gain reduces that weak-grid metric to 0.55 V and increases damping of the approximately 4.6 Hz linearized mode from 5.24% to 18.99%. These are independently reproduced results from the final physical SLX, not the earlier reduced-order benchmark.</w:t>
      </w:r>
    </w:p>
    <w:bookmarkEnd w:id="9"/>
    <w:bookmarkStart w:id="10" w:name="research-question-and-modelling-scope"/>
    <w:p>
      <w:pPr>
        <w:pStyle w:val="Heading2"/>
      </w:pPr>
      <w:r>
        <w:t xml:space="preserve">1 Research question and modelling scope</w:t>
      </w:r>
    </w:p>
    <w:p>
      <w:pPr>
        <w:pStyle w:val="FirstParagraph"/>
      </w:pPr>
      <w:r>
        <w:t xml:space="preserve">The project asks how a grid-following, full-converter PMSG turbine responds to a weak AC grid and whether PLL retuning mitigates sub-synchronous oscillation (SSO). The saved model uses native Simscape Electrical wind turbine, PMSM, average-value three-phase voltage-source converters, capacitor, RL assemblies, three-phase grid source, current/voltage sensors and rotational components. The primary plant is a genuine connected physical network; the MATLAB Function blocks implement dq control and diagnostic calculations. The converters resolve average phase voltages and currents, not semiconductor switching or PWM harmonics. The shaft is one inertial mass; turbine blades, shaft flexure, transformer saturation, protection and thermal states are outside the model.</w:t>
      </w:r>
    </w:p>
    <w:p>
      <w:pPr>
        <w:pStyle w:val="BodyText"/>
      </w:pPr>
      <w:r>
        <w:t xml:space="preserve">The validated historical reduced-order model remains at Git tag</w:t>
      </w:r>
      <w:r>
        <w:t xml:space="preserve"> </w:t>
      </w:r>
      <w:r>
        <w:rPr>
          <w:rStyle w:val="VerbatimChar"/>
        </w:rPr>
        <w:t xml:space="preserve">benchmark-aa80f23</w:t>
      </w:r>
      <w:r>
        <w:t xml:space="preserve">. It represented machine-side current with a first-order q-axis shortcut. That shortcut is absent from the final physical model. Its approximately 4.84 Hz finding and old mitigation gains are not carried forward as results.</w:t>
      </w:r>
    </w:p>
    <w:bookmarkEnd w:id="10"/>
    <w:bookmarkStart w:id="11" w:name="equations-physical-interfaces-and-signs"/>
    <w:p>
      <w:pPr>
        <w:pStyle w:val="Heading2"/>
      </w:pPr>
      <w:r>
        <w:t xml:space="preserve">2 Equations, physical interfaces and signs</w:t>
      </w:r>
    </w:p>
    <w:p>
      <w:pPr>
        <w:pStyle w:val="FirstParagraph"/>
      </w:pPr>
      <w:r>
        <w:t xml:space="preserve">The native PMSM integrates d- and q-axis current dynamics. With current positive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the machine, the independently verified equations are</w:t>
      </w:r>
    </w:p>
    <w:p>
      <w:pPr>
        <w:pStyle w:val="BodyText"/>
      </w:pPr>
      <w:r>
        <w:rPr>
          <w:rStyle w:val="VerbatimChar"/>
        </w:rPr>
        <w:t xml:space="preserve">Ld did/dt = vd - Rs id + omega_e Lq iq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Lq diq/dt = vq - Rs iq - omega_e (Ld id + psi_f)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Te = 1.5 p [psi_f iq + (Ld-Lq) id iq]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omega_e = p omega_m</w:t>
      </w:r>
      <w:r>
        <w:t xml:space="preserve">.</w:t>
      </w:r>
    </w:p>
    <w:p>
      <w:pPr>
        <w:pStyle w:val="BodyText"/>
      </w:pPr>
      <w:r>
        <w:t xml:space="preserve">The surface machine has</w:t>
      </w:r>
      <w:r>
        <w:t xml:space="preserve"> </w:t>
      </w:r>
      <w:r>
        <w:rPr>
          <w:rStyle w:val="VerbatimChar"/>
        </w:rPr>
        <w:t xml:space="preserve">Ld=Lq=0.753 mH</w:t>
      </w:r>
      <w:r>
        <w:t xml:space="preserve">,</w:t>
      </w:r>
      <w:r>
        <w:t xml:space="preserve"> </w:t>
      </w:r>
      <w:r>
        <w:rPr>
          <w:rStyle w:val="VerbatimChar"/>
        </w:rPr>
        <w:t xml:space="preserve">Rs=0.9522 mOhm</w:t>
      </w:r>
      <w:r>
        <w:t xml:space="preserve">,</w:t>
      </w:r>
      <w:r>
        <w:t xml:space="preserve"> </w:t>
      </w:r>
      <w:r>
        <w:rPr>
          <w:rStyle w:val="VerbatimChar"/>
        </w:rPr>
        <w:t xml:space="preserve">psi_f=17.80 Wb</w:t>
      </w:r>
      <w:r>
        <w:t xml:space="preserve"> </w:t>
      </w:r>
      <w:r>
        <w:t xml:space="preserve">and 23 pole pairs. In generator operation,</w:t>
      </w:r>
      <w:r>
        <w:t xml:space="preserve"> </w:t>
      </w:r>
      <w:r>
        <w:rPr>
          <w:rStyle w:val="VerbatimChar"/>
        </w:rPr>
        <w:t xml:space="preserve">iq&lt;0</w:t>
      </w:r>
      <w:r>
        <w:t xml:space="preserve"> </w:t>
      </w:r>
      <w:r>
        <w:t xml:space="preserve">and native electromagnetic torque is negative; reported generator shaft torque is positive</w:t>
      </w:r>
      <w:r>
        <w:t xml:space="preserve"> </w:t>
      </w:r>
      <w:r>
        <w:rPr>
          <w:rStyle w:val="VerbatimChar"/>
        </w:rPr>
        <w:t xml:space="preserve">-Te</w:t>
      </w:r>
      <w:r>
        <w:t xml:space="preserve">. The machine-side three-phase current sensor faces outward, so its current is negated for the machine Park transform. The measured machine phase voltage, rather than a controller command, is independently transformed to d/q for equation residuals and generated electrical power. Rotor inertia is 1.0 million kg m² inside the PMSM plus 20.18 million kg m² in a visible shaft component. Mechanical dynamics use the turbine torque minus the opposing electromagnetic torque; a magnetic-energy derivative explains the small transient difference between instantaneous mechanical input, stator output and copper loss.</w:t>
      </w:r>
    </w:p>
    <w:p>
      <w:pPr>
        <w:pStyle w:val="BodyText"/>
      </w:pPr>
      <w:r>
        <w:t xml:space="preserve">The MSC regulates rotor speed to optimal tip-speed ratio 6.3 and machine d/q current. The GSC uses a DC-voltage outer PI, grid d/q current PI and a synchronous-reference-frame PLL. Grid current is positive toward the network. The DC sensors are in series: positive MSC current enters the capacitor bus, and GSC current is negative when power leaves. Hence</w:t>
      </w:r>
      <w:r>
        <w:t xml:space="preserve"> </w:t>
      </w:r>
      <w:r>
        <w:rPr>
          <w:rStyle w:val="VerbatimChar"/>
        </w:rPr>
        <w:t xml:space="preserve">E_dc=0.5 C Vdc²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dE_dc/dt=Vdc(I_MSC+I_GSC)</w:t>
      </w:r>
      <w:r>
        <w:t xml:space="preserve">. Copper loss is</w:t>
      </w:r>
      <w:r>
        <w:t xml:space="preserve"> </w:t>
      </w:r>
      <w:r>
        <w:rPr>
          <w:rStyle w:val="VerbatimChar"/>
        </w:rPr>
        <w:t xml:space="preserve">1.5 Rs(id²+iq²)</w:t>
      </w:r>
      <w:r>
        <w:t xml:space="preserve">. Each average-value converter has a 5 kW fixed loss. The filter dissipation is</w:t>
      </w:r>
      <w:r>
        <w:t xml:space="preserve"> </w:t>
      </w:r>
      <w:r>
        <w:rPr>
          <w:rStyle w:val="VerbatimChar"/>
        </w:rPr>
        <w:t xml:space="preserve">1.5 Rf(id_grid²+iq_grid²)</w:t>
      </w:r>
      <w:r>
        <w:t xml:space="preserve"> </w:t>
      </w:r>
      <w:r>
        <w:t xml:space="preserve">for the balanced frame. The observed converter and filter power differences are checked against those terms.</w:t>
      </w:r>
    </w:p>
    <w:bookmarkEnd w:id="11"/>
    <w:bookmarkStart w:id="12" w:name="parameter-provenance"/>
    <w:p>
      <w:pPr>
        <w:pStyle w:val="Heading2"/>
      </w:pPr>
      <w:r>
        <w:t xml:space="preserve">3 Parameter provenance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Quantity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Value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Classification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Single-turbine rating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5 MW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Literature: Wang et al. (2019)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Grid rated voltage and frequency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690 V line RMS, 50 Hz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Rotor radius and air density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55 m, 1.225 kg/m³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PMSG pole pairs, flux and inductances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23, 17.80 Wb, 0.753 mH d/q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PMSG resistance and total inertia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0.9522 mOhm, 21.18 million kg m²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DC capacitance and reference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0.408 F, 1400 V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Filter R and L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0.9522 mOhm, 45.5 µH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External grid R and L at nominal SCR 10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0.947 mOhm, 30.2 µH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Derived from assumed 5 MW/690 V base and chosen SCR/XR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Source internal short-circuit strength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500 MVA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Converter fixed loss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5 kW per bridge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Engineering assumption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Control gains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sz w:val="16"/>
              </w:rPr>
              <w:t xml:space="preserve">parameters/VaxSim_Parameters.m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Tuned for this model</w:t>
            </w:r>
          </w:p>
        </w:tc>
      </w:tr>
    </w:tbl>
    <w:p>
      <w:pPr>
        <w:pStyle w:val="BodyText"/>
      </w:pPr>
      <w:r>
        <w:t xml:space="preserve">The external impedance scales with</w:t>
      </w:r>
      <w:r>
        <w:t xml:space="preserve"> </w:t>
      </w:r>
      <w:r>
        <w:rPr>
          <w:rStyle w:val="VerbatimChar"/>
        </w:rPr>
        <w:t xml:space="preserve">10/grid_scr</w:t>
      </w:r>
      <w:r>
        <w:t xml:space="preserve">, so</w:t>
      </w:r>
      <w:r>
        <w:t xml:space="preserve"> </w:t>
      </w:r>
      <w:r>
        <w:rPr>
          <w:rStyle w:val="VerbatimChar"/>
        </w:rPr>
        <w:t xml:space="preserve">grid_scr=5</w:t>
      </w:r>
      <w:r>
        <w:t xml:space="preserve"> </w:t>
      </w:r>
      <w:r>
        <w:t xml:space="preserve">doubles its R and L. The 500 MVA source adds a small internal impedance. SCR values in this report label the nominal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grid impedance; the combined short-circuit ratio is slightly lower. The turbine Cp lookup and all controller limits are embedded in the SLX, with the optional parameter file documenting numeric values.</w:t>
      </w:r>
    </w:p>
    <w:bookmarkEnd w:id="12"/>
    <w:bookmarkStart w:id="13" w:name="method"/>
    <w:p>
      <w:pPr>
        <w:pStyle w:val="Heading2"/>
      </w:pPr>
      <w:r>
        <w:t xml:space="preserve">4 Method</w:t>
      </w:r>
    </w:p>
    <w:p>
      <w:pPr>
        <w:pStyle w:val="FirstParagraph"/>
      </w:pPr>
      <w:r>
        <w:t xml:space="preserve">The saved default SLX is simulated with</w:t>
      </w:r>
      <w:r>
        <w:t xml:space="preserve"> </w:t>
      </w:r>
      <w:r>
        <w:rPr>
          <w:rStyle w:val="VerbatimChar"/>
        </w:rPr>
        <w:t xml:space="preserve">ode15s</w:t>
      </w:r>
      <w:r>
        <w:t xml:space="preserve">, relative tolerance</w:t>
      </w:r>
      <w:r>
        <w:t xml:space="preserve"> </w:t>
      </w:r>
      <w:r>
        <w:rPr>
          <w:rStyle w:val="VerbatimChar"/>
        </w:rPr>
        <w:t xml:space="preserve">1e-5</w:t>
      </w:r>
      <w:r>
        <w:t xml:space="preserve"> </w:t>
      </w:r>
      <w:r>
        <w:t xml:space="preserve">and maximum step 1 ms. Four 6 s runs use: (1) 12 m/s wind and external SCR 10, (2) a 12 to 13 m/s wind step at 2 s with SCR 10, (3) the identical step with SCR 5, and (4) the same weak-grid step with mitigation enabled. The weak-grid comparison therefore changes grid impedance while holding the disturbance and other controls constant. Mitigation changes only PLL proportional gain from 0.00558 to 0.02 rad/(s V); PLL integral gain stays 1.56 rad/(s² V). The older benchmark’s integral-gain reduction was tested in physical development and did not reliably improve the early response.</w:t>
      </w:r>
    </w:p>
    <w:p>
      <w:pPr>
        <w:pStyle w:val="BodyText"/>
      </w:pPr>
      <w:r>
        <w:t xml:space="preserve">CSV waveforms are uniformly sampled from each run at 10 ms for analysis; the physical solver still takes adaptive steps bounded by 1 ms. The early SSO metric is PCC q-voltage standard deviation on 2.25 to 3.25 s, and the late metric is on 5.5 to 6 s. The FFT periodogram uses 2.05 to 4.5 s after detrending. A narrow-band two-pole Prony/AR fit estimates transient poles from 2.15 to 3.5 s. Independently, Simulink Control Design linearizes the connected 23-state closed-loop physical model at a 5.5 s simulation snapshot with constant 12 m/s wind and each grid/PLL setting. This snapshot is near the baseline equilibrium; the resulting eigenvalues are local small-signal estimates, not a global nonlinear stability certificate. The 13 m/s disturbance trajectories still have slow mechanical acceleration at 6 s, so their late windows are electrical-response measures rather than a settled new mechanical equilibrium.</w:t>
      </w:r>
    </w:p>
    <w:bookmarkEnd w:id="13"/>
    <w:bookmarkStart w:id="20" w:name="reproduced-results"/>
    <w:p>
      <w:pPr>
        <w:pStyle w:val="Heading2"/>
      </w:pPr>
      <w:r>
        <w:t xml:space="preserve">5 Reproduced results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Case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External SCR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Late DC V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Late PCC P MW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Early PCC q std V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Late PCC q std V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Baseline, no wind step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1400.05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4.30091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1.26200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0.01174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Wind step, strong grid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1405.27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4.91566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1.78804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0.01761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Wind step, weak grid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1405.42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4.91641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3.99691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0.04528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Wind step, weak grid, mitigated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1405.42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4.91630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0.55443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0.00019</w:t>
            </w:r>
          </w:p>
        </w:tc>
      </w:tr>
    </w:tbl>
    <w:p>
      <w:pPr>
        <w:pStyle w:val="BodyText"/>
      </w:pPr>
      <w:r>
        <w:t xml:space="preserve">The weak-grid early PCC q metric is 2.24 times the strong-grid metric. Mitigation reduces it by a factor of 7.21 in the comparable weak-grid run. The weak-grid FFT peak is 4.681 Hz; the strong-grid peak is 4.700 Hz. The mitigated trajectory’s largest 1 to 45 Hz periodogram peak is 1.825 Hz. All three wind-step runs deliver about 4.92 MW at the PCC near 6 s; this is a</w:t>
      </w:r>
      <w:r>
        <w:t xml:space="preserve"> </w:t>
      </w:r>
      <w:r>
        <w:rPr>
          <w:b/>
          <w:bCs/>
        </w:rPr>
        <w:t xml:space="preserve">time-specific</w:t>
      </w:r>
      <w:r>
        <w:t xml:space="preserve"> </w:t>
      </w:r>
      <w:r>
        <w:t xml:space="preserve">output as the rotor continues to accelerate. The baseline near 6 s delivers 4.348 MW at the machine terminals and 4.301 MW at the PCC. Baseline stator copper loss is 38.56 kW and the MSC fixed loss is 5.00 kW; GSC plus filter loss is about 41.62 kW.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Measured PCC q voltage and DC capacitor voltage for the identical wind disturbance." title="" id="15" name="Picture"/>
            <a:graphic>
              <a:graphicData uri="http://schemas.openxmlformats.org/drawingml/2006/picture">
                <pic:pic>
                  <pic:nvPicPr>
                    <pic:cNvPr descr="../figures/physical/01_pcc_and_dc_respons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PCC q voltage and DC capacitor voltage for the identical wind disturbance.</w:t>
      </w:r>
    </w:p>
    <w:p>
      <w:pPr>
        <w:pStyle w:val="CaptionedFigure"/>
      </w:pPr>
      <w:r>
        <w:drawing>
          <wp:inline>
            <wp:extent cx="4267200" cy="2293620"/>
            <wp:effectExtent b="0" l="0" r="0" t="0"/>
            <wp:docPr descr="Detrended PCC q voltage periodograms." title="" id="18" name="Picture"/>
            <a:graphic>
              <a:graphicData uri="http://schemas.openxmlformats.org/drawingml/2006/picture">
                <pic:pic>
                  <pic:nvPicPr>
                    <pic:cNvPr descr="../figures/physical/02_pcc_frequenc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Detrended PCC q voltage periodograms.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Linearized case at 12 m/s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Dominant 3 to 8 Hz pole, s⁻¹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Frequency Hz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Damping ratio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Strong external grid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-1.5558 ± j29.4269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4.6834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0.05280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Weak external grid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-1.5277 ± j29.1420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4.6381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0.05235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6"/>
              </w:rPr>
              <w:t xml:space="preserve">Weak grid with PLL mitigation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-5.5226 ± j28.5549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4.5447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sz w:val="16"/>
              </w:rPr>
              <w:t xml:space="preserve">0.18988</w:t>
            </w:r>
          </w:p>
        </w:tc>
      </w:tr>
    </w:tbl>
    <w:p>
      <w:pPr>
        <w:pStyle w:val="BodyText"/>
      </w:pPr>
      <w:r>
        <w:t xml:space="preserve">After mitigation the</w:t>
      </w:r>
      <w:r>
        <w:t xml:space="preserve"> </w:t>
      </w:r>
      <w:r>
        <w:rPr>
          <w:b/>
          <w:bCs/>
        </w:rPr>
        <w:t xml:space="preserve">least-damped overall</w:t>
      </w:r>
      <w:r>
        <w:t xml:space="preserve"> </w:t>
      </w:r>
      <w:r>
        <w:t xml:space="preserve">oscillatory pole is a different 1.8433 Hz mode at</w:t>
      </w:r>
      <w:r>
        <w:t xml:space="preserve"> </w:t>
      </w:r>
      <w:r>
        <w:rPr>
          <w:rStyle w:val="VerbatimChar"/>
        </w:rPr>
        <w:t xml:space="preserve">-3.3216 ± j11.5819 s⁻¹</w:t>
      </w:r>
      <w:r>
        <w:t xml:space="preserve">, damping ratio 0.27568. These are eigenvalues of the linearized physical Simscape model, distinct from the transient Prony pole estimates (</w:t>
      </w:r>
      <w:r>
        <w:rPr>
          <w:rStyle w:val="VerbatimChar"/>
        </w:rPr>
        <w:t xml:space="preserve">results/physical/modal_estimates.csv</w:t>
      </w:r>
      <w:r>
        <w:t xml:space="preserve">). Weakening the external grid modestly reduces damping of the approximately 4.6 Hz pole and markedly increases its wind-step excitation; none of the tested modes has a positive real part. The result demonstrates a coupled, naturally excited and</w:t>
      </w:r>
      <w:r>
        <w:t xml:space="preserve"> </w:t>
      </w:r>
      <w:r>
        <w:rPr>
          <w:b/>
          <w:bCs/>
        </w:rPr>
        <w:t xml:space="preserve">decaying</w:t>
      </w:r>
      <w:r>
        <w:t xml:space="preserve"> </w:t>
      </w:r>
      <w:r>
        <w:t xml:space="preserve">SSO response, not a sustained instability or an injected sinusoid.</w:t>
      </w:r>
    </w:p>
    <w:bookmarkEnd w:id="20"/>
    <w:bookmarkStart w:id="24" w:name="X1d378c1ffd7f4016329a06a7dcb496eb1972df1"/>
    <w:p>
      <w:pPr>
        <w:pStyle w:val="Heading2"/>
      </w:pPr>
      <w:r>
        <w:t xml:space="preserve">6 Physical verification and numerical limits</w:t>
      </w:r>
    </w:p>
    <w:p>
      <w:pPr>
        <w:pStyle w:val="FirstParagraph"/>
      </w:pPr>
      <w:r>
        <w:t xml:space="preserve">On the baseline 4 to 6 s window, measured-voltage PMSG equation residuals are 1.86e-7 V RMS on d and 3.45e-7 V RMS on q. The electromagnetic torque formula agrees with the logged torque to below 1e-8 N m. Separately, the native turbine Cp lookup torque minus generated electromagnetic torque minus total-inertia acceleration has an 81.2 N m RMS residual against 3.2 MN m torque. Mechanical input minus electrical output minus copper loss has an 18.8 W RMS residual, against multi-megawatt flow. The DC energy derivative minus measured net DC power is 0.97 W RMS. The MSC power difference is 5000.00 W. All 25 numerical checks in</w:t>
      </w:r>
      <w:r>
        <w:t xml:space="preserve"> </w:t>
      </w:r>
      <w:r>
        <w:rPr>
          <w:rStyle w:val="VerbatimChar"/>
        </w:rPr>
        <w:t xml:space="preserve">results/physical/engineering_checks.csv</w:t>
      </w:r>
      <w:r>
        <w:t xml:space="preserve"> </w:t>
      </w:r>
      <w:r>
        <w:t xml:space="preserve">pass, including the step-size comparison. The machine q and grid d current</w:t>
      </w:r>
      <w:r>
        <w:t xml:space="preserve"> </w:t>
      </w:r>
      <w:r>
        <w:rPr>
          <w:b/>
          <w:bCs/>
        </w:rPr>
        <w:t xml:space="preserve">references</w:t>
      </w:r>
      <w:r>
        <w:t xml:space="preserve"> </w:t>
      </w:r>
      <w:r>
        <w:t xml:space="preserve">respect their 6.5 kA limits in the tested cases. Model compilation, all four final-SLX runs, live Scope connections and actual machine sensor data are verified separately from the historical benchmark.</w:t>
      </w:r>
    </w:p>
    <w:p>
      <w:pPr>
        <w:pStyle w:val="CaptionedFigure"/>
      </w:pPr>
      <w:r>
        <w:drawing>
          <wp:inline>
            <wp:extent cx="4267200" cy="1896533"/>
            <wp:effectExtent b="0" l="0" r="0" t="0"/>
            <wp:docPr descr="Baseline mechanical-to-electrical power difference and stator copper loss." title="" id="22" name="Picture"/>
            <a:graphic>
              <a:graphicData uri="http://schemas.openxmlformats.org/drawingml/2006/picture">
                <pic:pic>
                  <pic:nvPicPr>
                    <pic:cNvPr descr="../figures/physical/04_power_balan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mechanical-to-electrical power difference and stator copper loss.</w:t>
      </w:r>
    </w:p>
    <w:p>
      <w:pPr>
        <w:pStyle w:val="BodyText"/>
      </w:pPr>
      <w:r>
        <w:t xml:space="preserve">The 1 ms versus 0.5 ms solver comparison and fresh-process standalone check are documented in</w:t>
      </w:r>
      <w:r>
        <w:t xml:space="preserve"> </w:t>
      </w:r>
      <w:r>
        <w:rPr>
          <w:rStyle w:val="VerbatimChar"/>
        </w:rPr>
        <w:t xml:space="preserve">docs/VERIFICATION_REPORT.md</w:t>
      </w:r>
      <w:r>
        <w:t xml:space="preserve">. Numerical residuals from 10 ms exported data test the physical relationships at that resolution; high-frequency converter switching cannot be inferred from them because the model uses averaged bridges.</w:t>
      </w:r>
    </w:p>
    <w:bookmarkEnd w:id="24"/>
    <w:bookmarkStart w:id="25" w:name="limits-and-next-experiments"/>
    <w:p>
      <w:pPr>
        <w:pStyle w:val="Heading2"/>
      </w:pPr>
      <w:r>
        <w:t xml:space="preserve">7 Limits and next experiments</w:t>
      </w:r>
    </w:p>
    <w:p>
      <w:pPr>
        <w:pStyle w:val="FirstParagraph"/>
      </w:pPr>
      <w:r>
        <w:t xml:space="preserve">The source voltage, machine reactances and gains are design assumptions rather than identified site parameters. A field-calibrated impedance, transformer, wind shear and protection model would be needed to predict a particular Namibian grid event. The single-mass shaft does not test torsional resonance. A switching converter model would be needed for harmonic and semiconductor stress studies. A broader SCR and controller sweep, including a true trim of the weak-grid operating point, would strengthen stability-margin claims. This project supports the narrower claim that its saved averaged physical model reproduces a damped controller/network SSO response and that the tested PLL proportional-gain change suppresses it for the specified disturbance.</w:t>
      </w:r>
    </w:p>
    <w:bookmarkEnd w:id="25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Wang, C. et al. </w:t>
      </w:r>
      <w:r>
        <w:rPr>
          <w:i/>
          <w:iCs/>
        </w:rPr>
        <w:t xml:space="preserve">Research on Sub-synchronous Oscillation Characteristics between PMSG-based Wind Farms and Weak AC Grids Based on Prony Method</w:t>
      </w:r>
      <w:r>
        <w:t xml:space="preserve"> </w:t>
      </w:r>
      <w:r>
        <w:t xml:space="preserve">(2019), DOI 10.1109/EI247390.2019.9061793.</w:t>
      </w:r>
    </w:p>
    <w:p>
      <w:pPr>
        <w:pStyle w:val="Compact"/>
        <w:numPr>
          <w:ilvl w:val="0"/>
          <w:numId w:val="1001"/>
        </w:numPr>
      </w:pPr>
      <w:r>
        <w:t xml:space="preserve">Zhan, X. et al. </w:t>
      </w:r>
      <w:r>
        <w:rPr>
          <w:i/>
          <w:iCs/>
        </w:rPr>
        <w:t xml:space="preserve">Analysis and control on Sub-synchronous oscillation of HVDC transmission for large-scale PMSG-based wind farm integration</w:t>
      </w:r>
      <w:r>
        <w:t xml:space="preserve"> </w:t>
      </w:r>
      <w:r>
        <w:t xml:space="preserve">(2019), DOI 10.1049/joe.2018.8811. The HVDC-specific controller and gains are not implemented here.</w:t>
      </w:r>
    </w:p>
    <w:p>
      <w:pPr>
        <w:pStyle w:val="Compact"/>
        <w:numPr>
          <w:ilvl w:val="0"/>
          <w:numId w:val="1001"/>
        </w:numPr>
      </w:pPr>
      <w:r>
        <w:t xml:space="preserve">MathWorks,</w:t>
      </w:r>
      <w:r>
        <w:t xml:space="preserve"> </w:t>
      </w:r>
      <w:hyperlink r:id="rId26">
        <w:r>
          <w:rPr>
            <w:rStyle w:val="Hyperlink"/>
          </w:rPr>
          <w:t xml:space="preserve">PMSM reference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average-value three-phase VSC reference</w:t>
        </w:r>
      </w:hyperlink>
      <w:r>
        <w:t xml:space="preserve">, and</w:t>
      </w:r>
      <w:r>
        <w:t xml:space="preserve"> </w:t>
      </w:r>
      <w:hyperlink r:id="rId28">
        <w:r>
          <w:rPr>
            <w:rStyle w:val="Hyperlink"/>
          </w:rPr>
          <w:t xml:space="preserve">wind turbine mechanical reference</w:t>
        </w:r>
      </w:hyperlink>
      <w:r>
        <w:t xml:space="preserve">.</w:t>
      </w:r>
    </w:p>
    <w:bookmarkEnd w:id="29"/>
    <w:bookmarkEnd w:id="30"/>
    <w:sectPr>
      <w:footnotePr>
        <w:numRestart w:val="eachSect"/>
      </w:footnotePr>
      <w:pgMar w:top="1123" w:bottom="1037" w:left="1123" w:right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40" w:line="240" w:lineRule="auto" w:before="0"/>
      <w:contextualSpacing/>
      <w:jc w:val="center"/>
    </w:pPr>
    <w:rPr>
      <w:rFonts w:asciiTheme="majorHAnsi" w:cstheme="majorBidi" w:eastAsiaTheme="majorEastAsia" w:hAnsiTheme="majorHAnsi" w:ascii="Calibri" w:hAnsi="Calibri"/>
      <w:color w:val="000000"/>
      <w:sz w:val="40"/>
      <w:szCs w:val="56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240"/>
      <w:outlineLvl w:val="0"/>
    </w:pPr>
    <w:rPr>
      <w:rFonts w:asciiTheme="majorHAnsi" w:cstheme="majorBidi" w:eastAsiaTheme="majorEastAsia" w:hAnsiTheme="majorHAnsi" w:ascii="Calibri" w:hAnsi="Calibri"/>
      <w:color w:val="000000"/>
      <w:sz w:val="28"/>
      <w:szCs w:val="40"/>
      <w:u w:val="non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40"/>
      <w:outlineLvl w:val="1"/>
    </w:pPr>
    <w:rPr>
      <w:rFonts w:asciiTheme="majorHAnsi" w:cstheme="majorBidi" w:eastAsiaTheme="majorEastAsia" w:hAnsiTheme="majorHAnsi" w:ascii="Calibri" w:hAnsi="Calibri"/>
      <w:color w:val="000000"/>
      <w:sz w:val="23"/>
      <w:szCs w:val="32"/>
      <w:u w:val="non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1" Type="http://schemas.openxmlformats.org/officeDocument/2006/relationships/image" Target="media/rId21.png"/><Relationship Id="rId27" Type="http://schemas.openxmlformats.org/officeDocument/2006/relationships/hyperlink" Target="https://www.mathworks.com/help/simscape-electrical/ref/averagevaluevoltagesourceconverterthreephase.html" TargetMode="External"/><Relationship Id="rId26" Type="http://schemas.openxmlformats.org/officeDocument/2006/relationships/hyperlink" Target="https://www.mathworks.com/help/simscape-electrical/ref/pmsm.html" TargetMode="External"/><Relationship Id="rId28" Type="http://schemas.openxmlformats.org/officeDocument/2006/relationships/hyperlink" Target="https://www.mathworks.com/help/simscape-electrical/ref/windturbinemechanical.html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www.mathworks.com/help/simscape-electrical/ref/averagevaluevoltagesourceconverterthreephase.html" TargetMode="External"/><Relationship Id="rId26" Type="http://schemas.openxmlformats.org/officeDocument/2006/relationships/hyperlink" Target="https://www.mathworks.com/help/simscape-electrical/ref/pmsm.html" TargetMode="External"/><Relationship Id="rId28" Type="http://schemas.openxmlformats.org/officeDocument/2006/relationships/hyperlink" Target="https://www.mathworks.com/help/simscape-electrical/ref/windturbinemechanic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2026-10-20T23:54:47Z</dcterms:created>
  <dcterms:modified xsi:type="dcterms:W3CDTF">2026-10-20T23:54:47Z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