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8e0bba6aea8d95a576f6dce4796114247a86913"/>
    <w:p>
      <w:pPr>
        <w:pStyle w:val="Title"/>
        <w:jc w:val="left"/>
      </w:pPr>
      <w:r>
        <w:t xml:space="preserve">Verification report for the saved physical model</w:t>
      </w:r>
    </w:p>
    <w:bookmarkStart w:id="9" w:name="verification-decision"/>
    <w:p>
      <w:pPr>
        <w:pStyle w:val="Heading2"/>
      </w:pPr>
      <w:r>
        <w:t xml:space="preserve">Verification decision</w:t>
      </w:r>
    </w:p>
    <w:p>
      <w:pPr>
        <w:pStyle w:val="FirstParagraph"/>
      </w:pPr>
      <w:r>
        <w:t xml:space="preserve">The authoritative</w:t>
      </w:r>
      <w:r>
        <w:t xml:space="preserve"> </w:t>
      </w:r>
      <w:r>
        <w:rPr>
          <w:rStyle w:val="VerbatimChar"/>
        </w:rPr>
        <w:t xml:space="preserve">model/Vataleni_PMSG_SSO_Final.slx</w:t>
      </w:r>
      <w:r>
        <w:t xml:space="preserve"> </w:t>
      </w:r>
      <w:r>
        <w:t xml:space="preserve">compiled and completed the baseline, 12 to 13 m/s wind-step, weak-grid and mitigated weak-grid runs in MATLAB R2025b. The weak-grid response is a damped physical/control oscillation. It is amplified by lower external SCR and reduced by the retuned PLL. The 25 numerical relationship checks in</w:t>
      </w:r>
      <w:r>
        <w:t xml:space="preserve"> </w:t>
      </w:r>
      <w:r>
        <w:rPr>
          <w:rStyle w:val="VerbatimChar"/>
        </w:rPr>
        <w:t xml:space="preserve">results/physical/engineering_checks.csv</w:t>
      </w:r>
      <w:r>
        <w:t xml:space="preserve"> </w:t>
      </w:r>
      <w:r>
        <w:t xml:space="preserve">pass. The benchmark at</w:t>
      </w:r>
      <w:r>
        <w:t xml:space="preserve"> </w:t>
      </w:r>
      <w:r>
        <w:rPr>
          <w:rStyle w:val="VerbatimChar"/>
        </w:rPr>
        <w:t xml:space="preserve">benchmark-aa80f23</w:t>
      </w:r>
      <w:r>
        <w:t xml:space="preserve"> </w:t>
      </w:r>
      <w:r>
        <w:t xml:space="preserve">was not used as a source of final-model waveforms or pass counts.</w:t>
      </w:r>
    </w:p>
    <w:bookmarkEnd w:id="9"/>
    <w:bookmarkStart w:id="10" w:name="independent-evidence"/>
    <w:p>
      <w:pPr>
        <w:pStyle w:val="Heading2"/>
      </w:pPr>
      <w:r>
        <w:t xml:space="preserve">Independent evidence</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spacing w:after="40"/>
            </w:pPr>
            <w:r>
              <w:rPr>
                <w:sz w:val="16"/>
              </w:rPr>
              <w:t xml:space="preserve">Test</w:t>
            </w:r>
          </w:p>
        </w:tc>
        <w:tc>
          <w:tcPr/>
          <w:p>
            <w:pPr>
              <w:pStyle w:val="Compact"/>
              <w:spacing w:after="40"/>
            </w:pPr>
            <w:r>
              <w:rPr>
                <w:sz w:val="16"/>
              </w:rPr>
              <w:t xml:space="preserve">Result</w:t>
            </w:r>
          </w:p>
        </w:tc>
        <w:tc>
          <w:tcPr/>
          <w:p>
            <w:pPr>
              <w:pStyle w:val="Compact"/>
              <w:spacing w:after="40"/>
            </w:pPr>
            <w:r>
              <w:rPr>
                <w:sz w:val="16"/>
              </w:rPr>
              <w:t xml:space="preserve">Evidence</w:t>
            </w:r>
          </w:p>
        </w:tc>
      </w:tr>
      <w:tr>
        <w:tc>
          <w:tcPr/>
          <w:p>
            <w:pPr>
              <w:pStyle w:val="Compact"/>
              <w:spacing w:after="40"/>
            </w:pPr>
            <w:r>
              <w:rPr>
                <w:sz w:val="16"/>
              </w:rPr>
              <w:t xml:space="preserve">Native physical network compilation</w:t>
            </w:r>
          </w:p>
        </w:tc>
        <w:tc>
          <w:tcPr/>
          <w:p>
            <w:pPr>
              <w:pStyle w:val="Compact"/>
              <w:spacing w:after="40"/>
            </w:pPr>
            <w:r>
              <w:rPr>
                <w:sz w:val="16"/>
              </w:rPr>
              <w:t xml:space="preserve">Pass</w:t>
            </w:r>
          </w:p>
        </w:tc>
        <w:tc>
          <w:tcPr/>
          <w:p>
            <w:pPr>
              <w:pStyle w:val="Compact"/>
              <w:spacing w:after="40"/>
            </w:pPr>
            <w:r>
              <w:rPr>
                <w:sz w:val="16"/>
              </w:rPr>
              <w:t xml:space="preserve">Saved SLX Simscape update and four 6 s runs</w:t>
            </w:r>
          </w:p>
        </w:tc>
      </w:tr>
      <w:tr>
        <w:tc>
          <w:tcPr/>
          <w:p>
            <w:pPr>
              <w:pStyle w:val="Compact"/>
              <w:spacing w:after="40"/>
            </w:pPr>
            <w:r>
              <w:rPr>
                <w:sz w:val="16"/>
              </w:rPr>
              <w:t xml:space="preserve">Full PMSG d and q dynamics</w:t>
            </w:r>
          </w:p>
        </w:tc>
        <w:tc>
          <w:tcPr/>
          <w:p>
            <w:pPr>
              <w:pStyle w:val="Compact"/>
              <w:spacing w:after="40"/>
            </w:pPr>
            <w:r>
              <w:rPr>
                <w:sz w:val="16"/>
              </w:rPr>
              <w:t xml:space="preserve">Pass</w:t>
            </w:r>
          </w:p>
        </w:tc>
        <w:tc>
          <w:tcPr/>
          <w:p>
            <w:pPr>
              <w:pStyle w:val="Compact"/>
              <w:spacing w:after="40"/>
            </w:pPr>
            <w:r>
              <w:rPr>
                <w:sz w:val="16"/>
              </w:rPr>
              <w:t xml:space="preserve">Measured stator voltage and current residuals, 1.86e-7 and 3.45e-7 V RMS on baseline 4 to 6 s</w:t>
            </w:r>
          </w:p>
        </w:tc>
      </w:tr>
      <w:tr>
        <w:tc>
          <w:tcPr/>
          <w:p>
            <w:pPr>
              <w:pStyle w:val="Compact"/>
              <w:spacing w:after="40"/>
            </w:pPr>
            <w:r>
              <w:rPr>
                <w:sz w:val="16"/>
              </w:rPr>
              <w:t xml:space="preserve">Rotor/electrical speed and torque</w:t>
            </w:r>
          </w:p>
        </w:tc>
        <w:tc>
          <w:tcPr/>
          <w:p>
            <w:pPr>
              <w:pStyle w:val="Compact"/>
              <w:spacing w:after="40"/>
            </w:pPr>
            <w:r>
              <w:rPr>
                <w:sz w:val="16"/>
              </w:rPr>
              <w:t xml:space="preserve">Pass</w:t>
            </w:r>
          </w:p>
        </w:tc>
        <w:tc>
          <w:tcPr/>
          <w:p>
            <w:pPr>
              <w:pStyle w:val="Compact"/>
              <w:spacing w:after="40"/>
            </w:pPr>
            <w:r>
              <w:rPr>
                <w:rStyle w:val="VerbatimChar"/>
                <w:sz w:val="16"/>
              </w:rPr>
              <w:t xml:space="preserve">omega_e=23 omega_m</w:t>
            </w:r>
            <w:r>
              <w:rPr>
                <w:sz w:val="16"/>
              </w:rPr>
              <w:t xml:space="preserve">; torque formula maximum error 7.45e-9 N m</w:t>
            </w:r>
          </w:p>
        </w:tc>
      </w:tr>
      <w:tr>
        <w:tc>
          <w:tcPr/>
          <w:p>
            <w:pPr>
              <w:pStyle w:val="Compact"/>
              <w:spacing w:after="40"/>
            </w:pPr>
            <w:r>
              <w:rPr>
                <w:sz w:val="16"/>
              </w:rPr>
              <w:t xml:space="preserve">Independent turbine/shaft torque balance</w:t>
            </w:r>
          </w:p>
        </w:tc>
        <w:tc>
          <w:tcPr/>
          <w:p>
            <w:pPr>
              <w:pStyle w:val="Compact"/>
              <w:spacing w:after="40"/>
            </w:pPr>
            <w:r>
              <w:rPr>
                <w:sz w:val="16"/>
              </w:rPr>
              <w:t xml:space="preserve">Pass</w:t>
            </w:r>
          </w:p>
        </w:tc>
        <w:tc>
          <w:tcPr/>
          <w:p>
            <w:pPr>
              <w:pStyle w:val="Compact"/>
              <w:spacing w:after="40"/>
            </w:pPr>
            <w:r>
              <w:rPr>
                <w:sz w:val="16"/>
              </w:rPr>
              <w:t xml:space="preserve">Native Cp lookup torque minus generator torque minus total-inertia acceleration has 81.2 N m RMS residual against approximately 3.2 MN m torque</w:t>
            </w:r>
          </w:p>
        </w:tc>
      </w:tr>
      <w:tr>
        <w:tc>
          <w:tcPr/>
          <w:p>
            <w:pPr>
              <w:pStyle w:val="Compact"/>
              <w:spacing w:after="40"/>
            </w:pPr>
            <w:r>
              <w:rPr>
                <w:sz w:val="16"/>
              </w:rPr>
              <w:t xml:space="preserve">Mechanical/electrical/copper balance</w:t>
            </w:r>
          </w:p>
        </w:tc>
        <w:tc>
          <w:tcPr/>
          <w:p>
            <w:pPr>
              <w:pStyle w:val="Compact"/>
              <w:spacing w:after="40"/>
            </w:pPr>
            <w:r>
              <w:rPr>
                <w:sz w:val="16"/>
              </w:rPr>
              <w:t xml:space="preserve">Pass</w:t>
            </w:r>
          </w:p>
        </w:tc>
        <w:tc>
          <w:tcPr/>
          <w:p>
            <w:pPr>
              <w:pStyle w:val="Compact"/>
              <w:spacing w:after="40"/>
            </w:pPr>
            <w:r>
              <w:rPr>
                <w:sz w:val="16"/>
              </w:rPr>
              <w:t xml:space="preserve">18.81 W RMS residual against approximately 4.35 MW power flow</w:t>
            </w:r>
          </w:p>
        </w:tc>
      </w:tr>
      <w:tr>
        <w:tc>
          <w:tcPr/>
          <w:p>
            <w:pPr>
              <w:pStyle w:val="Compact"/>
              <w:spacing w:after="40"/>
            </w:pPr>
            <w:r>
              <w:rPr>
                <w:sz w:val="16"/>
              </w:rPr>
              <w:t xml:space="preserve">DC capacitor energy conservation</w:t>
            </w:r>
          </w:p>
        </w:tc>
        <w:tc>
          <w:tcPr/>
          <w:p>
            <w:pPr>
              <w:pStyle w:val="Compact"/>
              <w:spacing w:after="40"/>
            </w:pPr>
            <w:r>
              <w:rPr>
                <w:sz w:val="16"/>
              </w:rPr>
              <w:t xml:space="preserve">Pass</w:t>
            </w:r>
          </w:p>
        </w:tc>
        <w:tc>
          <w:tcPr/>
          <w:p>
            <w:pPr>
              <w:pStyle w:val="Compact"/>
              <w:spacing w:after="40"/>
            </w:pPr>
            <w:r>
              <w:rPr>
                <w:sz w:val="16"/>
              </w:rPr>
              <w:t xml:space="preserve">0.97 W RMS difference between</w:t>
            </w:r>
            <w:r>
              <w:rPr>
                <w:sz w:val="16"/>
              </w:rPr>
              <w:t xml:space="preserve"> </w:t>
            </w:r>
            <w:r>
              <w:rPr>
                <w:rStyle w:val="VerbatimChar"/>
                <w:sz w:val="16"/>
              </w:rPr>
              <w:t xml:space="preserve">d(0.5 C Vdc²)/dt</w:t>
            </w:r>
            <w:r>
              <w:rPr>
                <w:sz w:val="16"/>
              </w:rPr>
              <w:t xml:space="preserve"> </w:t>
            </w:r>
            <w:r>
              <w:rPr>
                <w:sz w:val="16"/>
              </w:rPr>
              <w:t xml:space="preserve">and</w:t>
            </w:r>
            <w:r>
              <w:rPr>
                <w:sz w:val="16"/>
              </w:rPr>
              <w:t xml:space="preserve"> </w:t>
            </w:r>
            <w:r>
              <w:rPr>
                <w:rStyle w:val="VerbatimChar"/>
                <w:sz w:val="16"/>
              </w:rPr>
              <w:t xml:space="preserve">Vdc(I_MSC+I_GSC)</w:t>
            </w:r>
          </w:p>
        </w:tc>
      </w:tr>
      <w:tr>
        <w:tc>
          <w:tcPr/>
          <w:p>
            <w:pPr>
              <w:pStyle w:val="Compact"/>
              <w:spacing w:after="40"/>
            </w:pPr>
            <w:r>
              <w:rPr>
                <w:sz w:val="16"/>
              </w:rPr>
              <w:t xml:space="preserve">MSC converter loss</w:t>
            </w:r>
          </w:p>
        </w:tc>
        <w:tc>
          <w:tcPr/>
          <w:p>
            <w:pPr>
              <w:pStyle w:val="Compact"/>
              <w:spacing w:after="40"/>
            </w:pPr>
            <w:r>
              <w:rPr>
                <w:sz w:val="16"/>
              </w:rPr>
              <w:t xml:space="preserve">Pass</w:t>
            </w:r>
          </w:p>
        </w:tc>
        <w:tc>
          <w:tcPr/>
          <w:p>
            <w:pPr>
              <w:pStyle w:val="Compact"/>
              <w:spacing w:after="40"/>
            </w:pPr>
            <w:r>
              <w:rPr>
                <w:sz w:val="16"/>
              </w:rPr>
              <w:t xml:space="preserve">5000.00 W measured power difference, matching native fixed-loss setting</w:t>
            </w:r>
          </w:p>
        </w:tc>
      </w:tr>
      <w:tr>
        <w:tc>
          <w:tcPr/>
          <w:p>
            <w:pPr>
              <w:pStyle w:val="Compact"/>
              <w:spacing w:after="40"/>
            </w:pPr>
            <w:r>
              <w:rPr>
                <w:sz w:val="16"/>
              </w:rPr>
              <w:t xml:space="preserve">GSC and filter loss</w:t>
            </w:r>
          </w:p>
        </w:tc>
        <w:tc>
          <w:tcPr/>
          <w:p>
            <w:pPr>
              <w:pStyle w:val="Compact"/>
              <w:spacing w:after="40"/>
            </w:pPr>
            <w:r>
              <w:rPr>
                <w:sz w:val="16"/>
              </w:rPr>
              <w:t xml:space="preserve">Pass</w:t>
            </w:r>
          </w:p>
        </w:tc>
        <w:tc>
          <w:tcPr/>
          <w:p>
            <w:pPr>
              <w:pStyle w:val="Compact"/>
              <w:spacing w:after="40"/>
            </w:pPr>
            <w:r>
              <w:rPr>
                <w:sz w:val="16"/>
              </w:rPr>
              <w:t xml:space="preserve">Measured DC-to-PCC difference matches 5 kW converter plus</w:t>
            </w:r>
            <w:r>
              <w:rPr>
                <w:sz w:val="16"/>
              </w:rPr>
              <w:t xml:space="preserve"> </w:t>
            </w:r>
            <w:r>
              <w:rPr>
                <w:rStyle w:val="VerbatimChar"/>
                <w:sz w:val="16"/>
              </w:rPr>
              <w:t xml:space="preserve">1.5 Rf(i_d²+i_q²)</w:t>
            </w:r>
            <w:r>
              <w:rPr>
                <w:sz w:val="16"/>
              </w:rPr>
              <w:t xml:space="preserve"> </w:t>
            </w:r>
            <w:r>
              <w:rPr>
                <w:sz w:val="16"/>
              </w:rPr>
              <w:t xml:space="preserve">within the stated 100 W tolerance</w:t>
            </w:r>
          </w:p>
        </w:tc>
      </w:tr>
      <w:tr>
        <w:tc>
          <w:tcPr/>
          <w:p>
            <w:pPr>
              <w:pStyle w:val="Compact"/>
              <w:spacing w:after="40"/>
            </w:pPr>
            <w:r>
              <w:rPr>
                <w:sz w:val="16"/>
              </w:rPr>
              <w:t xml:space="preserve">Current-reference limits</w:t>
            </w:r>
          </w:p>
        </w:tc>
        <w:tc>
          <w:tcPr/>
          <w:p>
            <w:pPr>
              <w:pStyle w:val="Compact"/>
              <w:spacing w:after="40"/>
            </w:pPr>
            <w:r>
              <w:rPr>
                <w:sz w:val="16"/>
              </w:rPr>
              <w:t xml:space="preserve">Pass</w:t>
            </w:r>
          </w:p>
        </w:tc>
        <w:tc>
          <w:tcPr/>
          <w:p>
            <w:pPr>
              <w:pStyle w:val="Compact"/>
              <w:spacing w:after="40"/>
            </w:pPr>
            <w:r>
              <w:rPr>
                <w:sz w:val="16"/>
              </w:rPr>
              <w:t xml:space="preserve">MSC q and GSC d references do not exceed 6.5 kA in the four runs</w:t>
            </w:r>
          </w:p>
        </w:tc>
      </w:tr>
      <w:tr>
        <w:tc>
          <w:tcPr/>
          <w:p>
            <w:pPr>
              <w:pStyle w:val="Compact"/>
              <w:spacing w:after="40"/>
            </w:pPr>
            <w:r>
              <w:rPr>
                <w:sz w:val="16"/>
              </w:rPr>
              <w:t xml:space="preserve">PLL and baseline DC control</w:t>
            </w:r>
          </w:p>
        </w:tc>
        <w:tc>
          <w:tcPr/>
          <w:p>
            <w:pPr>
              <w:pStyle w:val="Compact"/>
              <w:spacing w:after="40"/>
            </w:pPr>
            <w:r>
              <w:rPr>
                <w:sz w:val="16"/>
              </w:rPr>
              <w:t xml:space="preserve">Pass</w:t>
            </w:r>
          </w:p>
        </w:tc>
        <w:tc>
          <w:tcPr/>
          <w:p>
            <w:pPr>
              <w:pStyle w:val="Compact"/>
              <w:spacing w:after="40"/>
            </w:pPr>
            <w:r>
              <w:rPr>
                <w:sz w:val="16"/>
              </w:rPr>
              <w:t xml:space="preserve">Late baseline DC mean 1400.0499 V; PLL speed within 0.1 rad/s of 2π50</w:t>
            </w:r>
          </w:p>
        </w:tc>
      </w:tr>
      <w:tr>
        <w:tc>
          <w:tcPr/>
          <w:p>
            <w:pPr>
              <w:pStyle w:val="Compact"/>
              <w:spacing w:after="40"/>
            </w:pPr>
            <w:r>
              <w:rPr>
                <w:sz w:val="16"/>
              </w:rPr>
              <w:t xml:space="preserve">Weak-grid SSO mechanism</w:t>
            </w:r>
          </w:p>
        </w:tc>
        <w:tc>
          <w:tcPr/>
          <w:p>
            <w:pPr>
              <w:pStyle w:val="Compact"/>
              <w:spacing w:after="40"/>
            </w:pPr>
            <w:r>
              <w:rPr>
                <w:sz w:val="16"/>
              </w:rPr>
              <w:t xml:space="preserve">Pass</w:t>
            </w:r>
          </w:p>
        </w:tc>
        <w:tc>
          <w:tcPr/>
          <w:p>
            <w:pPr>
              <w:pStyle w:val="Compact"/>
              <w:spacing w:after="40"/>
            </w:pPr>
            <w:r>
              <w:rPr>
                <w:sz w:val="16"/>
              </w:rPr>
              <w:t xml:space="preserve">Early PCC q standard deviation 3.997 V at external SCR 5 versus 1.788 V at SCR 10 for the same wind step</w:t>
            </w:r>
          </w:p>
        </w:tc>
      </w:tr>
      <w:tr>
        <w:tc>
          <w:tcPr/>
          <w:p>
            <w:pPr>
              <w:pStyle w:val="Compact"/>
              <w:spacing w:after="40"/>
            </w:pPr>
            <w:r>
              <w:rPr>
                <w:sz w:val="16"/>
              </w:rPr>
              <w:t xml:space="preserve">Mitigation on identical disturbance</w:t>
            </w:r>
          </w:p>
        </w:tc>
        <w:tc>
          <w:tcPr/>
          <w:p>
            <w:pPr>
              <w:pStyle w:val="Compact"/>
              <w:spacing w:after="40"/>
            </w:pPr>
            <w:r>
              <w:rPr>
                <w:sz w:val="16"/>
              </w:rPr>
              <w:t xml:space="preserve">Pass</w:t>
            </w:r>
          </w:p>
        </w:tc>
        <w:tc>
          <w:tcPr/>
          <w:p>
            <w:pPr>
              <w:pStyle w:val="Compact"/>
              <w:spacing w:after="40"/>
            </w:pPr>
            <w:r>
              <w:rPr>
                <w:sz w:val="16"/>
              </w:rPr>
              <w:t xml:space="preserve">Early weak-grid PCC q standard deviation falls to 0.554 V with PLL proportional gain 0.02</w:t>
            </w:r>
          </w:p>
        </w:tc>
      </w:tr>
      <w:tr>
        <w:tc>
          <w:tcPr/>
          <w:p>
            <w:pPr>
              <w:pStyle w:val="Compact"/>
              <w:spacing w:after="40"/>
            </w:pPr>
            <w:r>
              <w:rPr>
                <w:sz w:val="16"/>
              </w:rPr>
              <w:t xml:space="preserve">Linearized mode</w:t>
            </w:r>
          </w:p>
        </w:tc>
        <w:tc>
          <w:tcPr/>
          <w:p>
            <w:pPr>
              <w:pStyle w:val="Compact"/>
              <w:spacing w:after="40"/>
            </w:pPr>
            <w:r>
              <w:rPr>
                <w:sz w:val="16"/>
              </w:rPr>
              <w:t xml:space="preserve">Pass</w:t>
            </w:r>
          </w:p>
        </w:tc>
        <w:tc>
          <w:tcPr/>
          <w:p>
            <w:pPr>
              <w:pStyle w:val="Compact"/>
              <w:spacing w:after="40"/>
            </w:pPr>
            <w:r>
              <w:rPr>
                <w:sz w:val="16"/>
              </w:rPr>
              <w:t xml:space="preserve">Weak-grid 23-state snapshot pole</w:t>
            </w:r>
            <w:r>
              <w:rPr>
                <w:sz w:val="16"/>
              </w:rPr>
              <w:t xml:space="preserve"> </w:t>
            </w:r>
            <w:r>
              <w:rPr>
                <w:rStyle w:val="VerbatimChar"/>
                <w:sz w:val="16"/>
              </w:rPr>
              <w:t xml:space="preserve">-1.5277 ± j29.1420 s^-1</w:t>
            </w:r>
            <w:r>
              <w:rPr>
                <w:sz w:val="16"/>
              </w:rPr>
              <w:t xml:space="preserve">, 4.638 Hz, 5.24% damping</w:t>
            </w:r>
          </w:p>
        </w:tc>
      </w:tr>
      <w:tr>
        <w:tc>
          <w:tcPr/>
          <w:p>
            <w:pPr>
              <w:pStyle w:val="Compact"/>
              <w:spacing w:after="40"/>
            </w:pPr>
            <w:r>
              <w:rPr>
                <w:sz w:val="16"/>
              </w:rPr>
              <w:t xml:space="preserve">Mitigated mode</w:t>
            </w:r>
          </w:p>
        </w:tc>
        <w:tc>
          <w:tcPr/>
          <w:p>
            <w:pPr>
              <w:pStyle w:val="Compact"/>
              <w:spacing w:after="40"/>
            </w:pPr>
            <w:r>
              <w:rPr>
                <w:sz w:val="16"/>
              </w:rPr>
              <w:t xml:space="preserve">Pass</w:t>
            </w:r>
          </w:p>
        </w:tc>
        <w:tc>
          <w:tcPr/>
          <w:p>
            <w:pPr>
              <w:pStyle w:val="Compact"/>
              <w:spacing w:after="40"/>
            </w:pPr>
            <w:r>
              <w:rPr>
                <w:sz w:val="16"/>
              </w:rPr>
              <w:t xml:space="preserve">Former 4.6 Hz mode moves to</w:t>
            </w:r>
            <w:r>
              <w:rPr>
                <w:sz w:val="16"/>
              </w:rPr>
              <w:t xml:space="preserve"> </w:t>
            </w:r>
            <w:r>
              <w:rPr>
                <w:rStyle w:val="VerbatimChar"/>
                <w:sz w:val="16"/>
              </w:rPr>
              <w:t xml:space="preserve">-5.5226 ± j28.5549 s^-1</w:t>
            </w:r>
            <w:r>
              <w:rPr>
                <w:sz w:val="16"/>
              </w:rPr>
              <w:t xml:space="preserve">, 4.545 Hz, 18.99% damping</w:t>
            </w:r>
          </w:p>
        </w:tc>
      </w:tr>
      <w:tr>
        <w:tc>
          <w:tcPr/>
          <w:p>
            <w:pPr>
              <w:pStyle w:val="Compact"/>
              <w:spacing w:after="40"/>
            </w:pPr>
            <w:r>
              <w:rPr>
                <w:sz w:val="16"/>
              </w:rPr>
              <w:t xml:space="preserve">No nonfinite case data</w:t>
            </w:r>
          </w:p>
        </w:tc>
        <w:tc>
          <w:tcPr/>
          <w:p>
            <w:pPr>
              <w:pStyle w:val="Compact"/>
              <w:spacing w:after="40"/>
            </w:pPr>
            <w:r>
              <w:rPr>
                <w:sz w:val="16"/>
              </w:rPr>
              <w:t xml:space="preserve">Pass</w:t>
            </w:r>
          </w:p>
        </w:tc>
        <w:tc>
          <w:tcPr/>
          <w:p>
            <w:pPr>
              <w:pStyle w:val="Compact"/>
              <w:spacing w:after="40"/>
            </w:pPr>
            <w:r>
              <w:rPr>
                <w:sz w:val="16"/>
              </w:rPr>
              <w:t xml:space="preserve">All saved scenario columns finite</w:t>
            </w:r>
          </w:p>
        </w:tc>
      </w:tr>
      <w:tr>
        <w:tc>
          <w:tcPr/>
          <w:p>
            <w:pPr>
              <w:pStyle w:val="Compact"/>
              <w:spacing w:after="40"/>
            </w:pPr>
            <w:r>
              <w:rPr>
                <w:sz w:val="16"/>
              </w:rPr>
              <w:t xml:space="preserve">Solver step sensitivity</w:t>
            </w:r>
          </w:p>
        </w:tc>
        <w:tc>
          <w:tcPr/>
          <w:p>
            <w:pPr>
              <w:pStyle w:val="Compact"/>
              <w:spacing w:after="40"/>
            </w:pPr>
            <w:r>
              <w:rPr>
                <w:sz w:val="16"/>
              </w:rPr>
              <w:t xml:space="preserve">Pass</w:t>
            </w:r>
          </w:p>
        </w:tc>
        <w:tc>
          <w:tcPr/>
          <w:p>
            <w:pPr>
              <w:pStyle w:val="Compact"/>
              <w:spacing w:after="40"/>
            </w:pPr>
            <w:r>
              <w:rPr>
                <w:sz w:val="16"/>
              </w:rPr>
              <w:t xml:space="preserve">Halving maximum step from 1 to 0.5 ms changes late mean DC voltage by 4.21e-5 V and PCC active power by 4.54 W</w:t>
            </w:r>
          </w:p>
        </w:tc>
      </w:tr>
      <w:tr>
        <w:tc>
          <w:tcPr/>
          <w:p>
            <w:pPr>
              <w:pStyle w:val="Compact"/>
              <w:spacing w:after="40"/>
            </w:pPr>
            <w:r>
              <w:rPr>
                <w:sz w:val="16"/>
              </w:rPr>
              <w:t xml:space="preserve">Twelve live native Scopes</w:t>
            </w:r>
          </w:p>
        </w:tc>
        <w:tc>
          <w:tcPr/>
          <w:p>
            <w:pPr>
              <w:pStyle w:val="Compact"/>
              <w:spacing w:after="40"/>
            </w:pPr>
            <w:r>
              <w:rPr>
                <w:sz w:val="16"/>
              </w:rPr>
              <w:t xml:space="preserve">Pass</w:t>
            </w:r>
          </w:p>
        </w:tc>
        <w:tc>
          <w:tcPr/>
          <w:p>
            <w:pPr>
              <w:pStyle w:val="Compact"/>
              <w:spacing w:after="40"/>
            </w:pPr>
            <w:r>
              <w:rPr>
                <w:sz w:val="16"/>
              </w:rPr>
              <w:t xml:space="preserve">The saved model has twelve Scope blocks connected to live From-tag signals; the clean-session audit checks logged physical channels</w:t>
            </w:r>
          </w:p>
        </w:tc>
      </w:tr>
    </w:tbl>
    <w:p>
      <w:pPr>
        <w:pStyle w:val="BodyText"/>
      </w:pPr>
      <w:r>
        <w:t xml:space="preserve">The full machine-voltage residual uses the measured physical stator sensor, not the MSC voltage command. The capacitor balance uses series native current sensors, whose signs were checked directly. The native physical machine and converter blocks have electrical energy states; the diagnostic subsystem performs measurements only. MATLAB Function blocks implement the controllers and algebraic measurements. No custom S-functions or external model dependencies are required.</w:t>
      </w:r>
    </w:p>
    <w:bookmarkEnd w:id="10"/>
    <w:bookmarkStart w:id="11" w:name="scenario-record"/>
    <w:p>
      <w:pPr>
        <w:pStyle w:val="Heading2"/>
      </w:pPr>
      <w:r>
        <w:t xml:space="preserve">Scenario record</w:t>
      </w:r>
    </w:p>
    <w:tbl>
      <w:tblPr>
        <w:tblStyle w:val="Table"/>
        <w:tblW w:type="pct" w:w="5000"/>
        <w:tblLayout w:type="autofit"/>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spacing w:after="40"/>
            </w:pPr>
            <w:r>
              <w:rPr>
                <w:sz w:val="16"/>
              </w:rPr>
              <w:t xml:space="preserve">Run</w:t>
            </w:r>
          </w:p>
        </w:tc>
        <w:tc>
          <w:tcPr/>
          <w:p>
            <w:pPr>
              <w:pStyle w:val="Compact"/>
              <w:spacing w:after="40"/>
              <w:jc w:val="right"/>
            </w:pPr>
            <w:r>
              <w:rPr>
                <w:sz w:val="16"/>
              </w:rPr>
              <w:t xml:space="preserve">Wind after 2 s</w:t>
            </w:r>
          </w:p>
        </w:tc>
        <w:tc>
          <w:tcPr/>
          <w:p>
            <w:pPr>
              <w:pStyle w:val="Compact"/>
              <w:spacing w:after="40"/>
              <w:jc w:val="right"/>
            </w:pPr>
            <w:r>
              <w:rPr>
                <w:sz w:val="16"/>
              </w:rPr>
              <w:t xml:space="preserve">Nominal external SCR</w:t>
            </w:r>
          </w:p>
        </w:tc>
        <w:tc>
          <w:tcPr/>
          <w:p>
            <w:pPr>
              <w:pStyle w:val="Compact"/>
              <w:spacing w:after="40"/>
              <w:jc w:val="right"/>
            </w:pPr>
            <w:r>
              <w:rPr>
                <w:sz w:val="16"/>
              </w:rPr>
              <w:t xml:space="preserve">Mitigation</w:t>
            </w:r>
          </w:p>
        </w:tc>
        <w:tc>
          <w:tcPr/>
          <w:p>
            <w:pPr>
              <w:pStyle w:val="Compact"/>
              <w:spacing w:after="40"/>
              <w:jc w:val="right"/>
            </w:pPr>
            <w:r>
              <w:rPr>
                <w:sz w:val="16"/>
              </w:rPr>
              <w:t xml:space="preserve">Late DC mean V</w:t>
            </w:r>
          </w:p>
        </w:tc>
        <w:tc>
          <w:tcPr/>
          <w:p>
            <w:pPr>
              <w:pStyle w:val="Compact"/>
              <w:spacing w:after="40"/>
              <w:jc w:val="right"/>
            </w:pPr>
            <w:r>
              <w:rPr>
                <w:sz w:val="16"/>
              </w:rPr>
              <w:t xml:space="preserve">Late PCC power MW</w:t>
            </w:r>
          </w:p>
        </w:tc>
      </w:tr>
      <w:tr>
        <w:tc>
          <w:tcPr/>
          <w:p>
            <w:pPr>
              <w:pStyle w:val="Compact"/>
              <w:spacing w:after="40"/>
            </w:pPr>
            <w:r>
              <w:rPr>
                <w:sz w:val="16"/>
              </w:rPr>
              <w:t xml:space="preserve">Baseline</w:t>
            </w:r>
          </w:p>
        </w:tc>
        <w:tc>
          <w:tcPr/>
          <w:p>
            <w:pPr>
              <w:pStyle w:val="Compact"/>
              <w:spacing w:after="40"/>
              <w:jc w:val="right"/>
            </w:pPr>
            <w:r>
              <w:rPr>
                <w:sz w:val="16"/>
              </w:rPr>
              <w:t xml:space="preserve">12 m/s</w:t>
            </w:r>
          </w:p>
        </w:tc>
        <w:tc>
          <w:tcPr/>
          <w:p>
            <w:pPr>
              <w:pStyle w:val="Compact"/>
              <w:spacing w:after="40"/>
              <w:jc w:val="right"/>
            </w:pPr>
            <w:r>
              <w:rPr>
                <w:sz w:val="16"/>
              </w:rPr>
              <w:t xml:space="preserve">10</w:t>
            </w:r>
          </w:p>
        </w:tc>
        <w:tc>
          <w:tcPr/>
          <w:p>
            <w:pPr>
              <w:pStyle w:val="Compact"/>
              <w:spacing w:after="40"/>
              <w:jc w:val="right"/>
            </w:pPr>
            <w:r>
              <w:rPr>
                <w:sz w:val="16"/>
              </w:rPr>
              <w:t xml:space="preserve">Off</w:t>
            </w:r>
          </w:p>
        </w:tc>
        <w:tc>
          <w:tcPr/>
          <w:p>
            <w:pPr>
              <w:pStyle w:val="Compact"/>
              <w:spacing w:after="40"/>
              <w:jc w:val="right"/>
            </w:pPr>
            <w:r>
              <w:rPr>
                <w:sz w:val="16"/>
              </w:rPr>
              <w:t xml:space="preserve">1400.0499</w:t>
            </w:r>
          </w:p>
        </w:tc>
        <w:tc>
          <w:tcPr/>
          <w:p>
            <w:pPr>
              <w:pStyle w:val="Compact"/>
              <w:spacing w:after="40"/>
              <w:jc w:val="right"/>
            </w:pPr>
            <w:r>
              <w:rPr>
                <w:sz w:val="16"/>
              </w:rPr>
              <w:t xml:space="preserve">4.30091</w:t>
            </w:r>
          </w:p>
        </w:tc>
      </w:tr>
      <w:tr>
        <w:tc>
          <w:tcPr/>
          <w:p>
            <w:pPr>
              <w:pStyle w:val="Compact"/>
              <w:spacing w:after="40"/>
            </w:pPr>
            <w:r>
              <w:rPr>
                <w:sz w:val="16"/>
              </w:rPr>
              <w:t xml:space="preserve">Wind variation</w:t>
            </w:r>
          </w:p>
        </w:tc>
        <w:tc>
          <w:tcPr/>
          <w:p>
            <w:pPr>
              <w:pStyle w:val="Compact"/>
              <w:spacing w:after="40"/>
              <w:jc w:val="right"/>
            </w:pPr>
            <w:r>
              <w:rPr>
                <w:sz w:val="16"/>
              </w:rPr>
              <w:t xml:space="preserve">13 m/s</w:t>
            </w:r>
          </w:p>
        </w:tc>
        <w:tc>
          <w:tcPr/>
          <w:p>
            <w:pPr>
              <w:pStyle w:val="Compact"/>
              <w:spacing w:after="40"/>
              <w:jc w:val="right"/>
            </w:pPr>
            <w:r>
              <w:rPr>
                <w:sz w:val="16"/>
              </w:rPr>
              <w:t xml:space="preserve">10</w:t>
            </w:r>
          </w:p>
        </w:tc>
        <w:tc>
          <w:tcPr/>
          <w:p>
            <w:pPr>
              <w:pStyle w:val="Compact"/>
              <w:spacing w:after="40"/>
              <w:jc w:val="right"/>
            </w:pPr>
            <w:r>
              <w:rPr>
                <w:sz w:val="16"/>
              </w:rPr>
              <w:t xml:space="preserve">Off</w:t>
            </w:r>
          </w:p>
        </w:tc>
        <w:tc>
          <w:tcPr/>
          <w:p>
            <w:pPr>
              <w:pStyle w:val="Compact"/>
              <w:spacing w:after="40"/>
              <w:jc w:val="right"/>
            </w:pPr>
            <w:r>
              <w:rPr>
                <w:sz w:val="16"/>
              </w:rPr>
              <w:t xml:space="preserve">1405.2706</w:t>
            </w:r>
          </w:p>
        </w:tc>
        <w:tc>
          <w:tcPr/>
          <w:p>
            <w:pPr>
              <w:pStyle w:val="Compact"/>
              <w:spacing w:after="40"/>
              <w:jc w:val="right"/>
            </w:pPr>
            <w:r>
              <w:rPr>
                <w:sz w:val="16"/>
              </w:rPr>
              <w:t xml:space="preserve">4.91566</w:t>
            </w:r>
          </w:p>
        </w:tc>
      </w:tr>
      <w:tr>
        <w:tc>
          <w:tcPr/>
          <w:p>
            <w:pPr>
              <w:pStyle w:val="Compact"/>
              <w:spacing w:after="40"/>
            </w:pPr>
            <w:r>
              <w:rPr>
                <w:sz w:val="16"/>
              </w:rPr>
              <w:t xml:space="preserve">Weak grid</w:t>
            </w:r>
          </w:p>
        </w:tc>
        <w:tc>
          <w:tcPr/>
          <w:p>
            <w:pPr>
              <w:pStyle w:val="Compact"/>
              <w:spacing w:after="40"/>
              <w:jc w:val="right"/>
            </w:pPr>
            <w:r>
              <w:rPr>
                <w:sz w:val="16"/>
              </w:rPr>
              <w:t xml:space="preserve">13 m/s</w:t>
            </w:r>
          </w:p>
        </w:tc>
        <w:tc>
          <w:tcPr/>
          <w:p>
            <w:pPr>
              <w:pStyle w:val="Compact"/>
              <w:spacing w:after="40"/>
              <w:jc w:val="right"/>
            </w:pPr>
            <w:r>
              <w:rPr>
                <w:sz w:val="16"/>
              </w:rPr>
              <w:t xml:space="preserve">5</w:t>
            </w:r>
          </w:p>
        </w:tc>
        <w:tc>
          <w:tcPr/>
          <w:p>
            <w:pPr>
              <w:pStyle w:val="Compact"/>
              <w:spacing w:after="40"/>
              <w:jc w:val="right"/>
            </w:pPr>
            <w:r>
              <w:rPr>
                <w:sz w:val="16"/>
              </w:rPr>
              <w:t xml:space="preserve">Off</w:t>
            </w:r>
          </w:p>
        </w:tc>
        <w:tc>
          <w:tcPr/>
          <w:p>
            <w:pPr>
              <w:pStyle w:val="Compact"/>
              <w:spacing w:after="40"/>
              <w:jc w:val="right"/>
            </w:pPr>
            <w:r>
              <w:rPr>
                <w:sz w:val="16"/>
              </w:rPr>
              <w:t xml:space="preserve">1405.4162</w:t>
            </w:r>
          </w:p>
        </w:tc>
        <w:tc>
          <w:tcPr/>
          <w:p>
            <w:pPr>
              <w:pStyle w:val="Compact"/>
              <w:spacing w:after="40"/>
              <w:jc w:val="right"/>
            </w:pPr>
            <w:r>
              <w:rPr>
                <w:sz w:val="16"/>
              </w:rPr>
              <w:t xml:space="preserve">4.91641</w:t>
            </w:r>
          </w:p>
        </w:tc>
      </w:tr>
      <w:tr>
        <w:tc>
          <w:tcPr/>
          <w:p>
            <w:pPr>
              <w:pStyle w:val="Compact"/>
              <w:spacing w:after="40"/>
            </w:pPr>
            <w:r>
              <w:rPr>
                <w:sz w:val="16"/>
              </w:rPr>
              <w:t xml:space="preserve">Mitigated weak grid</w:t>
            </w:r>
          </w:p>
        </w:tc>
        <w:tc>
          <w:tcPr/>
          <w:p>
            <w:pPr>
              <w:pStyle w:val="Compact"/>
              <w:spacing w:after="40"/>
              <w:jc w:val="right"/>
            </w:pPr>
            <w:r>
              <w:rPr>
                <w:sz w:val="16"/>
              </w:rPr>
              <w:t xml:space="preserve">13 m/s</w:t>
            </w:r>
          </w:p>
        </w:tc>
        <w:tc>
          <w:tcPr/>
          <w:p>
            <w:pPr>
              <w:pStyle w:val="Compact"/>
              <w:spacing w:after="40"/>
              <w:jc w:val="right"/>
            </w:pPr>
            <w:r>
              <w:rPr>
                <w:sz w:val="16"/>
              </w:rPr>
              <w:t xml:space="preserve">5</w:t>
            </w:r>
          </w:p>
        </w:tc>
        <w:tc>
          <w:tcPr/>
          <w:p>
            <w:pPr>
              <w:pStyle w:val="Compact"/>
              <w:spacing w:after="40"/>
              <w:jc w:val="right"/>
            </w:pPr>
            <w:r>
              <w:rPr>
                <w:sz w:val="16"/>
              </w:rPr>
              <w:t xml:space="preserve">On</w:t>
            </w:r>
          </w:p>
        </w:tc>
        <w:tc>
          <w:tcPr/>
          <w:p>
            <w:pPr>
              <w:pStyle w:val="Compact"/>
              <w:spacing w:after="40"/>
              <w:jc w:val="right"/>
            </w:pPr>
            <w:r>
              <w:rPr>
                <w:sz w:val="16"/>
              </w:rPr>
              <w:t xml:space="preserve">1405.4156</w:t>
            </w:r>
          </w:p>
        </w:tc>
        <w:tc>
          <w:tcPr/>
          <w:p>
            <w:pPr>
              <w:pStyle w:val="Compact"/>
              <w:spacing w:after="40"/>
              <w:jc w:val="right"/>
            </w:pPr>
            <w:r>
              <w:rPr>
                <w:sz w:val="16"/>
              </w:rPr>
              <w:t xml:space="preserve">4.91630</w:t>
            </w:r>
          </w:p>
        </w:tc>
      </w:tr>
    </w:tbl>
    <w:p>
      <w:pPr>
        <w:pStyle w:val="BodyText"/>
      </w:pPr>
      <w:r>
        <w:t xml:space="preserve">All four outputs come from the completed saved SLX. The last 0.5 s is not a final mechanical equilibrium for the 13 m/s cases; shaft acceleration continues. The baseline case is approximately settled. The physically coupled oscillation is decaying, so this validation does not claim unstable SSO or a critical SCR threshold.</w:t>
      </w:r>
    </w:p>
    <w:bookmarkEnd w:id="11"/>
    <w:bookmarkStart w:id="12" w:name="numerical-and-modal-methods"/>
    <w:p>
      <w:pPr>
        <w:pStyle w:val="Heading2"/>
      </w:pPr>
      <w:r>
        <w:t xml:space="preserve">Numerical and modal methods</w:t>
      </w:r>
    </w:p>
    <w:p>
      <w:pPr>
        <w:pStyle w:val="FirstParagraph"/>
      </w:pPr>
      <w:r>
        <w:t xml:space="preserve">The physical model uses the stiff</w:t>
      </w:r>
      <w:r>
        <w:t xml:space="preserve"> </w:t>
      </w:r>
      <w:r>
        <w:rPr>
          <w:rStyle w:val="VerbatimChar"/>
        </w:rPr>
        <w:t xml:space="preserve">ode15s</w:t>
      </w:r>
      <w:r>
        <w:t xml:space="preserve"> </w:t>
      </w:r>
      <w:r>
        <w:t xml:space="preserve">solver, relative tolerance</w:t>
      </w:r>
      <w:r>
        <w:t xml:space="preserve"> </w:t>
      </w:r>
      <w:r>
        <w:rPr>
          <w:rStyle w:val="VerbatimChar"/>
        </w:rPr>
        <w:t xml:space="preserve">1e-5</w:t>
      </w:r>
      <w:r>
        <w:t xml:space="preserve">, maximum step 1 ms, averaged 3-phase converters, a 1 ms MSC actuator and a 10 µs GSC actuator. The convergence run uses maximum step 0.5 ms with the same weak-grid disturbance and parameters. Scenario outputs are interpolated to a 10 ms grid for analysis; this grid is an export rate, not a simulation step. Physical equation residuals use central differences on that grid in the nearly settled 4 to 6 s baseline window.</w:t>
      </w:r>
    </w:p>
    <w:p>
      <w:pPr>
        <w:pStyle w:val="BodyText"/>
      </w:pPr>
      <w:r>
        <w:t xml:space="preserve">The 1 to 45 Hz FFT peak of weak-grid PCC q voltage is 4.681 Hz. A 3 to 8 Hz band-limited AR(2)/Prony estimate gives</w:t>
      </w:r>
      <w:r>
        <w:t xml:space="preserve"> </w:t>
      </w:r>
      <w:r>
        <w:rPr>
          <w:rStyle w:val="VerbatimChar"/>
        </w:rPr>
        <w:t xml:space="preserve">-1.4369 ± j29.3565 s^-1</w:t>
      </w:r>
      <w:r>
        <w:t xml:space="preserve"> </w:t>
      </w:r>
      <w:r>
        <w:t xml:space="preserve">(4.672 Hz; damping ratio 4.89%) over the transient. Independent Simulink Control Design snapshot linearization uses 12 m/s constant wind and a 5.5 s snapshot. It yields a 23-state closed-loop model and the 4.638 Hz weak-grid pole above. Frequency and damping need not match exactly because one estimate fits a nonlinear, disturbed trajectory and the other freezes a near-equilibrium state. Both indicate a stable oscillatory mode. The 4.6 Hz linearized mode damping increases from 5.24% to 18.99% after mitigation. The least-damped mitigated mode overall is 1.843 Hz with damping ratio 27.57%.</w:t>
      </w:r>
    </w:p>
    <w:bookmarkEnd w:id="12"/>
    <w:bookmarkStart w:id="13" w:name="self-containment-and-visual-review"/>
    <w:p>
      <w:pPr>
        <w:pStyle w:val="Heading2"/>
      </w:pPr>
      <w:r>
        <w:t xml:space="preserve">Self-containment and visual review</w:t>
      </w:r>
    </w:p>
    <w:p>
      <w:pPr>
        <w:pStyle w:val="FirstParagraph"/>
      </w:pPr>
      <w:r>
        <w:t xml:space="preserve">The SLX stores the default parameters in its model workspace and native block dialogs. Analysis scripts write CSV evidence but are never called by core blocks. The top-level diagram has visible wind, machine, converter, capacitor, filter, PCC and grid equipment; the control, measured quantities, data logging and twelve Scopes are grouped. Model and internal subsystem snapshots are in</w:t>
      </w:r>
      <w:r>
        <w:t xml:space="preserve"> </w:t>
      </w:r>
      <w:r>
        <w:rPr>
          <w:rStyle w:val="VerbatimChar"/>
        </w:rPr>
        <w:t xml:space="preserve">artifacts/model_snapshots/</w:t>
      </w:r>
      <w:r>
        <w:t xml:space="preserve">. Named Goto/From connections carry diagnostics without a cached data source.</w:t>
      </w:r>
    </w:p>
    <w:p>
      <w:pPr>
        <w:pStyle w:val="BodyText"/>
      </w:pPr>
      <w:r>
        <w:t xml:space="preserve">The physical ports create some long net lines at the top level; the exported diagram is readable at full resolution but is not a substitute for opening the SLX to inspect individual branches. Figure evidence and interface labels were reviewed after the final save.</w:t>
      </w:r>
    </w:p>
    <w:bookmarkEnd w:id="13"/>
    <w:bookmarkStart w:id="14" w:name="remaining-engineering-assumptions"/>
    <w:p>
      <w:pPr>
        <w:pStyle w:val="Heading2"/>
      </w:pPr>
      <w:r>
        <w:t xml:space="preserve">Remaining engineering assumptions</w:t>
      </w:r>
    </w:p>
    <w:p>
      <w:pPr>
        <w:pStyle w:val="FirstParagraph"/>
      </w:pPr>
      <w:r>
        <w:t xml:space="preserve">The 5 MW rating is supported by Wang et al. (2019); the other numeric machine, source, grid, filter, turbine and controller parameters are project engineering assumptions or tuning. The physical model has no measured site impedance, transformer, saturation, shaft torsion, switching harmonics, protection or thermal dynamics. Its validation establishes behavior of this specified averaged single-turbine system under the stated scenarios, not a prediction of a particular field event.</w:t>
      </w:r>
    </w:p>
    <w:bookmarkEnd w:id="14"/>
    <w:bookmarkEnd w:id="15"/>
    <w:sectPr>
      <w:footnotePr>
        <w:numRestart w:val="eachSect"/>
      </w:footnotePr>
      <w:pgMar w:top="1123"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40" w:line="240" w:lineRule="auto" w:before="0"/>
      <w:contextualSpacing/>
      <w:jc w:val="center"/>
    </w:pPr>
    <w:rPr>
      <w:rFonts w:asciiTheme="majorHAnsi" w:cstheme="majorBidi" w:eastAsiaTheme="majorEastAsia" w:hAnsiTheme="majorHAnsi" w:ascii="Calibri" w:hAnsi="Calibri"/>
      <w:color w:val="000000"/>
      <w:sz w:val="4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40"/>
      <w:outlineLvl w:val="0"/>
    </w:pPr>
    <w:rPr>
      <w:rFonts w:asciiTheme="majorHAnsi" w:cstheme="majorBidi" w:eastAsiaTheme="majorEastAsia" w:hAnsiTheme="majorHAnsi" w:ascii="Calibri" w:hAnsi="Calibri"/>
      <w:color w:val="000000"/>
      <w:sz w:val="28"/>
      <w:szCs w:val="40"/>
      <w:u w:val="none"/>
    </w:rPr>
  </w:style>
  <w:style w:styleId="Heading2" w:type="paragraph">
    <w:name w:val="heading 2"/>
    <w:basedOn w:val="Normal"/>
    <w:next w:val="BodyText"/>
    <w:link w:val="Heading2Char"/>
    <w:uiPriority w:val="9"/>
    <w:semiHidden/>
    <w:unhideWhenUsed/>
    <w:qFormat/>
    <w:rsid w:val="00A10FD9"/>
    <w:pPr>
      <w:keepNext/>
      <w:keepLines/>
      <w:spacing w:after="140" w:before="240"/>
      <w:outlineLvl w:val="1"/>
    </w:pPr>
    <w:rPr>
      <w:rFonts w:asciiTheme="majorHAnsi" w:cstheme="majorBidi" w:eastAsiaTheme="majorEastAsia" w:hAnsiTheme="majorHAnsi" w:ascii="Calibri" w:hAnsi="Calibri"/>
      <w:color w:val="000000"/>
      <w:sz w:val="23"/>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2026-10-20T23:54:48Z</dcterms:created>
  <dcterms:modified xsi:type="dcterms:W3CDTF">2026-10-20T23:54:48Z</dcterms:modified>
</cp:coreProperties>
</file>

<file path=docProps/custom.xml><?xml version="1.0" encoding="utf-8"?>
<Properties xmlns="http://schemas.openxmlformats.org/officeDocument/2006/custom-properties" xmlns:vt="http://schemas.openxmlformats.org/officeDocument/2006/docPropsVTypes"/>
</file>