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039602" w14:textId="7E835F33" w:rsidR="008C3ABB" w:rsidRPr="00C373E0" w:rsidRDefault="00942E2D" w:rsidP="00C373E0">
      <w:pPr>
        <w:spacing w:line="360" w:lineRule="auto"/>
        <w:jc w:val="center"/>
        <w:rPr>
          <w:rFonts w:ascii="Times New Roman" w:hAnsi="Times New Roman" w:cs="Times New Roman"/>
          <w:b/>
          <w:bCs/>
          <w:sz w:val="28"/>
          <w:szCs w:val="28"/>
        </w:rPr>
      </w:pPr>
      <w:r w:rsidRPr="00C373E0">
        <w:rPr>
          <w:rFonts w:ascii="Times New Roman" w:hAnsi="Times New Roman" w:cs="Times New Roman"/>
          <w:b/>
          <w:bCs/>
          <w:sz w:val="28"/>
          <w:szCs w:val="28"/>
        </w:rPr>
        <w:t>Summary and Conclusion of Affordability &amp; Rental Values (2019–2023)</w:t>
      </w:r>
    </w:p>
    <w:p w14:paraId="4177AACD" w14:textId="77777777" w:rsidR="00942E2D" w:rsidRPr="00942E2D" w:rsidRDefault="00942E2D" w:rsidP="00C373E0">
      <w:pPr>
        <w:spacing w:line="360" w:lineRule="auto"/>
        <w:ind w:firstLine="720"/>
        <w:rPr>
          <w:rFonts w:ascii="Times New Roman" w:hAnsi="Times New Roman" w:cs="Times New Roman"/>
        </w:rPr>
      </w:pPr>
      <w:r w:rsidRPr="00942E2D">
        <w:rPr>
          <w:rFonts w:ascii="Times New Roman" w:hAnsi="Times New Roman" w:cs="Times New Roman"/>
        </w:rPr>
        <w:t>This analysis focused on rental affordability in Multnomah, Clackamas, and Washington counties, the primary metropolitan areas of Portland, Oregon. Data from the U.S. Census Bureau revealed that rents have consistently increased year-over-year across all three counties from 2019 to 2023. This trend confirmed our initial assumption that rental costs were rising throughout the Portland Metro area. However, since median annual household incomes also increased during this period, further analysis was necessary to determine whether renting was becoming less affordable over time.</w:t>
      </w:r>
    </w:p>
    <w:p w14:paraId="26E050CB" w14:textId="77777777" w:rsidR="00942E2D" w:rsidRPr="00942E2D" w:rsidRDefault="00942E2D" w:rsidP="00C373E0">
      <w:pPr>
        <w:spacing w:line="360" w:lineRule="auto"/>
        <w:ind w:firstLine="720"/>
        <w:rPr>
          <w:rFonts w:ascii="Times New Roman" w:hAnsi="Times New Roman" w:cs="Times New Roman"/>
        </w:rPr>
      </w:pPr>
      <w:r w:rsidRPr="00942E2D">
        <w:rPr>
          <w:rFonts w:ascii="Times New Roman" w:hAnsi="Times New Roman" w:cs="Times New Roman"/>
        </w:rPr>
        <w:t>To ensure consistency and clarity in our analysis, we chose to focus on median values within our datasets. This approach helped identify general trends more effectively, considering the wide range of demographic variables—such as race, age, and marital status—found in the U.S. Census Bureau data.</w:t>
      </w:r>
    </w:p>
    <w:p w14:paraId="068838D1" w14:textId="77777777" w:rsidR="00942E2D" w:rsidRPr="00942E2D" w:rsidRDefault="00942E2D" w:rsidP="00C373E0">
      <w:pPr>
        <w:spacing w:line="360" w:lineRule="auto"/>
        <w:ind w:firstLine="720"/>
        <w:rPr>
          <w:rFonts w:ascii="Times New Roman" w:hAnsi="Times New Roman" w:cs="Times New Roman"/>
        </w:rPr>
      </w:pPr>
      <w:r w:rsidRPr="00942E2D">
        <w:rPr>
          <w:rFonts w:ascii="Times New Roman" w:hAnsi="Times New Roman" w:cs="Times New Roman"/>
        </w:rPr>
        <w:t xml:space="preserve">Our findings showed that both median annual household </w:t>
      </w:r>
      <w:proofErr w:type="gramStart"/>
      <w:r w:rsidRPr="00942E2D">
        <w:rPr>
          <w:rFonts w:ascii="Times New Roman" w:hAnsi="Times New Roman" w:cs="Times New Roman"/>
        </w:rPr>
        <w:t>incomes</w:t>
      </w:r>
      <w:proofErr w:type="gramEnd"/>
      <w:r w:rsidRPr="00942E2D">
        <w:rPr>
          <w:rFonts w:ascii="Times New Roman" w:hAnsi="Times New Roman" w:cs="Times New Roman"/>
        </w:rPr>
        <w:t xml:space="preserve"> and the percentage of income spent on rent have steadily increased over the five-year period. To assess rental affordability, we adopted the widely accepted threshold that spending more than 30% of one’s income on rent is considered unaffordable (</w:t>
      </w:r>
      <w:r w:rsidRPr="00942E2D">
        <w:rPr>
          <w:rFonts w:ascii="Times New Roman" w:hAnsi="Times New Roman" w:cs="Times New Roman"/>
          <w:i/>
          <w:iCs/>
        </w:rPr>
        <w:t>citation needed</w:t>
      </w:r>
      <w:r w:rsidRPr="00942E2D">
        <w:rPr>
          <w:rFonts w:ascii="Times New Roman" w:hAnsi="Times New Roman" w:cs="Times New Roman"/>
        </w:rPr>
        <w:t xml:space="preserve">). Based on this standard, we developed the </w:t>
      </w:r>
      <w:r w:rsidRPr="00942E2D">
        <w:rPr>
          <w:rFonts w:ascii="Times New Roman" w:hAnsi="Times New Roman" w:cs="Times New Roman"/>
          <w:b/>
          <w:bCs/>
        </w:rPr>
        <w:t>Affordability Ratio</w:t>
      </w:r>
      <w:r w:rsidRPr="00942E2D">
        <w:rPr>
          <w:rFonts w:ascii="Times New Roman" w:hAnsi="Times New Roman" w:cs="Times New Roman"/>
        </w:rPr>
        <w:t>, which measures the percentage of income spent on rent relative to the 30% affordability threshold. A higher Affordability Ratio indicates lower rental affordability.</w:t>
      </w:r>
    </w:p>
    <w:p w14:paraId="32F85ED4" w14:textId="77777777" w:rsidR="00942E2D" w:rsidRPr="00942E2D" w:rsidRDefault="00942E2D" w:rsidP="00C373E0">
      <w:pPr>
        <w:spacing w:line="360" w:lineRule="auto"/>
        <w:ind w:firstLine="360"/>
        <w:rPr>
          <w:rFonts w:ascii="Times New Roman" w:hAnsi="Times New Roman" w:cs="Times New Roman"/>
        </w:rPr>
      </w:pPr>
      <w:r w:rsidRPr="00942E2D">
        <w:rPr>
          <w:rFonts w:ascii="Times New Roman" w:hAnsi="Times New Roman" w:cs="Times New Roman"/>
        </w:rPr>
        <w:t>After analyzing the data, we found that all three counties remained technically “affordable,” as they stayed below the 30% threshold. However, the trends clearly indicate that rental affordability is declining over time in each county.</w:t>
      </w:r>
    </w:p>
    <w:p w14:paraId="7D5AA7A1" w14:textId="77777777" w:rsidR="00942E2D" w:rsidRPr="00942E2D" w:rsidRDefault="00942E2D" w:rsidP="00C373E0">
      <w:pPr>
        <w:numPr>
          <w:ilvl w:val="0"/>
          <w:numId w:val="4"/>
        </w:numPr>
        <w:spacing w:line="360" w:lineRule="auto"/>
        <w:rPr>
          <w:rFonts w:ascii="Times New Roman" w:hAnsi="Times New Roman" w:cs="Times New Roman"/>
        </w:rPr>
      </w:pPr>
      <w:r w:rsidRPr="00942E2D">
        <w:rPr>
          <w:rFonts w:ascii="Times New Roman" w:hAnsi="Times New Roman" w:cs="Times New Roman"/>
          <w:b/>
          <w:bCs/>
        </w:rPr>
        <w:t>Multnomah County</w:t>
      </w:r>
      <w:r w:rsidRPr="00942E2D">
        <w:rPr>
          <w:rFonts w:ascii="Times New Roman" w:hAnsi="Times New Roman" w:cs="Times New Roman"/>
        </w:rPr>
        <w:t xml:space="preserve"> consistently ranked as the least affordable. Its Affordability Ratio increased from </w:t>
      </w:r>
      <w:r w:rsidRPr="00942E2D">
        <w:rPr>
          <w:rFonts w:ascii="Times New Roman" w:hAnsi="Times New Roman" w:cs="Times New Roman"/>
          <w:b/>
          <w:bCs/>
        </w:rPr>
        <w:t>71.5% in 2019</w:t>
      </w:r>
      <w:r w:rsidRPr="00942E2D">
        <w:rPr>
          <w:rFonts w:ascii="Times New Roman" w:hAnsi="Times New Roman" w:cs="Times New Roman"/>
        </w:rPr>
        <w:t xml:space="preserve"> to </w:t>
      </w:r>
      <w:r w:rsidRPr="00942E2D">
        <w:rPr>
          <w:rFonts w:ascii="Times New Roman" w:hAnsi="Times New Roman" w:cs="Times New Roman"/>
          <w:b/>
          <w:bCs/>
        </w:rPr>
        <w:t>73.4% in 2023</w:t>
      </w:r>
      <w:r w:rsidRPr="00942E2D">
        <w:rPr>
          <w:rFonts w:ascii="Times New Roman" w:hAnsi="Times New Roman" w:cs="Times New Roman"/>
        </w:rPr>
        <w:t xml:space="preserve">, reflecting a </w:t>
      </w:r>
      <w:r w:rsidRPr="00942E2D">
        <w:rPr>
          <w:rFonts w:ascii="Times New Roman" w:hAnsi="Times New Roman" w:cs="Times New Roman"/>
          <w:b/>
          <w:bCs/>
        </w:rPr>
        <w:t>1.9% decrease in affordability</w:t>
      </w:r>
      <w:r w:rsidRPr="00942E2D">
        <w:rPr>
          <w:rFonts w:ascii="Times New Roman" w:hAnsi="Times New Roman" w:cs="Times New Roman"/>
        </w:rPr>
        <w:t>. This occurred despite Multnomah having the lowest median annual household income among the three counties.</w:t>
      </w:r>
    </w:p>
    <w:p w14:paraId="19DDC9AC" w14:textId="77777777" w:rsidR="00942E2D" w:rsidRPr="00942E2D" w:rsidRDefault="00942E2D" w:rsidP="00C373E0">
      <w:pPr>
        <w:numPr>
          <w:ilvl w:val="0"/>
          <w:numId w:val="4"/>
        </w:numPr>
        <w:spacing w:line="360" w:lineRule="auto"/>
        <w:rPr>
          <w:rFonts w:ascii="Times New Roman" w:hAnsi="Times New Roman" w:cs="Times New Roman"/>
        </w:rPr>
      </w:pPr>
      <w:r w:rsidRPr="00942E2D">
        <w:rPr>
          <w:rFonts w:ascii="Times New Roman" w:hAnsi="Times New Roman" w:cs="Times New Roman"/>
          <w:b/>
          <w:bCs/>
        </w:rPr>
        <w:t>Clackamas County</w:t>
      </w:r>
      <w:r w:rsidRPr="00942E2D">
        <w:rPr>
          <w:rFonts w:ascii="Times New Roman" w:hAnsi="Times New Roman" w:cs="Times New Roman"/>
        </w:rPr>
        <w:t xml:space="preserve"> was the second least affordable county. Although it had the second-highest median annual income, it experienced the sharpest decline in affordability. The </w:t>
      </w:r>
      <w:r w:rsidRPr="00942E2D">
        <w:rPr>
          <w:rFonts w:ascii="Times New Roman" w:hAnsi="Times New Roman" w:cs="Times New Roman"/>
        </w:rPr>
        <w:lastRenderedPageBreak/>
        <w:t xml:space="preserve">Affordability Ratio rose from </w:t>
      </w:r>
      <w:r w:rsidRPr="00942E2D">
        <w:rPr>
          <w:rFonts w:ascii="Times New Roman" w:hAnsi="Times New Roman" w:cs="Times New Roman"/>
          <w:b/>
          <w:bCs/>
        </w:rPr>
        <w:t>64.4% in 2019</w:t>
      </w:r>
      <w:r w:rsidRPr="00942E2D">
        <w:rPr>
          <w:rFonts w:ascii="Times New Roman" w:hAnsi="Times New Roman" w:cs="Times New Roman"/>
        </w:rPr>
        <w:t xml:space="preserve"> to </w:t>
      </w:r>
      <w:r w:rsidRPr="00942E2D">
        <w:rPr>
          <w:rFonts w:ascii="Times New Roman" w:hAnsi="Times New Roman" w:cs="Times New Roman"/>
          <w:b/>
          <w:bCs/>
        </w:rPr>
        <w:t>67.5% in 2023</w:t>
      </w:r>
      <w:r w:rsidRPr="00942E2D">
        <w:rPr>
          <w:rFonts w:ascii="Times New Roman" w:hAnsi="Times New Roman" w:cs="Times New Roman"/>
        </w:rPr>
        <w:t xml:space="preserve">, marking a </w:t>
      </w:r>
      <w:r w:rsidRPr="00942E2D">
        <w:rPr>
          <w:rFonts w:ascii="Times New Roman" w:hAnsi="Times New Roman" w:cs="Times New Roman"/>
          <w:b/>
          <w:bCs/>
        </w:rPr>
        <w:t>3.1% decrease in rental affordability</w:t>
      </w:r>
      <w:r w:rsidRPr="00942E2D">
        <w:rPr>
          <w:rFonts w:ascii="Times New Roman" w:hAnsi="Times New Roman" w:cs="Times New Roman"/>
        </w:rPr>
        <w:t xml:space="preserve"> over five years.</w:t>
      </w:r>
    </w:p>
    <w:p w14:paraId="6C8E7A76" w14:textId="77777777" w:rsidR="00942E2D" w:rsidRPr="00942E2D" w:rsidRDefault="00942E2D" w:rsidP="00C373E0">
      <w:pPr>
        <w:numPr>
          <w:ilvl w:val="0"/>
          <w:numId w:val="4"/>
        </w:numPr>
        <w:spacing w:line="360" w:lineRule="auto"/>
        <w:rPr>
          <w:rFonts w:ascii="Times New Roman" w:hAnsi="Times New Roman" w:cs="Times New Roman"/>
        </w:rPr>
      </w:pPr>
      <w:r w:rsidRPr="00942E2D">
        <w:rPr>
          <w:rFonts w:ascii="Times New Roman" w:hAnsi="Times New Roman" w:cs="Times New Roman"/>
          <w:b/>
          <w:bCs/>
        </w:rPr>
        <w:t>Washington County</w:t>
      </w:r>
      <w:r w:rsidRPr="00942E2D">
        <w:rPr>
          <w:rFonts w:ascii="Times New Roman" w:hAnsi="Times New Roman" w:cs="Times New Roman"/>
        </w:rPr>
        <w:t xml:space="preserve"> had the highest median annual household income and remained the most affordable county throughout the study. Its Affordability Ratio increased from </w:t>
      </w:r>
      <w:r w:rsidRPr="00942E2D">
        <w:rPr>
          <w:rFonts w:ascii="Times New Roman" w:hAnsi="Times New Roman" w:cs="Times New Roman"/>
          <w:b/>
          <w:bCs/>
        </w:rPr>
        <w:t>66.1% in 2019</w:t>
      </w:r>
      <w:r w:rsidRPr="00942E2D">
        <w:rPr>
          <w:rFonts w:ascii="Times New Roman" w:hAnsi="Times New Roman" w:cs="Times New Roman"/>
        </w:rPr>
        <w:t xml:space="preserve"> to </w:t>
      </w:r>
      <w:r w:rsidRPr="00942E2D">
        <w:rPr>
          <w:rFonts w:ascii="Times New Roman" w:hAnsi="Times New Roman" w:cs="Times New Roman"/>
          <w:b/>
          <w:bCs/>
        </w:rPr>
        <w:t>67.9% in 2023</w:t>
      </w:r>
      <w:r w:rsidRPr="00942E2D">
        <w:rPr>
          <w:rFonts w:ascii="Times New Roman" w:hAnsi="Times New Roman" w:cs="Times New Roman"/>
        </w:rPr>
        <w:t xml:space="preserve">, representing a </w:t>
      </w:r>
      <w:r w:rsidRPr="00942E2D">
        <w:rPr>
          <w:rFonts w:ascii="Times New Roman" w:hAnsi="Times New Roman" w:cs="Times New Roman"/>
          <w:b/>
          <w:bCs/>
        </w:rPr>
        <w:t xml:space="preserve">1.8% decrease in </w:t>
      </w:r>
      <w:proofErr w:type="gramStart"/>
      <w:r w:rsidRPr="00942E2D">
        <w:rPr>
          <w:rFonts w:ascii="Times New Roman" w:hAnsi="Times New Roman" w:cs="Times New Roman"/>
          <w:b/>
          <w:bCs/>
        </w:rPr>
        <w:t>affordability</w:t>
      </w:r>
      <w:r w:rsidRPr="00942E2D">
        <w:rPr>
          <w:rFonts w:ascii="Times New Roman" w:hAnsi="Times New Roman" w:cs="Times New Roman"/>
        </w:rPr>
        <w:t>—</w:t>
      </w:r>
      <w:proofErr w:type="gramEnd"/>
      <w:r w:rsidRPr="00942E2D">
        <w:rPr>
          <w:rFonts w:ascii="Times New Roman" w:hAnsi="Times New Roman" w:cs="Times New Roman"/>
        </w:rPr>
        <w:t>the smallest decline among the three counties.</w:t>
      </w:r>
    </w:p>
    <w:p w14:paraId="30FCFCCD" w14:textId="77777777" w:rsidR="00942E2D" w:rsidRPr="00942E2D" w:rsidRDefault="00942E2D" w:rsidP="00C373E0">
      <w:pPr>
        <w:spacing w:line="360" w:lineRule="auto"/>
        <w:ind w:firstLine="360"/>
        <w:rPr>
          <w:rFonts w:ascii="Times New Roman" w:hAnsi="Times New Roman" w:cs="Times New Roman"/>
        </w:rPr>
      </w:pPr>
      <w:r w:rsidRPr="00942E2D">
        <w:rPr>
          <w:rFonts w:ascii="Times New Roman" w:hAnsi="Times New Roman" w:cs="Times New Roman"/>
        </w:rPr>
        <w:t>In conclusion, while all three counties remained below the 30% affordability threshold, the data shows a clear trend of declining rental affordability across the Portland Metro area. Multnomah County remains the least affordable, and Washington County the most affordable, though the gap between them has gradually narrowed over the five-year period.</w:t>
      </w:r>
    </w:p>
    <w:p w14:paraId="505D6EDB" w14:textId="77777777" w:rsidR="008C3ABB" w:rsidRPr="00A4432D" w:rsidRDefault="008C3ABB" w:rsidP="00C373E0">
      <w:pPr>
        <w:spacing w:line="360" w:lineRule="auto"/>
        <w:rPr>
          <w:rFonts w:ascii="Times New Roman" w:hAnsi="Times New Roman" w:cs="Times New Roman"/>
        </w:rPr>
      </w:pPr>
    </w:p>
    <w:sectPr w:rsidR="008C3ABB" w:rsidRPr="00A4432D">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A8F820" w14:textId="77777777" w:rsidR="0001519E" w:rsidRDefault="0001519E" w:rsidP="0001519E">
      <w:pPr>
        <w:spacing w:after="0" w:line="240" w:lineRule="auto"/>
      </w:pPr>
      <w:r>
        <w:separator/>
      </w:r>
    </w:p>
  </w:endnote>
  <w:endnote w:type="continuationSeparator" w:id="0">
    <w:p w14:paraId="301F0F71" w14:textId="77777777" w:rsidR="0001519E" w:rsidRDefault="0001519E" w:rsidP="000151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10844489"/>
      <w:docPartObj>
        <w:docPartGallery w:val="Page Numbers (Bottom of Page)"/>
        <w:docPartUnique/>
      </w:docPartObj>
    </w:sdtPr>
    <w:sdtEndPr>
      <w:rPr>
        <w:noProof/>
      </w:rPr>
    </w:sdtEndPr>
    <w:sdtContent>
      <w:p w14:paraId="1B80CAC3" w14:textId="7F48BA0B" w:rsidR="00C373E0" w:rsidRDefault="00C373E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420B32C" w14:textId="77777777" w:rsidR="00C373E0" w:rsidRDefault="00C373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F5371E" w14:textId="77777777" w:rsidR="0001519E" w:rsidRDefault="0001519E" w:rsidP="0001519E">
      <w:pPr>
        <w:spacing w:after="0" w:line="240" w:lineRule="auto"/>
      </w:pPr>
      <w:r>
        <w:separator/>
      </w:r>
    </w:p>
  </w:footnote>
  <w:footnote w:type="continuationSeparator" w:id="0">
    <w:p w14:paraId="708961B3" w14:textId="77777777" w:rsidR="0001519E" w:rsidRDefault="0001519E" w:rsidP="000151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B72BB6" w14:textId="05EFC311" w:rsidR="00CD68FD" w:rsidRDefault="00CD68FD">
    <w:pPr>
      <w:pStyle w:val="Header"/>
    </w:pPr>
    <w:r>
      <w:t>Devin Brindle</w:t>
    </w:r>
  </w:p>
  <w:p w14:paraId="2D362170" w14:textId="2D1D05B8" w:rsidR="00145BCF" w:rsidRDefault="00145BCF">
    <w:pPr>
      <w:pStyle w:val="Header"/>
    </w:pPr>
    <w:r>
      <w:t>Project 1</w:t>
    </w:r>
  </w:p>
  <w:p w14:paraId="5C8B92FA" w14:textId="370D56B9" w:rsidR="00CD68FD" w:rsidRDefault="00CD68FD">
    <w:pPr>
      <w:pStyle w:val="Header"/>
    </w:pPr>
    <w:r>
      <w:t>Data Bootcamp</w:t>
    </w:r>
  </w:p>
  <w:p w14:paraId="6EE3940C" w14:textId="216B6823" w:rsidR="00FC3CE6" w:rsidRDefault="00FC3CE6">
    <w:pPr>
      <w:pStyle w:val="Header"/>
    </w:pPr>
    <w:r>
      <w:t>02/02/25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653891"/>
    <w:multiLevelType w:val="hybridMultilevel"/>
    <w:tmpl w:val="2C946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E230B4"/>
    <w:multiLevelType w:val="multilevel"/>
    <w:tmpl w:val="66682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042699"/>
    <w:multiLevelType w:val="multilevel"/>
    <w:tmpl w:val="FF061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99307D"/>
    <w:multiLevelType w:val="hybridMultilevel"/>
    <w:tmpl w:val="3F0AC4A8"/>
    <w:lvl w:ilvl="0" w:tplc="0F9E65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77397687">
    <w:abstractNumId w:val="3"/>
  </w:num>
  <w:num w:numId="2" w16cid:durableId="131291085">
    <w:abstractNumId w:val="0"/>
  </w:num>
  <w:num w:numId="3" w16cid:durableId="1718581351">
    <w:abstractNumId w:val="2"/>
  </w:num>
  <w:num w:numId="4" w16cid:durableId="6161767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F8F"/>
    <w:rsid w:val="0001519E"/>
    <w:rsid w:val="000335C4"/>
    <w:rsid w:val="00072BEF"/>
    <w:rsid w:val="000C55CC"/>
    <w:rsid w:val="000D27DB"/>
    <w:rsid w:val="000F1F1C"/>
    <w:rsid w:val="000F32F6"/>
    <w:rsid w:val="0010005A"/>
    <w:rsid w:val="0011161A"/>
    <w:rsid w:val="00112AD4"/>
    <w:rsid w:val="00144491"/>
    <w:rsid w:val="00144B72"/>
    <w:rsid w:val="00145BCF"/>
    <w:rsid w:val="00171375"/>
    <w:rsid w:val="00173318"/>
    <w:rsid w:val="001912E4"/>
    <w:rsid w:val="001A4481"/>
    <w:rsid w:val="001B0694"/>
    <w:rsid w:val="001B6476"/>
    <w:rsid w:val="001C21D9"/>
    <w:rsid w:val="001C6B28"/>
    <w:rsid w:val="002201D0"/>
    <w:rsid w:val="00231150"/>
    <w:rsid w:val="00244939"/>
    <w:rsid w:val="0024777B"/>
    <w:rsid w:val="00272802"/>
    <w:rsid w:val="0028168C"/>
    <w:rsid w:val="002C305C"/>
    <w:rsid w:val="002D6D4B"/>
    <w:rsid w:val="003154DC"/>
    <w:rsid w:val="00327845"/>
    <w:rsid w:val="003372C9"/>
    <w:rsid w:val="00337434"/>
    <w:rsid w:val="003679E7"/>
    <w:rsid w:val="003D024D"/>
    <w:rsid w:val="0040070B"/>
    <w:rsid w:val="00454ACB"/>
    <w:rsid w:val="00484D60"/>
    <w:rsid w:val="004944B4"/>
    <w:rsid w:val="004A033F"/>
    <w:rsid w:val="004A5FDE"/>
    <w:rsid w:val="004C1517"/>
    <w:rsid w:val="004D09B8"/>
    <w:rsid w:val="004F0F2E"/>
    <w:rsid w:val="004F1C50"/>
    <w:rsid w:val="0053501D"/>
    <w:rsid w:val="00542ACB"/>
    <w:rsid w:val="005553FE"/>
    <w:rsid w:val="0056141A"/>
    <w:rsid w:val="00572555"/>
    <w:rsid w:val="00581226"/>
    <w:rsid w:val="0059429E"/>
    <w:rsid w:val="005C4B12"/>
    <w:rsid w:val="005D01A1"/>
    <w:rsid w:val="005E766B"/>
    <w:rsid w:val="005F7599"/>
    <w:rsid w:val="00637F32"/>
    <w:rsid w:val="00645F8F"/>
    <w:rsid w:val="00681CC2"/>
    <w:rsid w:val="006E1B8A"/>
    <w:rsid w:val="006F0FCA"/>
    <w:rsid w:val="007800F9"/>
    <w:rsid w:val="00797380"/>
    <w:rsid w:val="007A6639"/>
    <w:rsid w:val="007E7F68"/>
    <w:rsid w:val="008060D5"/>
    <w:rsid w:val="008356CE"/>
    <w:rsid w:val="008611B2"/>
    <w:rsid w:val="00886418"/>
    <w:rsid w:val="00893FF4"/>
    <w:rsid w:val="008A1AC0"/>
    <w:rsid w:val="008C3ABB"/>
    <w:rsid w:val="008F6481"/>
    <w:rsid w:val="00903E88"/>
    <w:rsid w:val="00942E2D"/>
    <w:rsid w:val="00947659"/>
    <w:rsid w:val="00955EC6"/>
    <w:rsid w:val="0096326A"/>
    <w:rsid w:val="00967B28"/>
    <w:rsid w:val="00975E3B"/>
    <w:rsid w:val="00993448"/>
    <w:rsid w:val="009B70AE"/>
    <w:rsid w:val="009D08BC"/>
    <w:rsid w:val="00A0306E"/>
    <w:rsid w:val="00A038E1"/>
    <w:rsid w:val="00A10BD9"/>
    <w:rsid w:val="00A200DC"/>
    <w:rsid w:val="00A4432D"/>
    <w:rsid w:val="00A609F0"/>
    <w:rsid w:val="00A65068"/>
    <w:rsid w:val="00A70F13"/>
    <w:rsid w:val="00A75B70"/>
    <w:rsid w:val="00A80D61"/>
    <w:rsid w:val="00A8186A"/>
    <w:rsid w:val="00A95B1C"/>
    <w:rsid w:val="00AD0B39"/>
    <w:rsid w:val="00AD2E3B"/>
    <w:rsid w:val="00AE52BF"/>
    <w:rsid w:val="00AF44AC"/>
    <w:rsid w:val="00B174F6"/>
    <w:rsid w:val="00B31D79"/>
    <w:rsid w:val="00B6067C"/>
    <w:rsid w:val="00B63475"/>
    <w:rsid w:val="00B66150"/>
    <w:rsid w:val="00BB4986"/>
    <w:rsid w:val="00BE7F0D"/>
    <w:rsid w:val="00C1167B"/>
    <w:rsid w:val="00C2717A"/>
    <w:rsid w:val="00C340A9"/>
    <w:rsid w:val="00C373E0"/>
    <w:rsid w:val="00C5719C"/>
    <w:rsid w:val="00C92BE6"/>
    <w:rsid w:val="00CA25E9"/>
    <w:rsid w:val="00CB3856"/>
    <w:rsid w:val="00CD3F34"/>
    <w:rsid w:val="00CD4F84"/>
    <w:rsid w:val="00CD68FD"/>
    <w:rsid w:val="00CE7E71"/>
    <w:rsid w:val="00CF1C53"/>
    <w:rsid w:val="00D116B2"/>
    <w:rsid w:val="00D21CE3"/>
    <w:rsid w:val="00D222E6"/>
    <w:rsid w:val="00D455A0"/>
    <w:rsid w:val="00D64D4A"/>
    <w:rsid w:val="00D64FEB"/>
    <w:rsid w:val="00D80A84"/>
    <w:rsid w:val="00D8354B"/>
    <w:rsid w:val="00DD5193"/>
    <w:rsid w:val="00E15E2F"/>
    <w:rsid w:val="00E16C9F"/>
    <w:rsid w:val="00E25F90"/>
    <w:rsid w:val="00E363E5"/>
    <w:rsid w:val="00E37491"/>
    <w:rsid w:val="00E65F14"/>
    <w:rsid w:val="00E864B4"/>
    <w:rsid w:val="00E91C60"/>
    <w:rsid w:val="00EA3BCC"/>
    <w:rsid w:val="00EB1F75"/>
    <w:rsid w:val="00EC63D9"/>
    <w:rsid w:val="00EF0BEF"/>
    <w:rsid w:val="00F005E2"/>
    <w:rsid w:val="00F10BCB"/>
    <w:rsid w:val="00F1363A"/>
    <w:rsid w:val="00F21749"/>
    <w:rsid w:val="00F22491"/>
    <w:rsid w:val="00F32D33"/>
    <w:rsid w:val="00F42835"/>
    <w:rsid w:val="00F7031E"/>
    <w:rsid w:val="00F758BF"/>
    <w:rsid w:val="00FC3CE6"/>
    <w:rsid w:val="00FD1239"/>
    <w:rsid w:val="00FD5B5A"/>
    <w:rsid w:val="00FE15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C9907"/>
  <w15:chartTrackingRefBased/>
  <w15:docId w15:val="{422D828A-A33F-4284-BB94-97BF80209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5F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5F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5F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5F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5F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5F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5F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5F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5F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5F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5F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5F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5F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5F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5F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5F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5F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5F8F"/>
    <w:rPr>
      <w:rFonts w:eastAsiaTheme="majorEastAsia" w:cstheme="majorBidi"/>
      <w:color w:val="272727" w:themeColor="text1" w:themeTint="D8"/>
    </w:rPr>
  </w:style>
  <w:style w:type="paragraph" w:styleId="Title">
    <w:name w:val="Title"/>
    <w:basedOn w:val="Normal"/>
    <w:next w:val="Normal"/>
    <w:link w:val="TitleChar"/>
    <w:uiPriority w:val="10"/>
    <w:qFormat/>
    <w:rsid w:val="00645F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5F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5F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5F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5F8F"/>
    <w:pPr>
      <w:spacing w:before="160"/>
      <w:jc w:val="center"/>
    </w:pPr>
    <w:rPr>
      <w:i/>
      <w:iCs/>
      <w:color w:val="404040" w:themeColor="text1" w:themeTint="BF"/>
    </w:rPr>
  </w:style>
  <w:style w:type="character" w:customStyle="1" w:styleId="QuoteChar">
    <w:name w:val="Quote Char"/>
    <w:basedOn w:val="DefaultParagraphFont"/>
    <w:link w:val="Quote"/>
    <w:uiPriority w:val="29"/>
    <w:rsid w:val="00645F8F"/>
    <w:rPr>
      <w:i/>
      <w:iCs/>
      <w:color w:val="404040" w:themeColor="text1" w:themeTint="BF"/>
    </w:rPr>
  </w:style>
  <w:style w:type="paragraph" w:styleId="ListParagraph">
    <w:name w:val="List Paragraph"/>
    <w:basedOn w:val="Normal"/>
    <w:uiPriority w:val="34"/>
    <w:qFormat/>
    <w:rsid w:val="00645F8F"/>
    <w:pPr>
      <w:ind w:left="720"/>
      <w:contextualSpacing/>
    </w:pPr>
  </w:style>
  <w:style w:type="character" w:styleId="IntenseEmphasis">
    <w:name w:val="Intense Emphasis"/>
    <w:basedOn w:val="DefaultParagraphFont"/>
    <w:uiPriority w:val="21"/>
    <w:qFormat/>
    <w:rsid w:val="00645F8F"/>
    <w:rPr>
      <w:i/>
      <w:iCs/>
      <w:color w:val="0F4761" w:themeColor="accent1" w:themeShade="BF"/>
    </w:rPr>
  </w:style>
  <w:style w:type="paragraph" w:styleId="IntenseQuote">
    <w:name w:val="Intense Quote"/>
    <w:basedOn w:val="Normal"/>
    <w:next w:val="Normal"/>
    <w:link w:val="IntenseQuoteChar"/>
    <w:uiPriority w:val="30"/>
    <w:qFormat/>
    <w:rsid w:val="00645F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5F8F"/>
    <w:rPr>
      <w:i/>
      <w:iCs/>
      <w:color w:val="0F4761" w:themeColor="accent1" w:themeShade="BF"/>
    </w:rPr>
  </w:style>
  <w:style w:type="character" w:styleId="IntenseReference">
    <w:name w:val="Intense Reference"/>
    <w:basedOn w:val="DefaultParagraphFont"/>
    <w:uiPriority w:val="32"/>
    <w:qFormat/>
    <w:rsid w:val="00645F8F"/>
    <w:rPr>
      <w:b/>
      <w:bCs/>
      <w:smallCaps/>
      <w:color w:val="0F4761" w:themeColor="accent1" w:themeShade="BF"/>
      <w:spacing w:val="5"/>
    </w:rPr>
  </w:style>
  <w:style w:type="paragraph" w:styleId="Header">
    <w:name w:val="header"/>
    <w:basedOn w:val="Normal"/>
    <w:link w:val="HeaderChar"/>
    <w:uiPriority w:val="99"/>
    <w:unhideWhenUsed/>
    <w:rsid w:val="000151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519E"/>
  </w:style>
  <w:style w:type="paragraph" w:styleId="Footer">
    <w:name w:val="footer"/>
    <w:basedOn w:val="Normal"/>
    <w:link w:val="FooterChar"/>
    <w:uiPriority w:val="99"/>
    <w:unhideWhenUsed/>
    <w:rsid w:val="000151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51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229666">
      <w:bodyDiv w:val="1"/>
      <w:marLeft w:val="0"/>
      <w:marRight w:val="0"/>
      <w:marTop w:val="0"/>
      <w:marBottom w:val="0"/>
      <w:divBdr>
        <w:top w:val="none" w:sz="0" w:space="0" w:color="auto"/>
        <w:left w:val="none" w:sz="0" w:space="0" w:color="auto"/>
        <w:bottom w:val="none" w:sz="0" w:space="0" w:color="auto"/>
        <w:right w:val="none" w:sz="0" w:space="0" w:color="auto"/>
      </w:divBdr>
    </w:div>
    <w:div w:id="806701467">
      <w:bodyDiv w:val="1"/>
      <w:marLeft w:val="0"/>
      <w:marRight w:val="0"/>
      <w:marTop w:val="0"/>
      <w:marBottom w:val="0"/>
      <w:divBdr>
        <w:top w:val="none" w:sz="0" w:space="0" w:color="auto"/>
        <w:left w:val="none" w:sz="0" w:space="0" w:color="auto"/>
        <w:bottom w:val="none" w:sz="0" w:space="0" w:color="auto"/>
        <w:right w:val="none" w:sz="0" w:space="0" w:color="auto"/>
      </w:divBdr>
    </w:div>
    <w:div w:id="1207717896">
      <w:bodyDiv w:val="1"/>
      <w:marLeft w:val="0"/>
      <w:marRight w:val="0"/>
      <w:marTop w:val="0"/>
      <w:marBottom w:val="0"/>
      <w:divBdr>
        <w:top w:val="none" w:sz="0" w:space="0" w:color="auto"/>
        <w:left w:val="none" w:sz="0" w:space="0" w:color="auto"/>
        <w:bottom w:val="none" w:sz="0" w:space="0" w:color="auto"/>
        <w:right w:val="none" w:sz="0" w:space="0" w:color="auto"/>
      </w:divBdr>
    </w:div>
    <w:div w:id="1813254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442</Words>
  <Characters>2523</Characters>
  <Application>Microsoft Office Word</Application>
  <DocSecurity>0</DocSecurity>
  <Lines>21</Lines>
  <Paragraphs>5</Paragraphs>
  <ScaleCrop>false</ScaleCrop>
  <Company/>
  <LinksUpToDate>false</LinksUpToDate>
  <CharactersWithSpaces>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Brindle</dc:creator>
  <cp:keywords/>
  <dc:description/>
  <cp:lastModifiedBy>Devin Brindle</cp:lastModifiedBy>
  <cp:revision>3</cp:revision>
  <dcterms:created xsi:type="dcterms:W3CDTF">2025-02-02T16:02:00Z</dcterms:created>
  <dcterms:modified xsi:type="dcterms:W3CDTF">2025-02-02T16:03:00Z</dcterms:modified>
</cp:coreProperties>
</file>