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2931C" w14:textId="1221BB3D" w:rsidR="00B93A14" w:rsidRPr="00872526" w:rsidRDefault="00156BF8" w:rsidP="00872526">
      <w:pPr>
        <w:spacing w:line="360" w:lineRule="auto"/>
        <w:jc w:val="center"/>
        <w:rPr>
          <w:rFonts w:ascii="Times New Roman" w:hAnsi="Times New Roman" w:cs="Times New Roman"/>
          <w:b/>
          <w:bCs/>
          <w:sz w:val="28"/>
          <w:szCs w:val="28"/>
        </w:rPr>
      </w:pPr>
      <w:r w:rsidRPr="00872526">
        <w:rPr>
          <w:rFonts w:ascii="Times New Roman" w:hAnsi="Times New Roman" w:cs="Times New Roman"/>
          <w:b/>
          <w:bCs/>
          <w:sz w:val="28"/>
          <w:szCs w:val="28"/>
        </w:rPr>
        <w:t xml:space="preserve">Portland, OR Housing &amp; Affordability </w:t>
      </w:r>
      <w:r w:rsidR="00872526" w:rsidRPr="00872526">
        <w:rPr>
          <w:rFonts w:ascii="Times New Roman" w:hAnsi="Times New Roman" w:cs="Times New Roman"/>
          <w:b/>
          <w:bCs/>
          <w:sz w:val="28"/>
          <w:szCs w:val="28"/>
        </w:rPr>
        <w:t>2019-2023</w:t>
      </w:r>
    </w:p>
    <w:p w14:paraId="43826F90" w14:textId="77777777" w:rsidR="00B93A14" w:rsidRPr="00B93A14" w:rsidRDefault="00B93A14" w:rsidP="00B93A14">
      <w:pPr>
        <w:spacing w:line="360" w:lineRule="auto"/>
        <w:ind w:firstLine="720"/>
        <w:rPr>
          <w:rFonts w:ascii="Times New Roman" w:hAnsi="Times New Roman" w:cs="Times New Roman"/>
        </w:rPr>
      </w:pPr>
      <w:r w:rsidRPr="00B93A14">
        <w:rPr>
          <w:rFonts w:ascii="Times New Roman" w:hAnsi="Times New Roman" w:cs="Times New Roman"/>
        </w:rPr>
        <w:t>By focusing on the most recent publicly available data from 2019 to 2023, we aim to better visualize and comprehend the trends impacting the affordability crisis in Portland, Oregon’s three most populated counties: Clackamas, Multnomah, and Washington. To address this, we examine several key questions regarding affordability, including how median home values have changed with an emphasis on subdivisions, whether mortgage rates and housing supply affect home values, and how rental affordability has shifted relative to changes in income. Through this analysis, we seek to gain a clearer understanding of the affordability crisis and determine whether it is worsening.</w:t>
      </w:r>
    </w:p>
    <w:p w14:paraId="7DFED1B5" w14:textId="77777777" w:rsidR="00B93A14" w:rsidRPr="00B93A14" w:rsidRDefault="00B93A14" w:rsidP="00B93A14">
      <w:pPr>
        <w:spacing w:line="360" w:lineRule="auto"/>
        <w:ind w:firstLine="720"/>
        <w:rPr>
          <w:rFonts w:ascii="Times New Roman" w:hAnsi="Times New Roman" w:cs="Times New Roman"/>
        </w:rPr>
      </w:pPr>
      <w:r w:rsidRPr="00B93A14">
        <w:rPr>
          <w:rFonts w:ascii="Times New Roman" w:hAnsi="Times New Roman" w:cs="Times New Roman"/>
        </w:rPr>
        <w:t>Regarding housing values in specific subdivisions, between 2019 and 2023, home values in the Portland Metro Area increased significantly, with notable spikes observed between 2021 and 2022. Skyline, Portland West, and Wilsonville emerged as the most expensive areas, with Skyline reaching a median home value of $780,100 in 2023. Rapid price growth in Yoder, Estacada, and Mulino also contributed to reduced affordability in these regions. As home prices surged, affordability declined across the region, reflected in rising home value-to-income ratios. Skyline, Estacada, and Portland West reported the highest ratios, exceeding 7.0 in recent years, while Sandy, Molalla, and the Coast Range maintained relatively lower ratios around or below 5.0, indicating better affordability in those areas.</w:t>
      </w:r>
    </w:p>
    <w:p w14:paraId="33C00A43" w14:textId="77777777" w:rsidR="00B93A14" w:rsidRPr="00B93A14" w:rsidRDefault="00B93A14" w:rsidP="00B93A14">
      <w:pPr>
        <w:spacing w:line="360" w:lineRule="auto"/>
        <w:ind w:firstLine="720"/>
        <w:rPr>
          <w:rFonts w:ascii="Times New Roman" w:hAnsi="Times New Roman" w:cs="Times New Roman"/>
        </w:rPr>
      </w:pPr>
      <w:r w:rsidRPr="00B93A14">
        <w:rPr>
          <w:rFonts w:ascii="Times New Roman" w:hAnsi="Times New Roman" w:cs="Times New Roman"/>
        </w:rPr>
        <w:t xml:space="preserve">This surge in housing costs can be partially explained by analyzing the impact of mortgage rates on home values. A Pearson correlation analysis reveals a strong positive correlation (r &gt; 0.83) and high R² values (~70-75%), indicating that mortgage rates significantly influenced home prices. Interestingly, home values continued to rise despite increasing mortgage rates, suggesting additional factors such as low housing inventory and strong demand played a role. Further analysis of </w:t>
      </w:r>
      <w:proofErr w:type="gramStart"/>
      <w:r w:rsidRPr="00B93A14">
        <w:rPr>
          <w:rFonts w:ascii="Times New Roman" w:hAnsi="Times New Roman" w:cs="Times New Roman"/>
        </w:rPr>
        <w:t>housing</w:t>
      </w:r>
      <w:proofErr w:type="gramEnd"/>
      <w:r w:rsidRPr="00B93A14">
        <w:rPr>
          <w:rFonts w:ascii="Times New Roman" w:hAnsi="Times New Roman" w:cs="Times New Roman"/>
        </w:rPr>
        <w:t xml:space="preserve"> supply's influence on home values showed varied impacts across counties. In Clackamas and Multnomah Counties, strong negative correlations (r = -0.8035 and r = -0.7952, respectively) suggest that decreasing housing supply significantly drove up home prices. Conversely, Washington County exhibited a weak negative correlation (r = -0.2353), implying other economic or demographic factors may play a more prominent role in its housing market dynamics.</w:t>
      </w:r>
    </w:p>
    <w:p w14:paraId="69566967" w14:textId="77777777" w:rsidR="00B93A14" w:rsidRPr="00B93A14" w:rsidRDefault="00B93A14" w:rsidP="00B93A14">
      <w:pPr>
        <w:spacing w:line="360" w:lineRule="auto"/>
        <w:ind w:firstLine="720"/>
        <w:rPr>
          <w:rFonts w:ascii="Times New Roman" w:hAnsi="Times New Roman" w:cs="Times New Roman"/>
        </w:rPr>
      </w:pPr>
      <w:r w:rsidRPr="00B93A14">
        <w:rPr>
          <w:rFonts w:ascii="Times New Roman" w:hAnsi="Times New Roman" w:cs="Times New Roman"/>
        </w:rPr>
        <w:lastRenderedPageBreak/>
        <w:t xml:space="preserve">Regarding rental affordability, the </w:t>
      </w:r>
      <w:proofErr w:type="gramStart"/>
      <w:r w:rsidRPr="00B93A14">
        <w:rPr>
          <w:rFonts w:ascii="Times New Roman" w:hAnsi="Times New Roman" w:cs="Times New Roman"/>
        </w:rPr>
        <w:t>general consensus</w:t>
      </w:r>
      <w:proofErr w:type="gramEnd"/>
      <w:r w:rsidRPr="00B93A14">
        <w:rPr>
          <w:rFonts w:ascii="Times New Roman" w:hAnsi="Times New Roman" w:cs="Times New Roman"/>
        </w:rPr>
        <w:t xml:space="preserve"> is that spending over 30% of total income on rent is considered unaffordable (Herbert, Hermann, &amp; McCue, 2018). By calculating median annual rent as a percentage of annual median income and comparing this ratio to the 30% threshold, we derive an affordability ratio, where percentages closer to 100% indicate lower affordability. In Multnomah County, affordability worsened from 71.5% in 2019 to 73.4% in 2023, reflecting a 1.9% decrease in affordability over five years. Clackamas County experienced the sharpest decline, with a 3.1% drop, though it remained the most affordable county at 67.5%. Washington County saw a 1.8% decrease in affordability, reaching 67.9% by 2023. Although all counties remain within the affordable rent threshold, trends indicate that rent is becoming less affordable over time.</w:t>
      </w:r>
    </w:p>
    <w:p w14:paraId="3142C503" w14:textId="3AF1B2F3" w:rsidR="00F75AE3" w:rsidRPr="00B93A14" w:rsidRDefault="00B93A14" w:rsidP="00F75AE3">
      <w:pPr>
        <w:spacing w:line="360" w:lineRule="auto"/>
        <w:ind w:firstLine="720"/>
        <w:rPr>
          <w:rFonts w:ascii="Times New Roman" w:hAnsi="Times New Roman" w:cs="Times New Roman"/>
        </w:rPr>
      </w:pPr>
      <w:r>
        <w:rPr>
          <w:rFonts w:ascii="Times New Roman" w:hAnsi="Times New Roman" w:cs="Times New Roman"/>
        </w:rPr>
        <w:t>In conclusion, t</w:t>
      </w:r>
      <w:r w:rsidRPr="00B93A14">
        <w:rPr>
          <w:rFonts w:ascii="Times New Roman" w:hAnsi="Times New Roman" w:cs="Times New Roman"/>
        </w:rPr>
        <w:t>he Portland Metro Area has experienced a marked decline in housing affordability from 2019 to 2023, driven by rising home values, increasing mortgage rates, and escalating rental costs. While home prices surged notably in certain subdivisions, factors such as limited housing inventory and strong demand further intensified affordability challenges. Despite the strong correlation between mortgage rates and home values, persistent price increases underscore the influence of broader economic forces. Rental affordability has also declined, with income growth failing to keep pace with rising rents, particularly in Multnomah and Clackamas Counties. Although affordability metrics remain within standard thresholds, the consistent downward trend suggests that without targeted interventions to address housing supply, income disparities, and market pressures, the affordability crisis in Portland’s most populated counties will likely continue to worsen.</w:t>
      </w:r>
    </w:p>
    <w:p w14:paraId="4B237CA3" w14:textId="77777777" w:rsidR="00B93A14" w:rsidRPr="00B93A14" w:rsidRDefault="00B93A14" w:rsidP="00B93A14">
      <w:pPr>
        <w:spacing w:line="360" w:lineRule="auto"/>
        <w:rPr>
          <w:rFonts w:ascii="Times New Roman" w:hAnsi="Times New Roman" w:cs="Times New Roman"/>
        </w:rPr>
      </w:pPr>
      <w:r w:rsidRPr="00B93A14">
        <w:rPr>
          <w:rFonts w:ascii="Times New Roman" w:hAnsi="Times New Roman" w:cs="Times New Roman"/>
        </w:rPr>
        <w:t>References:</w:t>
      </w:r>
    </w:p>
    <w:p w14:paraId="7AEF4994" w14:textId="44B23300" w:rsidR="00985BDF" w:rsidRPr="00B93A14" w:rsidRDefault="00B93A14" w:rsidP="00B93A14">
      <w:pPr>
        <w:spacing w:line="360" w:lineRule="auto"/>
        <w:rPr>
          <w:rFonts w:ascii="Times New Roman" w:hAnsi="Times New Roman" w:cs="Times New Roman"/>
        </w:rPr>
      </w:pPr>
      <w:r w:rsidRPr="00B93A14">
        <w:rPr>
          <w:rFonts w:ascii="Times New Roman" w:hAnsi="Times New Roman" w:cs="Times New Roman"/>
        </w:rPr>
        <w:t xml:space="preserve">Herbert, C. E., Hermann, A., &amp; McCue, D. (2018). </w:t>
      </w:r>
      <w:r w:rsidRPr="00B93A14">
        <w:rPr>
          <w:rFonts w:ascii="Times New Roman" w:hAnsi="Times New Roman" w:cs="Times New Roman"/>
          <w:i/>
          <w:iCs/>
        </w:rPr>
        <w:t xml:space="preserve">Measuring housing affordability: Assessing the 30 </w:t>
      </w:r>
      <w:proofErr w:type="gramStart"/>
      <w:r w:rsidRPr="00B93A14">
        <w:rPr>
          <w:rFonts w:ascii="Times New Roman" w:hAnsi="Times New Roman" w:cs="Times New Roman"/>
          <w:i/>
          <w:iCs/>
        </w:rPr>
        <w:t>percent of</w:t>
      </w:r>
      <w:proofErr w:type="gramEnd"/>
      <w:r w:rsidRPr="00B93A14">
        <w:rPr>
          <w:rFonts w:ascii="Times New Roman" w:hAnsi="Times New Roman" w:cs="Times New Roman"/>
          <w:i/>
          <w:iCs/>
        </w:rPr>
        <w:t xml:space="preserve"> income standard</w:t>
      </w:r>
      <w:r w:rsidRPr="00B93A14">
        <w:rPr>
          <w:rFonts w:ascii="Times New Roman" w:hAnsi="Times New Roman" w:cs="Times New Roman"/>
        </w:rPr>
        <w:t xml:space="preserve"> (Working Paper). Joint Center for Housing Studies </w:t>
      </w:r>
      <w:proofErr w:type="gramStart"/>
      <w:r w:rsidRPr="00B93A14">
        <w:rPr>
          <w:rFonts w:ascii="Times New Roman" w:hAnsi="Times New Roman" w:cs="Times New Roman"/>
        </w:rPr>
        <w:t>of</w:t>
      </w:r>
      <w:proofErr w:type="gramEnd"/>
      <w:r w:rsidRPr="00B93A14">
        <w:rPr>
          <w:rFonts w:ascii="Times New Roman" w:hAnsi="Times New Roman" w:cs="Times New Roman"/>
        </w:rPr>
        <w:t xml:space="preserve"> Harvard University. https://www.jchs.harvard.edu/sites/default/files/Harvard_JCHS_Herbert_Hermann_McCue_measuring_housing_affordability.pdf</w:t>
      </w:r>
    </w:p>
    <w:sectPr w:rsidR="00985BDF" w:rsidRPr="00B93A1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F1488" w14:textId="77777777" w:rsidR="00AF2834" w:rsidRDefault="00AF2834" w:rsidP="00B73B68">
      <w:pPr>
        <w:spacing w:after="0" w:line="240" w:lineRule="auto"/>
      </w:pPr>
      <w:r>
        <w:separator/>
      </w:r>
    </w:p>
  </w:endnote>
  <w:endnote w:type="continuationSeparator" w:id="0">
    <w:p w14:paraId="6A08B327" w14:textId="77777777" w:rsidR="00AF2834" w:rsidRDefault="00AF2834" w:rsidP="00B7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6846917"/>
      <w:docPartObj>
        <w:docPartGallery w:val="Page Numbers (Bottom of Page)"/>
        <w:docPartUnique/>
      </w:docPartObj>
    </w:sdtPr>
    <w:sdtEndPr>
      <w:rPr>
        <w:noProof/>
      </w:rPr>
    </w:sdtEndPr>
    <w:sdtContent>
      <w:p w14:paraId="719BF65E" w14:textId="5A55FD4E" w:rsidR="005F6132" w:rsidRDefault="005F6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BF2A5" w14:textId="77777777" w:rsidR="005F6132" w:rsidRDefault="005F6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490CE" w14:textId="77777777" w:rsidR="00AF2834" w:rsidRDefault="00AF2834" w:rsidP="00B73B68">
      <w:pPr>
        <w:spacing w:after="0" w:line="240" w:lineRule="auto"/>
      </w:pPr>
      <w:r>
        <w:separator/>
      </w:r>
    </w:p>
  </w:footnote>
  <w:footnote w:type="continuationSeparator" w:id="0">
    <w:p w14:paraId="6A988A6A" w14:textId="77777777" w:rsidR="00AF2834" w:rsidRDefault="00AF2834" w:rsidP="00B73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28A7F" w14:textId="1556806E" w:rsidR="00B73B68" w:rsidRPr="008D3700" w:rsidRDefault="00596143">
    <w:pPr>
      <w:pStyle w:val="Header"/>
      <w:rPr>
        <w:rFonts w:ascii="Times New Roman" w:hAnsi="Times New Roman" w:cs="Times New Roman"/>
        <w:sz w:val="20"/>
        <w:szCs w:val="20"/>
      </w:rPr>
    </w:pPr>
    <w:r w:rsidRPr="008D3700">
      <w:rPr>
        <w:rFonts w:ascii="Times New Roman" w:hAnsi="Times New Roman" w:cs="Times New Roman"/>
        <w:sz w:val="20"/>
        <w:szCs w:val="20"/>
      </w:rPr>
      <w:t xml:space="preserve">Group 2: </w:t>
    </w:r>
    <w:r w:rsidR="00801989" w:rsidRPr="008D3700">
      <w:rPr>
        <w:rFonts w:ascii="Times New Roman" w:hAnsi="Times New Roman" w:cs="Times New Roman"/>
        <w:sz w:val="20"/>
        <w:szCs w:val="20"/>
      </w:rPr>
      <w:t>Devin Brindle</w:t>
    </w:r>
    <w:r w:rsidR="00AF3DA0" w:rsidRPr="008D3700">
      <w:rPr>
        <w:rFonts w:ascii="Times New Roman" w:hAnsi="Times New Roman" w:cs="Times New Roman"/>
        <w:sz w:val="20"/>
        <w:szCs w:val="20"/>
      </w:rPr>
      <w:t>,</w:t>
    </w:r>
    <w:r w:rsidR="00801989" w:rsidRPr="008D3700">
      <w:rPr>
        <w:rFonts w:ascii="Times New Roman" w:hAnsi="Times New Roman" w:cs="Times New Roman"/>
        <w:sz w:val="20"/>
        <w:szCs w:val="20"/>
      </w:rPr>
      <w:t xml:space="preserve"> Asres Dagnew</w:t>
    </w:r>
    <w:r w:rsidR="00AF3DA0" w:rsidRPr="008D3700">
      <w:rPr>
        <w:rFonts w:ascii="Times New Roman" w:hAnsi="Times New Roman" w:cs="Times New Roman"/>
        <w:sz w:val="20"/>
        <w:szCs w:val="20"/>
      </w:rPr>
      <w:t xml:space="preserve">, </w:t>
    </w:r>
    <w:r w:rsidR="00D9098D" w:rsidRPr="008D3700">
      <w:rPr>
        <w:rFonts w:ascii="Times New Roman" w:hAnsi="Times New Roman" w:cs="Times New Roman"/>
        <w:sz w:val="20"/>
        <w:szCs w:val="20"/>
      </w:rPr>
      <w:t>Iyer Megan, Forrest Margulies</w:t>
    </w:r>
    <w:r w:rsidR="00AF3DA0" w:rsidRPr="008D3700">
      <w:rPr>
        <w:rFonts w:ascii="Times New Roman" w:hAnsi="Times New Roman" w:cs="Times New Roman"/>
        <w:sz w:val="20"/>
        <w:szCs w:val="20"/>
      </w:rPr>
      <w:tab/>
    </w:r>
  </w:p>
  <w:p w14:paraId="2B8C40A1" w14:textId="514B61E6" w:rsidR="00E16CFE" w:rsidRPr="008D3700" w:rsidRDefault="00AF55D5">
    <w:pPr>
      <w:pStyle w:val="Header"/>
      <w:rPr>
        <w:rFonts w:ascii="Times New Roman" w:hAnsi="Times New Roman" w:cs="Times New Roman"/>
        <w:sz w:val="20"/>
        <w:szCs w:val="20"/>
      </w:rPr>
    </w:pPr>
    <w:r w:rsidRPr="008D3700">
      <w:rPr>
        <w:rFonts w:ascii="Times New Roman" w:hAnsi="Times New Roman" w:cs="Times New Roman"/>
        <w:sz w:val="20"/>
        <w:szCs w:val="20"/>
      </w:rPr>
      <w:t>Paul</w:t>
    </w:r>
    <w:r w:rsidR="007A0DF0" w:rsidRPr="008D3700">
      <w:rPr>
        <w:rFonts w:ascii="Times New Roman" w:hAnsi="Times New Roman" w:cs="Times New Roman"/>
        <w:sz w:val="20"/>
        <w:szCs w:val="20"/>
      </w:rPr>
      <w:t xml:space="preserve"> Arias</w:t>
    </w:r>
    <w:r w:rsidRPr="008D3700">
      <w:rPr>
        <w:rFonts w:ascii="Times New Roman" w:hAnsi="Times New Roman" w:cs="Times New Roman"/>
        <w:sz w:val="20"/>
        <w:szCs w:val="20"/>
      </w:rPr>
      <w:t>, Brian</w:t>
    </w:r>
    <w:r w:rsidR="007A0DF0" w:rsidRPr="008D3700">
      <w:rPr>
        <w:rFonts w:ascii="Times New Roman" w:hAnsi="Times New Roman" w:cs="Times New Roman"/>
        <w:sz w:val="20"/>
        <w:szCs w:val="20"/>
      </w:rPr>
      <w:t xml:space="preserve"> Perry</w:t>
    </w:r>
  </w:p>
  <w:p w14:paraId="2F5D3A72" w14:textId="5E6A36FD" w:rsidR="00AF55D5" w:rsidRPr="008D3700" w:rsidRDefault="007A0DF0">
    <w:pPr>
      <w:pStyle w:val="Header"/>
      <w:rPr>
        <w:rFonts w:ascii="Times New Roman" w:hAnsi="Times New Roman" w:cs="Times New Roman"/>
        <w:sz w:val="20"/>
        <w:szCs w:val="20"/>
      </w:rPr>
    </w:pPr>
    <w:r w:rsidRPr="008D3700">
      <w:rPr>
        <w:rFonts w:ascii="Times New Roman" w:hAnsi="Times New Roman" w:cs="Times New Roman"/>
        <w:sz w:val="20"/>
        <w:szCs w:val="20"/>
      </w:rPr>
      <w:t>Data-PT-West-December-120224-MTTH-CONS</w:t>
    </w:r>
  </w:p>
  <w:p w14:paraId="54BAA475" w14:textId="46F73609" w:rsidR="00AF55D5" w:rsidRPr="008D3700" w:rsidRDefault="00D2108D">
    <w:pPr>
      <w:pStyle w:val="Header"/>
      <w:rPr>
        <w:rFonts w:ascii="Times New Roman" w:hAnsi="Times New Roman" w:cs="Times New Roman"/>
        <w:sz w:val="20"/>
        <w:szCs w:val="20"/>
      </w:rPr>
    </w:pPr>
    <w:r w:rsidRPr="008D3700">
      <w:rPr>
        <w:rFonts w:ascii="Times New Roman" w:hAnsi="Times New Roman" w:cs="Times New Roman"/>
        <w:sz w:val="20"/>
        <w:szCs w:val="20"/>
      </w:rPr>
      <w:t xml:space="preserve">02 </w:t>
    </w:r>
    <w:r w:rsidR="00AF55D5" w:rsidRPr="008D3700">
      <w:rPr>
        <w:rFonts w:ascii="Times New Roman" w:hAnsi="Times New Roman" w:cs="Times New Roman"/>
        <w:sz w:val="20"/>
        <w:szCs w:val="20"/>
      </w:rPr>
      <w:t>February</w:t>
    </w:r>
    <w:r w:rsidRPr="008D3700">
      <w:rPr>
        <w:rFonts w:ascii="Times New Roman" w:hAnsi="Times New Roman" w:cs="Times New Roman"/>
        <w:sz w:val="20"/>
        <w:szCs w:val="20"/>
      </w:rPr>
      <w:t xml:space="preserve">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B9"/>
    <w:rsid w:val="00007101"/>
    <w:rsid w:val="00042F87"/>
    <w:rsid w:val="000451F2"/>
    <w:rsid w:val="000649AC"/>
    <w:rsid w:val="000835EB"/>
    <w:rsid w:val="000840BD"/>
    <w:rsid w:val="000975BC"/>
    <w:rsid w:val="000A6759"/>
    <w:rsid w:val="000C5A77"/>
    <w:rsid w:val="000D3180"/>
    <w:rsid w:val="000D4925"/>
    <w:rsid w:val="000E3759"/>
    <w:rsid w:val="000F4A45"/>
    <w:rsid w:val="00100C7C"/>
    <w:rsid w:val="00142AA2"/>
    <w:rsid w:val="00152435"/>
    <w:rsid w:val="00152438"/>
    <w:rsid w:val="00156BF8"/>
    <w:rsid w:val="001735B3"/>
    <w:rsid w:val="00193A5F"/>
    <w:rsid w:val="001C693F"/>
    <w:rsid w:val="001D0B89"/>
    <w:rsid w:val="001E55E8"/>
    <w:rsid w:val="001F465F"/>
    <w:rsid w:val="001F6FEC"/>
    <w:rsid w:val="001F7F89"/>
    <w:rsid w:val="002131A7"/>
    <w:rsid w:val="0021679E"/>
    <w:rsid w:val="00225C86"/>
    <w:rsid w:val="0024507F"/>
    <w:rsid w:val="00253C4F"/>
    <w:rsid w:val="002635D9"/>
    <w:rsid w:val="00276CFD"/>
    <w:rsid w:val="00292ED0"/>
    <w:rsid w:val="002C599E"/>
    <w:rsid w:val="002D2EA3"/>
    <w:rsid w:val="0030736E"/>
    <w:rsid w:val="003166CB"/>
    <w:rsid w:val="003171A0"/>
    <w:rsid w:val="00342F04"/>
    <w:rsid w:val="00344694"/>
    <w:rsid w:val="00361BA0"/>
    <w:rsid w:val="00361E00"/>
    <w:rsid w:val="00375411"/>
    <w:rsid w:val="003A3616"/>
    <w:rsid w:val="003A524C"/>
    <w:rsid w:val="003B788C"/>
    <w:rsid w:val="003C0090"/>
    <w:rsid w:val="003C15A4"/>
    <w:rsid w:val="003D7D2B"/>
    <w:rsid w:val="003E216B"/>
    <w:rsid w:val="003E67B1"/>
    <w:rsid w:val="003F6631"/>
    <w:rsid w:val="003F746D"/>
    <w:rsid w:val="00407945"/>
    <w:rsid w:val="00453AC9"/>
    <w:rsid w:val="00455DAA"/>
    <w:rsid w:val="00465B8B"/>
    <w:rsid w:val="004860FF"/>
    <w:rsid w:val="004B79B0"/>
    <w:rsid w:val="004D31D9"/>
    <w:rsid w:val="004E79FC"/>
    <w:rsid w:val="00505199"/>
    <w:rsid w:val="00512F24"/>
    <w:rsid w:val="00554731"/>
    <w:rsid w:val="00576774"/>
    <w:rsid w:val="00583709"/>
    <w:rsid w:val="005847FE"/>
    <w:rsid w:val="00593A3B"/>
    <w:rsid w:val="00596143"/>
    <w:rsid w:val="005A31FF"/>
    <w:rsid w:val="005C1F42"/>
    <w:rsid w:val="005E208E"/>
    <w:rsid w:val="005E3491"/>
    <w:rsid w:val="005E416C"/>
    <w:rsid w:val="005F6132"/>
    <w:rsid w:val="006066FF"/>
    <w:rsid w:val="006459E3"/>
    <w:rsid w:val="00662350"/>
    <w:rsid w:val="00664D5F"/>
    <w:rsid w:val="00681D97"/>
    <w:rsid w:val="006F4F3F"/>
    <w:rsid w:val="006F55C2"/>
    <w:rsid w:val="00742CE0"/>
    <w:rsid w:val="0075795F"/>
    <w:rsid w:val="00766692"/>
    <w:rsid w:val="00781265"/>
    <w:rsid w:val="007824DD"/>
    <w:rsid w:val="00787659"/>
    <w:rsid w:val="007905AA"/>
    <w:rsid w:val="007A0DF0"/>
    <w:rsid w:val="007D1B04"/>
    <w:rsid w:val="007D2EE8"/>
    <w:rsid w:val="007F753E"/>
    <w:rsid w:val="00801989"/>
    <w:rsid w:val="00814B16"/>
    <w:rsid w:val="00857263"/>
    <w:rsid w:val="00872526"/>
    <w:rsid w:val="00893CC5"/>
    <w:rsid w:val="008A42C8"/>
    <w:rsid w:val="008B6AA4"/>
    <w:rsid w:val="008D3700"/>
    <w:rsid w:val="00900A0E"/>
    <w:rsid w:val="00906443"/>
    <w:rsid w:val="00912AF2"/>
    <w:rsid w:val="00926D19"/>
    <w:rsid w:val="00985BDF"/>
    <w:rsid w:val="00987EC8"/>
    <w:rsid w:val="00990724"/>
    <w:rsid w:val="00992AF4"/>
    <w:rsid w:val="00993F5B"/>
    <w:rsid w:val="009A7D6C"/>
    <w:rsid w:val="009C3484"/>
    <w:rsid w:val="00A02D30"/>
    <w:rsid w:val="00A23B6B"/>
    <w:rsid w:val="00A25814"/>
    <w:rsid w:val="00AC0B01"/>
    <w:rsid w:val="00AC79AD"/>
    <w:rsid w:val="00AD5A7C"/>
    <w:rsid w:val="00AE055C"/>
    <w:rsid w:val="00AE69FD"/>
    <w:rsid w:val="00AE6D85"/>
    <w:rsid w:val="00AF20B9"/>
    <w:rsid w:val="00AF2834"/>
    <w:rsid w:val="00AF378A"/>
    <w:rsid w:val="00AF3DA0"/>
    <w:rsid w:val="00AF55D5"/>
    <w:rsid w:val="00AF57C3"/>
    <w:rsid w:val="00B05194"/>
    <w:rsid w:val="00B1161F"/>
    <w:rsid w:val="00B251B4"/>
    <w:rsid w:val="00B44B06"/>
    <w:rsid w:val="00B73B68"/>
    <w:rsid w:val="00B7678F"/>
    <w:rsid w:val="00B93A14"/>
    <w:rsid w:val="00BA1F69"/>
    <w:rsid w:val="00BB5265"/>
    <w:rsid w:val="00C07CFD"/>
    <w:rsid w:val="00C705BB"/>
    <w:rsid w:val="00C7688D"/>
    <w:rsid w:val="00C76C1A"/>
    <w:rsid w:val="00C77DB9"/>
    <w:rsid w:val="00C8198E"/>
    <w:rsid w:val="00C82551"/>
    <w:rsid w:val="00CA188D"/>
    <w:rsid w:val="00CA5A90"/>
    <w:rsid w:val="00CB5CA6"/>
    <w:rsid w:val="00D05A29"/>
    <w:rsid w:val="00D13759"/>
    <w:rsid w:val="00D159CC"/>
    <w:rsid w:val="00D2108D"/>
    <w:rsid w:val="00D256C2"/>
    <w:rsid w:val="00D3544B"/>
    <w:rsid w:val="00D571D0"/>
    <w:rsid w:val="00D64B8B"/>
    <w:rsid w:val="00D843B9"/>
    <w:rsid w:val="00D9098D"/>
    <w:rsid w:val="00D97BA8"/>
    <w:rsid w:val="00DC4599"/>
    <w:rsid w:val="00DD31BA"/>
    <w:rsid w:val="00DD3B81"/>
    <w:rsid w:val="00E06A66"/>
    <w:rsid w:val="00E10AD7"/>
    <w:rsid w:val="00E12A91"/>
    <w:rsid w:val="00E16CFE"/>
    <w:rsid w:val="00E33CA0"/>
    <w:rsid w:val="00E42D31"/>
    <w:rsid w:val="00E54A5A"/>
    <w:rsid w:val="00E87DD1"/>
    <w:rsid w:val="00E910B0"/>
    <w:rsid w:val="00EA3DC1"/>
    <w:rsid w:val="00EC7E81"/>
    <w:rsid w:val="00F0534D"/>
    <w:rsid w:val="00F07A44"/>
    <w:rsid w:val="00F23657"/>
    <w:rsid w:val="00F40438"/>
    <w:rsid w:val="00F752C4"/>
    <w:rsid w:val="00F75AE3"/>
    <w:rsid w:val="00F97E7C"/>
    <w:rsid w:val="00FD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A9E4"/>
  <w15:chartTrackingRefBased/>
  <w15:docId w15:val="{D3DE280D-A671-40A2-96B4-80AC8E1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0B9"/>
    <w:rPr>
      <w:rFonts w:eastAsiaTheme="majorEastAsia" w:cstheme="majorBidi"/>
      <w:color w:val="272727" w:themeColor="text1" w:themeTint="D8"/>
    </w:rPr>
  </w:style>
  <w:style w:type="paragraph" w:styleId="Title">
    <w:name w:val="Title"/>
    <w:basedOn w:val="Normal"/>
    <w:next w:val="Normal"/>
    <w:link w:val="TitleChar"/>
    <w:uiPriority w:val="10"/>
    <w:qFormat/>
    <w:rsid w:val="00AF2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0B9"/>
    <w:pPr>
      <w:spacing w:before="160"/>
      <w:jc w:val="center"/>
    </w:pPr>
    <w:rPr>
      <w:i/>
      <w:iCs/>
      <w:color w:val="404040" w:themeColor="text1" w:themeTint="BF"/>
    </w:rPr>
  </w:style>
  <w:style w:type="character" w:customStyle="1" w:styleId="QuoteChar">
    <w:name w:val="Quote Char"/>
    <w:basedOn w:val="DefaultParagraphFont"/>
    <w:link w:val="Quote"/>
    <w:uiPriority w:val="29"/>
    <w:rsid w:val="00AF20B9"/>
    <w:rPr>
      <w:i/>
      <w:iCs/>
      <w:color w:val="404040" w:themeColor="text1" w:themeTint="BF"/>
    </w:rPr>
  </w:style>
  <w:style w:type="paragraph" w:styleId="ListParagraph">
    <w:name w:val="List Paragraph"/>
    <w:basedOn w:val="Normal"/>
    <w:uiPriority w:val="34"/>
    <w:qFormat/>
    <w:rsid w:val="00AF20B9"/>
    <w:pPr>
      <w:ind w:left="720"/>
      <w:contextualSpacing/>
    </w:pPr>
  </w:style>
  <w:style w:type="character" w:styleId="IntenseEmphasis">
    <w:name w:val="Intense Emphasis"/>
    <w:basedOn w:val="DefaultParagraphFont"/>
    <w:uiPriority w:val="21"/>
    <w:qFormat/>
    <w:rsid w:val="00AF20B9"/>
    <w:rPr>
      <w:i/>
      <w:iCs/>
      <w:color w:val="0F4761" w:themeColor="accent1" w:themeShade="BF"/>
    </w:rPr>
  </w:style>
  <w:style w:type="paragraph" w:styleId="IntenseQuote">
    <w:name w:val="Intense Quote"/>
    <w:basedOn w:val="Normal"/>
    <w:next w:val="Normal"/>
    <w:link w:val="IntenseQuoteChar"/>
    <w:uiPriority w:val="30"/>
    <w:qFormat/>
    <w:rsid w:val="00AF2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0B9"/>
    <w:rPr>
      <w:i/>
      <w:iCs/>
      <w:color w:val="0F4761" w:themeColor="accent1" w:themeShade="BF"/>
    </w:rPr>
  </w:style>
  <w:style w:type="character" w:styleId="IntenseReference">
    <w:name w:val="Intense Reference"/>
    <w:basedOn w:val="DefaultParagraphFont"/>
    <w:uiPriority w:val="32"/>
    <w:qFormat/>
    <w:rsid w:val="00AF20B9"/>
    <w:rPr>
      <w:b/>
      <w:bCs/>
      <w:smallCaps/>
      <w:color w:val="0F4761" w:themeColor="accent1" w:themeShade="BF"/>
      <w:spacing w:val="5"/>
    </w:rPr>
  </w:style>
  <w:style w:type="paragraph" w:styleId="Header">
    <w:name w:val="header"/>
    <w:basedOn w:val="Normal"/>
    <w:link w:val="HeaderChar"/>
    <w:uiPriority w:val="99"/>
    <w:unhideWhenUsed/>
    <w:rsid w:val="00B73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B68"/>
  </w:style>
  <w:style w:type="paragraph" w:styleId="Footer">
    <w:name w:val="footer"/>
    <w:basedOn w:val="Normal"/>
    <w:link w:val="FooterChar"/>
    <w:uiPriority w:val="99"/>
    <w:unhideWhenUsed/>
    <w:rsid w:val="00B73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B68"/>
  </w:style>
  <w:style w:type="paragraph" w:styleId="NormalWeb">
    <w:name w:val="Normal (Web)"/>
    <w:basedOn w:val="Normal"/>
    <w:uiPriority w:val="99"/>
    <w:semiHidden/>
    <w:unhideWhenUsed/>
    <w:rsid w:val="00A258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500837">
      <w:bodyDiv w:val="1"/>
      <w:marLeft w:val="0"/>
      <w:marRight w:val="0"/>
      <w:marTop w:val="0"/>
      <w:marBottom w:val="0"/>
      <w:divBdr>
        <w:top w:val="none" w:sz="0" w:space="0" w:color="auto"/>
        <w:left w:val="none" w:sz="0" w:space="0" w:color="auto"/>
        <w:bottom w:val="none" w:sz="0" w:space="0" w:color="auto"/>
        <w:right w:val="none" w:sz="0" w:space="0" w:color="auto"/>
      </w:divBdr>
    </w:div>
    <w:div w:id="827357160">
      <w:bodyDiv w:val="1"/>
      <w:marLeft w:val="0"/>
      <w:marRight w:val="0"/>
      <w:marTop w:val="0"/>
      <w:marBottom w:val="0"/>
      <w:divBdr>
        <w:top w:val="none" w:sz="0" w:space="0" w:color="auto"/>
        <w:left w:val="none" w:sz="0" w:space="0" w:color="auto"/>
        <w:bottom w:val="none" w:sz="0" w:space="0" w:color="auto"/>
        <w:right w:val="none" w:sz="0" w:space="0" w:color="auto"/>
      </w:divBdr>
    </w:div>
    <w:div w:id="1135946017">
      <w:bodyDiv w:val="1"/>
      <w:marLeft w:val="0"/>
      <w:marRight w:val="0"/>
      <w:marTop w:val="0"/>
      <w:marBottom w:val="0"/>
      <w:divBdr>
        <w:top w:val="none" w:sz="0" w:space="0" w:color="auto"/>
        <w:left w:val="none" w:sz="0" w:space="0" w:color="auto"/>
        <w:bottom w:val="none" w:sz="0" w:space="0" w:color="auto"/>
        <w:right w:val="none" w:sz="0" w:space="0" w:color="auto"/>
      </w:divBdr>
    </w:div>
    <w:div w:id="1406149548">
      <w:bodyDiv w:val="1"/>
      <w:marLeft w:val="0"/>
      <w:marRight w:val="0"/>
      <w:marTop w:val="0"/>
      <w:marBottom w:val="0"/>
      <w:divBdr>
        <w:top w:val="none" w:sz="0" w:space="0" w:color="auto"/>
        <w:left w:val="none" w:sz="0" w:space="0" w:color="auto"/>
        <w:bottom w:val="none" w:sz="0" w:space="0" w:color="auto"/>
        <w:right w:val="none" w:sz="0" w:space="0" w:color="auto"/>
      </w:divBdr>
    </w:div>
    <w:div w:id="1586107820">
      <w:bodyDiv w:val="1"/>
      <w:marLeft w:val="0"/>
      <w:marRight w:val="0"/>
      <w:marTop w:val="0"/>
      <w:marBottom w:val="0"/>
      <w:divBdr>
        <w:top w:val="none" w:sz="0" w:space="0" w:color="auto"/>
        <w:left w:val="none" w:sz="0" w:space="0" w:color="auto"/>
        <w:bottom w:val="none" w:sz="0" w:space="0" w:color="auto"/>
        <w:right w:val="none" w:sz="0" w:space="0" w:color="auto"/>
      </w:divBdr>
    </w:div>
    <w:div w:id="1708676557">
      <w:bodyDiv w:val="1"/>
      <w:marLeft w:val="0"/>
      <w:marRight w:val="0"/>
      <w:marTop w:val="0"/>
      <w:marBottom w:val="0"/>
      <w:divBdr>
        <w:top w:val="none" w:sz="0" w:space="0" w:color="auto"/>
        <w:left w:val="none" w:sz="0" w:space="0" w:color="auto"/>
        <w:bottom w:val="none" w:sz="0" w:space="0" w:color="auto"/>
        <w:right w:val="none" w:sz="0" w:space="0" w:color="auto"/>
      </w:divBdr>
    </w:div>
    <w:div w:id="1951233297">
      <w:bodyDiv w:val="1"/>
      <w:marLeft w:val="0"/>
      <w:marRight w:val="0"/>
      <w:marTop w:val="0"/>
      <w:marBottom w:val="0"/>
      <w:divBdr>
        <w:top w:val="none" w:sz="0" w:space="0" w:color="auto"/>
        <w:left w:val="none" w:sz="0" w:space="0" w:color="auto"/>
        <w:bottom w:val="none" w:sz="0" w:space="0" w:color="auto"/>
        <w:right w:val="none" w:sz="0" w:space="0" w:color="auto"/>
      </w:divBdr>
    </w:div>
    <w:div w:id="199579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Brindle</dc:creator>
  <cp:keywords/>
  <dc:description/>
  <cp:lastModifiedBy>Devin Brindle</cp:lastModifiedBy>
  <cp:revision>2</cp:revision>
  <dcterms:created xsi:type="dcterms:W3CDTF">2025-02-04T10:10:00Z</dcterms:created>
  <dcterms:modified xsi:type="dcterms:W3CDTF">2025-02-04T10:10:00Z</dcterms:modified>
</cp:coreProperties>
</file>