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
      </w:r>
    </w:p>
    <w:p>
      <w:pPr>
        <w:spacing w:after="100"/>
        <w:jc w:val="center"/>
      </w:pPr>
      <w:r>
        <w:rPr>
          <w:rFonts w:ascii="Calibri" w:cs="Calibri" w:eastAsia="Calibri" w:hAnsi="Calibri"/>
          <w:b/>
          <w:bCs/>
          <w:color w:val="595959"/>
          <w:sz w:val="26"/>
          <w:szCs w:val="26"/>
        </w:rPr>
        <w:t xml:space="preserve">ADVANCED DATABASE SYSTEMS</w:t>
      </w:r>
    </w:p>
    <w:p>
      <w:pPr>
        <w:spacing w:after="420"/>
        <w:jc w:val="center"/>
      </w:pPr>
      <w:r>
        <w:rPr>
          <w:rFonts w:ascii="Calibri" w:cs="Calibri" w:eastAsia="Calibri" w:hAnsi="Calibri"/>
          <w:b/>
          <w:bCs/>
          <w:color w:val="595959"/>
          <w:sz w:val="22"/>
          <w:szCs w:val="22"/>
        </w:rPr>
        <w:t xml:space="preserve">ASSIGNMENT 1 — DESIGN OF A DISTRIBUTED DATABASE</w:t>
      </w:r>
    </w:p>
    <w:p>
      <w:pPr>
        <w:pBdr>
          <w:top w:val="single" w:color="1F3864" w:sz="12"/>
        </w:pBdr>
        <w:spacing w:after="120"/>
        <w:jc w:val="center"/>
      </w:pPr>
      <w:r>
        <w:rPr>
          <w:sz w:val="8"/>
          <w:szCs w:val="8"/>
        </w:rPr>
        <w:t xml:space="preserve"/>
      </w:r>
    </w:p>
    <w:p>
      <w:pPr>
        <w:spacing w:after="100"/>
        <w:jc w:val="center"/>
      </w:pPr>
      <w:r>
        <w:rPr>
          <w:rFonts w:ascii="Calibri" w:cs="Calibri" w:eastAsia="Calibri" w:hAnsi="Calibri"/>
          <w:b/>
          <w:bCs/>
          <w:color w:val="1F3864"/>
          <w:sz w:val="48"/>
          <w:szCs w:val="48"/>
        </w:rPr>
        <w:t xml:space="preserve">CONTAINER TERMINAL &amp;</w:t>
      </w:r>
    </w:p>
    <w:p>
      <w:pPr>
        <w:spacing w:after="140"/>
        <w:jc w:val="center"/>
      </w:pPr>
      <w:r>
        <w:rPr>
          <w:rFonts w:ascii="Calibri" w:cs="Calibri" w:eastAsia="Calibri" w:hAnsi="Calibri"/>
          <w:b/>
          <w:bCs/>
          <w:color w:val="1F3864"/>
          <w:sz w:val="48"/>
          <w:szCs w:val="48"/>
        </w:rPr>
        <w:t xml:space="preserve">PORT LOGISTICS NETWORK</w:t>
      </w:r>
    </w:p>
    <w:p>
      <w:pPr>
        <w:pBdr>
          <w:bottom w:val="single" w:color="1F3864" w:sz="12"/>
        </w:pBdr>
        <w:spacing w:after="420"/>
        <w:jc w:val="center"/>
      </w:pPr>
      <w:r>
        <w:rPr>
          <w:sz w:val="8"/>
          <w:szCs w:val="8"/>
        </w:rPr>
        <w:t xml:space="preserve"/>
      </w:r>
    </w:p>
    <w:p>
      <w:pPr>
        <w:spacing w:after="500"/>
        <w:jc w:val="center"/>
      </w:pPr>
      <w:r>
        <w:rPr>
          <w:rFonts w:ascii="Calibri" w:cs="Calibri" w:eastAsia="Calibri" w:hAnsi="Calibri"/>
          <w:i/>
          <w:iCs/>
          <w:color w:val="595959"/>
          <w:sz w:val="22"/>
          <w:szCs w:val="22"/>
        </w:rPr>
        <w:t xml:space="preserve">A four-site distributed database for New Mangalore, JNPT, Chennai and Kolkata</w:t>
      </w:r>
    </w:p>
    <w:p>
      <w:pPr>
        <w:spacing w:after="12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
      </w:r>
    </w:p>
    <w:p>
      <w:pPr>
        <w:spacing w:after="80"/>
        <w:jc w:val="center"/>
      </w:pPr>
      <w:r>
        <w:rPr>
          <w:rFonts w:ascii="Calibri" w:cs="Calibri" w:eastAsia="Calibri" w:hAnsi="Calibri"/>
          <w:b/>
          <w:bCs/>
          <w:sz w:val="26"/>
          <w:szCs w:val="26"/>
        </w:rPr>
        <w:t xml:space="preserve">Sriram Venishetty</w:t>
      </w:r>
    </w:p>
    <w:p>
      <w:pPr>
        <w:spacing w:after="400"/>
        <w:jc w:val="center"/>
      </w:pPr>
      <w:r>
        <w:rPr>
          <w:rFonts w:ascii="Calibri" w:cs="Calibri" w:eastAsia="Calibri" w:hAnsi="Calibri"/>
          <w:color w:val="808080"/>
          <w:sz w:val="22"/>
          <w:szCs w:val="22"/>
        </w:rPr>
        <w:t xml:space="preserve">[Roll No.]</w:t>
      </w:r>
    </w:p>
    <w:p>
      <w:pPr>
        <w:spacing w:after="60"/>
        <w:jc w:val="center"/>
      </w:pPr>
      <w:r>
        <w:rPr>
          <w:rFonts w:ascii="Calibri" w:cs="Calibri" w:eastAsia="Calibri" w:hAnsi="Calibri"/>
          <w:sz w:val="21"/>
          <w:szCs w:val="21"/>
        </w:rPr>
        <w:t xml:space="preserve">Department of Information Technology</w:t>
      </w:r>
    </w:p>
    <w:p>
      <w:pPr>
        <w:spacing w:after="60"/>
        <w:jc w:val="center"/>
      </w:pPr>
      <w:r>
        <w:rPr>
          <w:rFonts w:ascii="Calibri" w:cs="Calibri" w:eastAsia="Calibri" w:hAnsi="Calibri"/>
          <w:sz w:val="21"/>
          <w:szCs w:val="21"/>
        </w:rPr>
        <w:t xml:space="preserve">National Institute of Technology Karnataka, Surathkal</w:t>
      </w:r>
    </w:p>
    <w:p>
      <w:pPr>
        <w:jc w:val="center"/>
      </w:pPr>
      <w:r>
        <w:rPr>
          <w:rFonts w:ascii="Calibri" w:cs="Calibri" w:eastAsia="Calibri" w:hAnsi="Calibri"/>
          <w:i/>
          <w:iCs/>
          <w:color w:val="595959"/>
          <w:sz w:val="20"/>
          <w:szCs w:val="20"/>
        </w:rPr>
        <w:t xml:space="preserve">Framework: Prof. Ananthanarayana V. S.</w:t>
      </w:r>
    </w:p>
    <w:p>
      <w:r>
        <w:br w:type="page"/>
      </w:r>
    </w:p>
    <w:p>
      <w:pPr>
        <w:pStyle w:val="Heading1"/>
        <w:spacing w:after="180" w:before="360"/>
      </w:pPr>
      <w:r>
        <w:rPr>
          <w:rFonts w:ascii="Calibri" w:cs="Calibri" w:eastAsia="Calibri" w:hAnsi="Calibri"/>
          <w:b/>
          <w:bCs/>
          <w:color w:val="1F3864"/>
          <w:sz w:val="30"/>
          <w:szCs w:val="30"/>
        </w:rPr>
        <w:t xml:space="preserve">Contents</w:t>
      </w:r>
    </w:p>
    <w:p>
      <w:pPr>
        <w:spacing w:after="120" w:before="0" w:line="276"/>
      </w:pPr>
      <w:r>
        <w:rPr>
          <w:rFonts w:ascii="Calibri" w:cs="Calibri" w:eastAsia="Calibri" w:hAnsi="Calibri"/>
          <w:sz w:val="21"/>
          <w:szCs w:val="21"/>
        </w:rPr>
        <w:t xml:space="preserve"/>
      </w:r>
    </w:p>
    <w:p>
      <w:pPr>
        <w:tabs>
          <w:tab w:val="right" w:pos="8926" w:leader="dot"/>
        </w:tabs>
        <w:spacing w:after="130"/>
      </w:pPr>
      <w:r>
        <w:rPr>
          <w:rFonts w:ascii="Calibri" w:cs="Calibri" w:eastAsia="Calibri" w:hAnsi="Calibri"/>
          <w:sz w:val="22"/>
          <w:szCs w:val="22"/>
        </w:rPr>
        <w:t xml:space="preserve">1. Problem Description</w:t>
      </w:r>
      <w:r>
        <w:rPr>
          <w:rFonts w:ascii="Calibri" w:cs="Calibri" w:eastAsia="Calibri" w:hAnsi="Calibri"/>
          <w:sz w:val="22"/>
          <w:szCs w:val="22"/>
        </w:rPr>
        <w:t xml:space="preserve">	3</w:t>
      </w:r>
    </w:p>
    <w:p>
      <w:pPr>
        <w:tabs>
          <w:tab w:val="right" w:pos="8926" w:leader="dot"/>
        </w:tabs>
        <w:spacing w:after="130"/>
      </w:pPr>
      <w:r>
        <w:rPr>
          <w:rFonts w:ascii="Calibri" w:cs="Calibri" w:eastAsia="Calibri" w:hAnsi="Calibri"/>
          <w:sz w:val="22"/>
          <w:szCs w:val="22"/>
        </w:rPr>
        <w:t xml:space="preserve">2. Data Sources</w:t>
      </w:r>
      <w:r>
        <w:rPr>
          <w:rFonts w:ascii="Calibri" w:cs="Calibri" w:eastAsia="Calibri" w:hAnsi="Calibri"/>
          <w:sz w:val="22"/>
          <w:szCs w:val="22"/>
        </w:rPr>
        <w:t xml:space="preserve">	7</w:t>
      </w:r>
    </w:p>
    <w:p>
      <w:pPr>
        <w:tabs>
          <w:tab w:val="right" w:pos="8926" w:leader="dot"/>
        </w:tabs>
        <w:spacing w:after="130"/>
      </w:pPr>
      <w:r>
        <w:rPr>
          <w:rFonts w:ascii="Calibri" w:cs="Calibri" w:eastAsia="Calibri" w:hAnsi="Calibri"/>
          <w:sz w:val="22"/>
          <w:szCs w:val="22"/>
        </w:rPr>
        <w:t xml:space="preserve">3. Queries and Access Frequencies</w:t>
      </w:r>
      <w:r>
        <w:rPr>
          <w:rFonts w:ascii="Calibri" w:cs="Calibri" w:eastAsia="Calibri" w:hAnsi="Calibri"/>
          <w:sz w:val="22"/>
          <w:szCs w:val="22"/>
        </w:rPr>
        <w:t xml:space="preserve">	9</w:t>
      </w:r>
    </w:p>
    <w:p>
      <w:pPr>
        <w:tabs>
          <w:tab w:val="right" w:pos="8926" w:leader="dot"/>
        </w:tabs>
        <w:spacing w:after="130"/>
      </w:pPr>
      <w:r>
        <w:rPr>
          <w:rFonts w:ascii="Calibri" w:cs="Calibri" w:eastAsia="Calibri" w:hAnsi="Calibri"/>
          <w:sz w:val="22"/>
          <w:szCs w:val="22"/>
        </w:rPr>
        <w:t xml:space="preserve">4. Entity Set</w:t>
      </w:r>
      <w:r>
        <w:rPr>
          <w:rFonts w:ascii="Calibri" w:cs="Calibri" w:eastAsia="Calibri" w:hAnsi="Calibri"/>
          <w:sz w:val="22"/>
          <w:szCs w:val="22"/>
        </w:rPr>
        <w:t xml:space="preserve">	11</w:t>
      </w:r>
    </w:p>
    <w:p>
      <w:pPr>
        <w:tabs>
          <w:tab w:val="right" w:pos="8926" w:leader="dot"/>
        </w:tabs>
        <w:spacing w:after="130"/>
      </w:pPr>
      <w:r>
        <w:rPr>
          <w:rFonts w:ascii="Calibri" w:cs="Calibri" w:eastAsia="Calibri" w:hAnsi="Calibri"/>
          <w:sz w:val="22"/>
          <w:szCs w:val="22"/>
        </w:rPr>
        <w:t xml:space="preserve">5. Relationships and Cardinalities</w:t>
      </w:r>
      <w:r>
        <w:rPr>
          <w:rFonts w:ascii="Calibri" w:cs="Calibri" w:eastAsia="Calibri" w:hAnsi="Calibri"/>
          <w:sz w:val="22"/>
          <w:szCs w:val="22"/>
        </w:rPr>
        <w:t xml:space="preserve">	13</w:t>
      </w:r>
    </w:p>
    <w:p>
      <w:pPr>
        <w:tabs>
          <w:tab w:val="right" w:pos="8926" w:leader="dot"/>
        </w:tabs>
        <w:spacing w:after="130"/>
      </w:pPr>
      <w:r>
        <w:rPr>
          <w:rFonts w:ascii="Calibri" w:cs="Calibri" w:eastAsia="Calibri" w:hAnsi="Calibri"/>
          <w:sz w:val="22"/>
          <w:szCs w:val="22"/>
        </w:rPr>
        <w:t xml:space="preserve">6. EER Diagram</w:t>
      </w:r>
      <w:r>
        <w:rPr>
          <w:rFonts w:ascii="Calibri" w:cs="Calibri" w:eastAsia="Calibri" w:hAnsi="Calibri"/>
          <w:sz w:val="22"/>
          <w:szCs w:val="22"/>
        </w:rPr>
        <w:t xml:space="preserve">	14</w:t>
      </w:r>
    </w:p>
    <w:p>
      <w:pPr>
        <w:tabs>
          <w:tab w:val="right" w:pos="8926" w:leader="dot"/>
        </w:tabs>
        <w:spacing w:after="130"/>
      </w:pPr>
      <w:r>
        <w:rPr>
          <w:rFonts w:ascii="Calibri" w:cs="Calibri" w:eastAsia="Calibri" w:hAnsi="Calibri"/>
          <w:sz w:val="22"/>
          <w:szCs w:val="22"/>
        </w:rPr>
        <w:t xml:space="preserve">7. Global Conceptual Schema</w:t>
      </w:r>
      <w:r>
        <w:rPr>
          <w:rFonts w:ascii="Calibri" w:cs="Calibri" w:eastAsia="Calibri" w:hAnsi="Calibri"/>
          <w:sz w:val="22"/>
          <w:szCs w:val="22"/>
        </w:rPr>
        <w:t xml:space="preserve">	16</w:t>
      </w:r>
    </w:p>
    <w:p>
      <w:pPr>
        <w:tabs>
          <w:tab w:val="right" w:pos="8926" w:leader="dot"/>
        </w:tabs>
        <w:spacing w:after="130"/>
      </w:pPr>
      <w:r>
        <w:rPr>
          <w:rFonts w:ascii="Calibri" w:cs="Calibri" w:eastAsia="Calibri" w:hAnsi="Calibri"/>
          <w:sz w:val="22"/>
          <w:szCs w:val="22"/>
        </w:rPr>
        <w:t xml:space="preserve">8. Normalization</w:t>
      </w:r>
      <w:r>
        <w:rPr>
          <w:rFonts w:ascii="Calibri" w:cs="Calibri" w:eastAsia="Calibri" w:hAnsi="Calibri"/>
          <w:sz w:val="22"/>
          <w:szCs w:val="22"/>
        </w:rPr>
        <w:t xml:space="preserve">	18</w:t>
      </w:r>
    </w:p>
    <w:p>
      <w:pPr>
        <w:tabs>
          <w:tab w:val="right" w:pos="8926" w:leader="dot"/>
        </w:tabs>
        <w:spacing w:after="130"/>
      </w:pPr>
      <w:r>
        <w:rPr>
          <w:rFonts w:ascii="Calibri" w:cs="Calibri" w:eastAsia="Calibri" w:hAnsi="Calibri"/>
          <w:sz w:val="22"/>
          <w:szCs w:val="22"/>
        </w:rPr>
        <w:t xml:space="preserve">9. Fragmentation</w:t>
      </w:r>
      <w:r>
        <w:rPr>
          <w:rFonts w:ascii="Calibri" w:cs="Calibri" w:eastAsia="Calibri" w:hAnsi="Calibri"/>
          <w:sz w:val="22"/>
          <w:szCs w:val="22"/>
        </w:rPr>
        <w:t xml:space="preserve">	20</w:t>
      </w:r>
    </w:p>
    <w:p>
      <w:pPr>
        <w:tabs>
          <w:tab w:val="right" w:pos="8926" w:leader="dot"/>
        </w:tabs>
        <w:spacing w:after="130"/>
      </w:pPr>
      <w:r>
        <w:rPr>
          <w:rFonts w:ascii="Calibri" w:cs="Calibri" w:eastAsia="Calibri" w:hAnsi="Calibri"/>
          <w:sz w:val="22"/>
          <w:szCs w:val="22"/>
        </w:rPr>
        <w:t xml:space="preserve">10. Physical Design</w:t>
      </w:r>
      <w:r>
        <w:rPr>
          <w:rFonts w:ascii="Calibri" w:cs="Calibri" w:eastAsia="Calibri" w:hAnsi="Calibri"/>
          <w:sz w:val="22"/>
          <w:szCs w:val="22"/>
        </w:rPr>
        <w:t xml:space="preserve">	26</w:t>
      </w:r>
    </w:p>
    <w:p>
      <w:pPr>
        <w:tabs>
          <w:tab w:val="right" w:pos="8926" w:leader="dot"/>
        </w:tabs>
        <w:spacing w:after="130"/>
      </w:pPr>
      <w:r>
        <w:rPr>
          <w:rFonts w:ascii="Calibri" w:cs="Calibri" w:eastAsia="Calibri" w:hAnsi="Calibri"/>
          <w:sz w:val="22"/>
          <w:szCs w:val="22"/>
        </w:rPr>
        <w:t xml:space="preserve">11. Replication and Allocation</w:t>
      </w:r>
      <w:r>
        <w:rPr>
          <w:rFonts w:ascii="Calibri" w:cs="Calibri" w:eastAsia="Calibri" w:hAnsi="Calibri"/>
          <w:sz w:val="22"/>
          <w:szCs w:val="22"/>
        </w:rPr>
        <w:t xml:space="preserve">	31</w:t>
      </w:r>
    </w:p>
    <w:p>
      <w:pPr>
        <w:tabs>
          <w:tab w:val="right" w:pos="8926" w:leader="dot"/>
        </w:tabs>
        <w:spacing w:after="130"/>
      </w:pPr>
      <w:r>
        <w:rPr>
          <w:rFonts w:ascii="Calibri" w:cs="Calibri" w:eastAsia="Calibri" w:hAnsi="Calibri"/>
          <w:sz w:val="22"/>
          <w:szCs w:val="22"/>
        </w:rPr>
        <w:t xml:space="preserve">12. Local Conceptual Schemas and Schema Integration</w:t>
      </w:r>
      <w:r>
        <w:rPr>
          <w:rFonts w:ascii="Calibri" w:cs="Calibri" w:eastAsia="Calibri" w:hAnsi="Calibri"/>
          <w:sz w:val="22"/>
          <w:szCs w:val="22"/>
        </w:rPr>
        <w:t xml:space="preserve">	34</w:t>
      </w:r>
    </w:p>
    <w:p>
      <w:pPr>
        <w:tabs>
          <w:tab w:val="right" w:pos="8926" w:leader="dot"/>
        </w:tabs>
        <w:spacing w:after="130"/>
      </w:pPr>
      <w:r>
        <w:rPr>
          <w:rFonts w:ascii="Calibri" w:cs="Calibri" w:eastAsia="Calibri" w:hAnsi="Calibri"/>
          <w:sz w:val="22"/>
          <w:szCs w:val="22"/>
        </w:rPr>
        <w:t xml:space="preserve">13. Work Area Space and System Specification</w:t>
      </w:r>
      <w:r>
        <w:rPr>
          <w:rFonts w:ascii="Calibri" w:cs="Calibri" w:eastAsia="Calibri" w:hAnsi="Calibri"/>
          <w:sz w:val="22"/>
          <w:szCs w:val="22"/>
        </w:rPr>
        <w:t xml:space="preserve">	43</w:t>
      </w:r>
    </w:p>
    <w:p>
      <w:pPr>
        <w:tabs>
          <w:tab w:val="right" w:pos="8926" w:leader="dot"/>
        </w:tabs>
        <w:spacing w:after="130"/>
      </w:pPr>
      <w:r>
        <w:rPr>
          <w:rFonts w:ascii="Calibri" w:cs="Calibri" w:eastAsia="Calibri" w:hAnsi="Calibri"/>
          <w:sz w:val="22"/>
          <w:szCs w:val="22"/>
        </w:rPr>
        <w:t xml:space="preserve">14. Conclusion</w:t>
      </w:r>
      <w:r>
        <w:rPr>
          <w:rFonts w:ascii="Calibri" w:cs="Calibri" w:eastAsia="Calibri" w:hAnsi="Calibri"/>
          <w:sz w:val="22"/>
          <w:szCs w:val="22"/>
        </w:rPr>
        <w:t xml:space="preserve">	47</w:t>
      </w:r>
    </w:p>
    <w:p>
      <w:pPr>
        <w:tabs>
          <w:tab w:val="right" w:pos="8926" w:leader="dot"/>
        </w:tabs>
        <w:spacing w:after="130"/>
      </w:pPr>
      <w:r>
        <w:rPr>
          <w:rFonts w:ascii="Calibri" w:cs="Calibri" w:eastAsia="Calibri" w:hAnsi="Calibri"/>
          <w:sz w:val="22"/>
          <w:szCs w:val="22"/>
        </w:rPr>
        <w:t xml:space="preserve">Appendix A — Amendments</w:t>
      </w:r>
      <w:r>
        <w:rPr>
          <w:rFonts w:ascii="Calibri" w:cs="Calibri" w:eastAsia="Calibri" w:hAnsi="Calibri"/>
          <w:sz w:val="22"/>
          <w:szCs w:val="22"/>
        </w:rPr>
        <w:t xml:space="preserve">	48</w:t>
      </w:r>
    </w:p>
    <w:p>
      <w:pPr>
        <w:tabs>
          <w:tab w:val="right" w:pos="8926" w:leader="dot"/>
        </w:tabs>
        <w:spacing w:after="130"/>
      </w:pPr>
      <w:r>
        <w:rPr>
          <w:rFonts w:ascii="Calibri" w:cs="Calibri" w:eastAsia="Calibri" w:hAnsi="Calibri"/>
          <w:sz w:val="22"/>
          <w:szCs w:val="22"/>
        </w:rPr>
        <w:t xml:space="preserve">Appendix B — Verification</w:t>
      </w:r>
      <w:r>
        <w:rPr>
          <w:rFonts w:ascii="Calibri" w:cs="Calibri" w:eastAsia="Calibri" w:hAnsi="Calibri"/>
          <w:sz w:val="22"/>
          <w:szCs w:val="22"/>
        </w:rPr>
        <w:t xml:space="preserve">	48</w:t>
      </w:r>
    </w:p>
    <w:p>
      <w:pPr>
        <w:tabs>
          <w:tab w:val="right" w:pos="8926" w:leader="dot"/>
        </w:tabs>
        <w:spacing w:after="130"/>
      </w:pPr>
      <w:r>
        <w:rPr>
          <w:rFonts w:ascii="Calibri" w:cs="Calibri" w:eastAsia="Calibri" w:hAnsi="Calibri"/>
          <w:sz w:val="22"/>
          <w:szCs w:val="22"/>
        </w:rPr>
        <w:t xml:space="preserve">Appendix C — Computation</w:t>
      </w:r>
      <w:r>
        <w:rPr>
          <w:rFonts w:ascii="Calibri" w:cs="Calibri" w:eastAsia="Calibri" w:hAnsi="Calibri"/>
          <w:sz w:val="22"/>
          <w:szCs w:val="22"/>
        </w:rPr>
        <w:t xml:space="preserve">	49</w:t>
      </w:r>
    </w:p>
    <w:p>
      <w:r>
        <w:br w:type="page"/>
      </w:r>
    </w:p>
    <w:p>
      <w:pPr>
        <w:pStyle w:val="Heading1"/>
        <w:spacing w:after="180" w:before="360"/>
      </w:pPr>
      <w:r>
        <w:rPr>
          <w:rFonts w:ascii="Calibri" w:cs="Calibri" w:eastAsia="Calibri" w:hAnsi="Calibri"/>
          <w:b/>
          <w:bCs/>
          <w:color w:val="1F3864"/>
          <w:sz w:val="30"/>
          <w:szCs w:val="30"/>
        </w:rPr>
        <w:t xml:space="preserve">1. Problem Description</w:t>
      </w:r>
    </w:p>
    <w:p>
      <w:pPr>
        <w:pStyle w:val="Heading2"/>
        <w:spacing w:after="120" w:before="260"/>
      </w:pPr>
      <w:r>
        <w:rPr>
          <w:rFonts w:ascii="Calibri" w:cs="Calibri" w:eastAsia="Calibri" w:hAnsi="Calibri"/>
          <w:b/>
          <w:bCs/>
          <w:color w:val="1F3864"/>
          <w:sz w:val="25"/>
          <w:szCs w:val="25"/>
        </w:rPr>
        <w:t xml:space="preserve">1.1 Scope</w:t>
      </w:r>
    </w:p>
    <w:p>
      <w:pPr>
        <w:spacing w:after="120" w:before="0" w:line="276"/>
      </w:pPr>
      <w:r>
        <w:rPr>
          <w:rFonts w:ascii="Calibri" w:cs="Calibri" w:eastAsia="Calibri" w:hAnsi="Calibri"/>
          <w:sz w:val="21"/>
          <w:szCs w:val="21"/>
        </w:rPr>
        <w:t xml:space="preserve">A single container-terminal operator runs four Indian ports as one network. Each port is an autonomous operation — it berths vessels, discharges and loads containers, stacks them in its yard, clears them through customs, and releases them through road and rail gates. But the ports are not independent: containers are routinely transshipped, arriving on a mainline vessel at one port and departing on a feeder to another, and a single consignee typically has cargo moving through several ports at once.</w:t>
      </w:r>
    </w:p>
    <w:p>
      <w:pPr>
        <w:spacing w:after="120" w:before="0" w:line="276"/>
      </w:pPr>
      <w:r>
        <w:rPr>
          <w:rFonts w:ascii="Calibri" w:cs="Calibri" w:eastAsia="Calibri" w:hAnsi="Calibri"/>
          <w:sz w:val="21"/>
          <w:szCs w:val="21"/>
        </w:rPr>
        <w:t xml:space="preserve">The system must therefore let each port run on its own data at full speed, while still answering questions that only make sense across all four.</w:t>
      </w:r>
    </w:p>
    <w:p>
      <w:pPr>
        <w:spacing w:after="120" w:before="0" w:line="276"/>
      </w:pPr>
      <w:r>
        <w:rPr>
          <w:rFonts w:ascii="Calibri" w:cs="Calibri" w:eastAsia="Calibri" w:hAnsi="Calibri"/>
          <w:sz w:val="21"/>
          <w:szCs w:val="21"/>
        </w:rPr>
        <w:t xml:space="preserve">The ports also differ in what they do. Besides container handling, which all four share, each runs an operation the others do not have: liquid bulk at New Mangalore, on-dock rail and a bonded SEZ at JNPT, RoRo vehicle exports at Chennai, and tidal lighterage at Kolkata/Haldia. The design is therefore hybrid. A shared core is designed top-down for the container business (Sections 4–11); each port adds its own relations bottom-up for its own operation, so the four sites end up with four different local schemas, integrated through a global view (Section 12).</w:t>
      </w:r>
    </w:p>
    <w:p>
      <w:pPr>
        <w:spacing w:after="120" w:line="276"/>
      </w:pPr>
      <w:r>
        <w:rPr>
          <w:rFonts w:ascii="Calibri" w:cs="Calibri" w:eastAsia="Calibri" w:hAnsi="Calibri"/>
          <w:b/>
          <w:bCs/>
          <w:sz w:val="21"/>
          <w:szCs w:val="21"/>
        </w:rPr>
        <w:t xml:space="preserve">In scope (shared core): </w:t>
      </w:r>
      <w:r>
        <w:rPr>
          <w:rFonts w:ascii="Calibri" w:cs="Calibri" w:eastAsia="Calibri" w:hAnsi="Calibri"/>
          <w:sz w:val="21"/>
          <w:szCs w:val="21"/>
        </w:rPr>
        <w:t xml:space="preserve">vessel arrivals and berthing, container discharge and loading, yard slot management, customs declaration and clearance, gate movements by road and rail, billing references (bill of lading, tariff, demurrage), consignees and shipping lines.</w:t>
      </w:r>
    </w:p>
    <w:p>
      <w:pPr>
        <w:spacing w:after="120" w:line="276"/>
      </w:pPr>
      <w:r>
        <w:rPr>
          <w:rFonts w:ascii="Calibri" w:cs="Calibri" w:eastAsia="Calibri" w:hAnsi="Calibri"/>
          <w:b/>
          <w:bCs/>
          <w:sz w:val="21"/>
          <w:szCs w:val="21"/>
        </w:rPr>
        <w:t xml:space="preserve">In scope (one site each): </w:t>
      </w:r>
      <w:r>
        <w:rPr>
          <w:rFonts w:ascii="Calibri" w:cs="Calibri" w:eastAsia="Calibri" w:hAnsi="Calibri"/>
          <w:sz w:val="21"/>
          <w:szCs w:val="21"/>
        </w:rPr>
        <w:t xml:space="preserve">liquid bulk tank farm (S1), rail rakes and SEZ bonded transfers (S2), RoRo vehicles and inspections (S3), tidal windows and lighterage (S4) — Section 1.7.</w:t>
      </w:r>
    </w:p>
    <w:p>
      <w:pPr>
        <w:spacing w:after="120" w:line="276"/>
      </w:pPr>
      <w:r>
        <w:rPr>
          <w:rFonts w:ascii="Calibri" w:cs="Calibri" w:eastAsia="Calibri" w:hAnsi="Calibri"/>
          <w:b/>
          <w:bCs/>
          <w:sz w:val="21"/>
          <w:szCs w:val="21"/>
        </w:rPr>
        <w:t xml:space="preserve">Out of scope: </w:t>
      </w:r>
      <w:r>
        <w:rPr>
          <w:rFonts w:ascii="Calibri" w:cs="Calibri" w:eastAsia="Calibri" w:hAnsi="Calibri"/>
          <w:sz w:val="21"/>
          <w:szCs w:val="21"/>
        </w:rPr>
        <w:t xml:space="preserve">dry bulk cargo, crane and equipment maintenance scheduling, employee payroll and rostering, vessel stowage planning, port security systems.</w:t>
      </w:r>
    </w:p>
    <w:p>
      <w:pPr>
        <w:pStyle w:val="Heading2"/>
        <w:spacing w:after="120" w:before="260"/>
      </w:pPr>
      <w:r>
        <w:rPr>
          <w:rFonts w:ascii="Calibri" w:cs="Calibri" w:eastAsia="Calibri" w:hAnsi="Calibri"/>
          <w:b/>
          <w:bCs/>
          <w:color w:val="1F3864"/>
          <w:sz w:val="25"/>
          <w:szCs w:val="25"/>
        </w:rPr>
        <w:t xml:space="preserve">1.2 Data Flow</w:t>
      </w:r>
    </w:p>
    <w:p>
      <w:pPr>
        <w:spacing w:after="40" w:before="160"/>
        <w:jc w:val="center"/>
      </w:pPr>
      <w:r>
        <w:drawing>
          <wp:inline distT="0" distB="0" distL="0" distR="0">
            <wp:extent cx="53340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62425"/>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1 — Data flow: vessel arrival through gate-out, with the transshipment branch</w:t>
      </w:r>
    </w:p>
    <w:p>
      <w:pPr>
        <w:spacing w:after="120" w:before="0" w:line="276"/>
      </w:pPr>
      <w:r>
        <w:rPr>
          <w:rFonts w:ascii="Calibri" w:cs="Calibri" w:eastAsia="Calibri" w:hAnsi="Calibri"/>
          <w:sz w:val="21"/>
          <w:szCs w:val="21"/>
        </w:rPr>
        <w:t xml:space="preserve">The transshipment branch is the reason this is a distributed database and not four separate ones.</w:t>
      </w:r>
    </w:p>
    <w:p>
      <w:pPr>
        <w:pStyle w:val="Heading2"/>
        <w:spacing w:after="120" w:before="260"/>
      </w:pPr>
      <w:r>
        <w:rPr>
          <w:rFonts w:ascii="Calibri" w:cs="Calibri" w:eastAsia="Calibri" w:hAnsi="Calibri"/>
          <w:b/>
          <w:bCs/>
          <w:color w:val="1F3864"/>
          <w:sz w:val="25"/>
          <w:szCs w:val="25"/>
        </w:rPr>
        <w:t xml:space="preserve">1.3 Control Flow</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986"/>
        <w:gridCol w:w="3610"/>
        <w:gridCol w:w="3430"/>
      </w:tblGrid>
      <w:tr>
        <w:trPr>
          <w:tblHeader/>
        </w:trPr>
        <w:tc>
          <w:tcPr>
            <w:tcW w:type="dxa" w:w="1986"/>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Actor</w:t>
            </w:r>
          </w:p>
        </w:tc>
        <w:tc>
          <w:tcPr>
            <w:tcW w:type="dxa" w:w="3610"/>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Triggers</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Writes</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Port control</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Vessel arrival, berth allocation</w:t>
            </w:r>
          </w:p>
        </w:tc>
        <w:tc>
          <w:tcPr>
            <w:tcW w:type="dxa" w:w="3430"/>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VOYAGE</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Ship planner</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Discharge / load list per voyage</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CONTAINER, BILL_OF_LADING</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Yard planner</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Slot assignment, yard shuffle</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YARD_SLOT (U2)</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Customs officer</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Declaration filing, assessment, clearance</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CUSTOMS_DECL (U3), CONTAINER.customs_status</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Gate operator</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Truck / rail entry and exit</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GATE_MOVE (U1)</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Line agent</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Bill of lading issue, release order</w:t>
            </w:r>
          </w:p>
        </w:tc>
        <w:tc>
          <w:tcPr>
            <w:tcW w:type="dxa" w:w="3430"/>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BILL_OF_LADING</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Finance</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Demurrage and tariff computation</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reads only</w:t>
            </w:r>
          </w:p>
        </w:tc>
      </w:tr>
    </w:tbl>
    <w:p>
      <w:pPr>
        <w:spacing w:after="220" w:before="80"/>
        <w:jc w:val="center"/>
      </w:pPr>
      <w:r>
        <w:rPr>
          <w:rFonts w:ascii="Calibri" w:cs="Calibri" w:eastAsia="Calibri" w:hAnsi="Calibri"/>
          <w:i/>
          <w:iCs/>
          <w:color w:val="595959"/>
          <w:sz w:val="18"/>
          <w:szCs w:val="18"/>
        </w:rPr>
        <w:t xml:space="preserve">Table 1.1 — Control flow: who triggers what</w:t>
      </w:r>
    </w:p>
    <w:p>
      <w:pPr>
        <w:spacing w:after="120" w:line="276"/>
      </w:pPr>
      <w:r>
        <w:rPr>
          <w:rFonts w:ascii="Calibri" w:cs="Calibri" w:eastAsia="Calibri" w:hAnsi="Calibri"/>
          <w:b/>
          <w:bCs/>
          <w:sz w:val="21"/>
          <w:szCs w:val="21"/>
        </w:rPr>
        <w:t xml:space="preserve">Control is local-first: </w:t>
      </w:r>
      <w:r>
        <w:rPr>
          <w:rFonts w:ascii="Calibri" w:cs="Calibri" w:eastAsia="Calibri" w:hAnsi="Calibri"/>
          <w:sz w:val="21"/>
          <w:szCs w:val="21"/>
        </w:rPr>
        <w:t xml:space="preserve">every write originates at the port where the physical event happens. Only reads cross site boundaries. This asymmetry is what the allocation analysis in Section 11 turns into a concrete placement decision.</w:t>
      </w:r>
    </w:p>
    <w:p>
      <w:pPr>
        <w:pStyle w:val="Heading2"/>
        <w:spacing w:after="120" w:before="260"/>
      </w:pPr>
      <w:r>
        <w:rPr>
          <w:rFonts w:ascii="Calibri" w:cs="Calibri" w:eastAsia="Calibri" w:hAnsi="Calibri"/>
          <w:b/>
          <w:bCs/>
          <w:color w:val="1F3864"/>
          <w:sz w:val="25"/>
          <w:szCs w:val="25"/>
        </w:rPr>
        <w:t xml:space="preserve">1.4 Why this is an I/O-bound problem</w:t>
      </w:r>
    </w:p>
    <w:p>
      <w:pPr>
        <w:spacing w:after="120" w:before="0" w:line="276"/>
      </w:pPr>
      <w:r>
        <w:rPr>
          <w:rFonts w:ascii="Calibri" w:cs="Calibri" w:eastAsia="Calibri" w:hAnsi="Calibri"/>
          <w:sz w:val="21"/>
          <w:szCs w:val="21"/>
        </w:rPr>
        <w:t xml:space="preserve">GATE_MOVE is the dominant relation by two orders of magnitude — 60 million rows against 500,000 for the next largest. At 46 bytes per record that is roughly 2.76 GB, or 673,831 blocks at a 4 KB block size. An unindexed scan of it costs about 27 seconds of pure disk time.</w:t>
      </w:r>
    </w:p>
    <w:p>
      <w:pPr>
        <w:spacing w:after="120" w:before="0" w:line="276"/>
      </w:pPr>
      <w:r>
        <w:rPr>
          <w:rFonts w:ascii="Calibri" w:cs="Calibri" w:eastAsia="Calibri" w:hAnsi="Calibri"/>
          <w:sz w:val="21"/>
          <w:szCs w:val="21"/>
        </w:rPr>
        <w:t xml:space="preserve">The expensive queries — dwell time, yard occupancy, demurrage — are scans, joins and aggregates over that relation. None does meaningful computation per row. The cost is dominated by fetching blocks from disk and, where fragments are remote, moving them across the network. That is the definition of an I/O-bound workload, and it is why fragment placement, access-method choice and buffer sizing determine performance here rather than CPU.</w:t>
      </w:r>
    </w:p>
    <w:p>
      <w:pPr>
        <w:spacing w:after="120" w:before="0" w:line="276"/>
      </w:pPr>
      <w:r>
        <w:rPr>
          <w:rFonts w:ascii="Calibri" w:cs="Calibri" w:eastAsia="Calibri" w:hAnsi="Calibri"/>
          <w:sz w:val="21"/>
          <w:szCs w:val="21"/>
        </w:rPr>
        <w:t xml:space="preserve">Appendix B confirms the claim against the finished physical design: GATE_MOVE accounts for 96.8% of the core data blocks, and 94.4% once the site-specific relations of Section 12 are included.</w:t>
      </w:r>
    </w:p>
    <w:p>
      <w:pPr>
        <w:pStyle w:val="Heading2"/>
        <w:spacing w:after="120" w:before="260"/>
      </w:pPr>
      <w:r>
        <w:rPr>
          <w:rFonts w:ascii="Calibri" w:cs="Calibri" w:eastAsia="Calibri" w:hAnsi="Calibri"/>
          <w:b/>
          <w:bCs/>
          <w:color w:val="1F3864"/>
          <w:sz w:val="25"/>
          <w:szCs w:val="25"/>
        </w:rPr>
        <w:t xml:space="preserve">1.5 Realistic Constraints</w:t>
      </w:r>
    </w:p>
    <w:p>
      <w:pPr>
        <w:pStyle w:val="ListParagraph"/>
        <w:numPr>
          <w:ilvl w:val="0"/>
          <w:numId w:val="1"/>
        </w:numPr>
        <w:spacing w:after="70" w:line="276"/>
      </w:pPr>
      <w:r>
        <w:rPr>
          <w:rFonts w:ascii="Calibri" w:cs="Calibri" w:eastAsia="Calibri" w:hAnsi="Calibri"/>
          <w:sz w:val="21"/>
          <w:szCs w:val="21"/>
        </w:rPr>
        <w:t xml:space="preserve">A yard slot holds exactly one container; a container occupies at most one slot.</w:t>
      </w:r>
    </w:p>
    <w:p>
      <w:pPr>
        <w:pStyle w:val="ListParagraph"/>
        <w:numPr>
          <w:ilvl w:val="0"/>
          <w:numId w:val="1"/>
        </w:numPr>
        <w:spacing w:after="70" w:line="276"/>
      </w:pPr>
      <w:r>
        <w:rPr>
          <w:rFonts w:ascii="Calibri" w:cs="Calibri" w:eastAsia="Calibri" w:hAnsi="Calibri"/>
          <w:sz w:val="21"/>
          <w:szCs w:val="21"/>
        </w:rPr>
        <w:t xml:space="preserve">Hazmat containers (hazmat_class not null) may not be stacked above tier 3.</w:t>
      </w:r>
    </w:p>
    <w:p>
      <w:pPr>
        <w:pStyle w:val="ListParagraph"/>
        <w:numPr>
          <w:ilvl w:val="0"/>
          <w:numId w:val="1"/>
        </w:numPr>
        <w:spacing w:after="70" w:line="276"/>
      </w:pPr>
      <w:r>
        <w:rPr>
          <w:rFonts w:ascii="Calibri" w:cs="Calibri" w:eastAsia="Calibri" w:hAnsi="Calibri"/>
          <w:sz w:val="21"/>
          <w:szCs w:val="21"/>
        </w:rPr>
        <w:t xml:space="preserve">Reefer containers must be assigned slots with power connections.</w:t>
      </w:r>
    </w:p>
    <w:p>
      <w:pPr>
        <w:pStyle w:val="ListParagraph"/>
        <w:numPr>
          <w:ilvl w:val="0"/>
          <w:numId w:val="1"/>
        </w:numPr>
        <w:spacing w:after="70" w:line="276"/>
      </w:pPr>
      <w:r>
        <w:rPr>
          <w:rFonts w:ascii="Calibri" w:cs="Calibri" w:eastAsia="Calibri" w:hAnsi="Calibri"/>
          <w:sz w:val="21"/>
          <w:szCs w:val="21"/>
        </w:rPr>
        <w:t xml:space="preserve">A container may not pass an OUT gate until customs_status = CLEARED.</w:t>
      </w:r>
    </w:p>
    <w:p>
      <w:pPr>
        <w:pStyle w:val="ListParagraph"/>
        <w:numPr>
          <w:ilvl w:val="0"/>
          <w:numId w:val="1"/>
        </w:numPr>
        <w:spacing w:after="70" w:line="276"/>
      </w:pPr>
      <w:r>
        <w:rPr>
          <w:rFonts w:ascii="Calibri" w:cs="Calibri" w:eastAsia="Calibri" w:hAnsi="Calibri"/>
          <w:sz w:val="21"/>
          <w:szCs w:val="21"/>
        </w:rPr>
        <w:t xml:space="preserve">Free dwell period is 5 days from discharge; demurrage accrues per day thereafter.</w:t>
      </w:r>
    </w:p>
    <w:p>
      <w:pPr>
        <w:pStyle w:val="ListParagraph"/>
        <w:numPr>
          <w:ilvl w:val="0"/>
          <w:numId w:val="1"/>
        </w:numPr>
        <w:spacing w:after="70" w:line="276"/>
      </w:pPr>
      <w:r>
        <w:rPr>
          <w:rFonts w:ascii="Calibri" w:cs="Calibri" w:eastAsia="Calibri" w:hAnsi="Calibri"/>
          <w:sz w:val="21"/>
          <w:szCs w:val="21"/>
        </w:rPr>
        <w:t xml:space="preserve">gross_wt must be at least tare_wt; the difference is billable net cargo weight.</w:t>
      </w:r>
    </w:p>
    <w:p>
      <w:pPr>
        <w:pStyle w:val="ListParagraph"/>
        <w:numPr>
          <w:ilvl w:val="0"/>
          <w:numId w:val="1"/>
        </w:numPr>
        <w:spacing w:after="70" w:line="276"/>
      </w:pPr>
      <w:r>
        <w:rPr>
          <w:rFonts w:ascii="Calibri" w:cs="Calibri" w:eastAsia="Calibri" w:hAnsi="Calibri"/>
          <w:sz w:val="21"/>
          <w:szCs w:val="21"/>
        </w:rPr>
        <w:t xml:space="preserve">A container is physically present at exactly one port at a time (cur_port_id).</w:t>
      </w:r>
    </w:p>
    <w:p>
      <w:pPr>
        <w:pStyle w:val="ListParagraph"/>
        <w:numPr>
          <w:ilvl w:val="0"/>
          <w:numId w:val="1"/>
        </w:numPr>
        <w:spacing w:after="70" w:line="276"/>
      </w:pPr>
      <w:r>
        <w:rPr>
          <w:rFonts w:ascii="Calibri" w:cs="Calibri" w:eastAsia="Calibri" w:hAnsi="Calibri"/>
          <w:sz w:val="21"/>
          <w:szCs w:val="21"/>
        </w:rPr>
        <w:t xml:space="preserve">Each port operates in its own local time; all stored timestamps are UTC.</w:t>
      </w:r>
    </w:p>
    <w:p>
      <w:pPr>
        <w:pStyle w:val="ListParagraph"/>
        <w:numPr>
          <w:ilvl w:val="0"/>
          <w:numId w:val="1"/>
        </w:numPr>
        <w:spacing w:after="70" w:line="276"/>
      </w:pPr>
      <w:r>
        <w:rPr>
          <w:rFonts w:ascii="Calibri" w:cs="Calibri" w:eastAsia="Calibri" w:hAnsi="Calibri"/>
          <w:sz w:val="21"/>
          <w:szCs w:val="21"/>
        </w:rPr>
        <w:t xml:space="preserve">Customs data must remain at the port of clearance — a legal constraint on replication.</w:t>
      </w:r>
    </w:p>
    <w:p>
      <w:pPr>
        <w:pStyle w:val="Heading2"/>
        <w:spacing w:after="120" w:before="260"/>
      </w:pPr>
      <w:r>
        <w:rPr>
          <w:rFonts w:ascii="Calibri" w:cs="Calibri" w:eastAsia="Calibri" w:hAnsi="Calibri"/>
          <w:b/>
          <w:bCs/>
          <w:color w:val="1F3864"/>
          <w:sz w:val="25"/>
          <w:szCs w:val="25"/>
        </w:rPr>
        <w:t xml:space="preserve">1.6 Sites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3"/>
        <w:gridCol w:w="3069"/>
        <w:gridCol w:w="3430"/>
        <w:gridCol w:w="1625"/>
      </w:tblGrid>
      <w:tr>
        <w:trPr>
          <w:tblHeader/>
        </w:trPr>
        <w:tc>
          <w:tcPr>
            <w:tcW w:type="dxa" w:w="903"/>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Site</w:t>
            </w:r>
          </w:p>
        </w:tc>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Port</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Character</w:t>
            </w:r>
          </w:p>
        </w:tc>
        <w:tc>
          <w:tcPr>
            <w:tcW w:type="dxa" w:w="1625"/>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Share of traffic</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S1</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New Mangalore (NMPT)</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Regional, west coast</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15%</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S2</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JNPT / Nhava Sheva</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Largest container hub</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40%</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S3</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Chennai</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East coast hub</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30%</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S4</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Kolkata / Haldia</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River port, feeder traffic</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15%</w:t>
            </w:r>
          </w:p>
        </w:tc>
      </w:tr>
    </w:tbl>
    <w:p>
      <w:pPr>
        <w:spacing w:after="220" w:before="80"/>
        <w:jc w:val="center"/>
      </w:pPr>
      <w:r>
        <w:rPr>
          <w:rFonts w:ascii="Calibri" w:cs="Calibri" w:eastAsia="Calibri" w:hAnsi="Calibri"/>
          <w:i/>
          <w:iCs/>
          <w:color w:val="595959"/>
          <w:sz w:val="18"/>
          <w:szCs w:val="18"/>
        </w:rPr>
        <w:t xml:space="preserve">Table 1.2 — The four sites</w:t>
      </w:r>
    </w:p>
    <w:p>
      <w:pPr>
        <w:spacing w:after="120" w:before="0" w:line="276"/>
      </w:pPr>
      <w:r>
        <w:rPr>
          <w:rFonts w:ascii="Calibri" w:cs="Calibri" w:eastAsia="Calibri" w:hAnsi="Calibri"/>
          <w:sz w:val="21"/>
          <w:szCs w:val="21"/>
        </w:rPr>
        <w:t xml:space="preserve">Real inter-port distances are used rather than a uniform figure. Uniform distances make the allocation come out symmetric and the analysis says nothing. Propagation delay is Tp = distance / v with v = 2.7 × 10⁸ m/s.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986"/>
        <w:gridCol w:w="2347"/>
        <w:gridCol w:w="2347"/>
        <w:gridCol w:w="2347"/>
      </w:tblGrid>
      <w:tr>
        <w:trPr>
          <w:tblHeader/>
        </w:trPr>
        <w:tc>
          <w:tcPr>
            <w:tcW w:type="dxa" w:w="1986"/>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Link</w:t>
            </w:r>
          </w:p>
        </w:tc>
        <w:tc>
          <w:tcPr>
            <w:tcW w:type="dxa" w:w="2347"/>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Distance (km)</w:t>
            </w:r>
          </w:p>
        </w:tc>
        <w:tc>
          <w:tcPr>
            <w:tcW w:type="dxa" w:w="2347"/>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Tp (ms)</w:t>
            </w:r>
          </w:p>
        </w:tc>
        <w:tc>
          <w:tcPr>
            <w:tcW w:type="dxa" w:w="2347"/>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2 × Tp (ms)</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S1 ↔ S2</w:t>
            </w:r>
          </w:p>
        </w:tc>
        <w:tc>
          <w:tcPr>
            <w:tcW w:type="dxa" w:w="2347"/>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700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2.59</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5.19</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S1 ↔ S3</w:t>
            </w:r>
          </w:p>
        </w:tc>
        <w:tc>
          <w:tcPr>
            <w:tcW w:type="dxa" w:w="2347"/>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700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2.59</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5.19</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S1 ↔ S4</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2,000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7.41</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14.81</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S2 ↔ S3</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1,300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4.81</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9.63</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S2 ↔ S4</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1,900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7.04</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14.07</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S3 ↔ S4</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1,650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6.11</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12.22</w:t>
            </w:r>
          </w:p>
        </w:tc>
      </w:tr>
    </w:tbl>
    <w:p>
      <w:pPr>
        <w:spacing w:after="220" w:before="80"/>
        <w:jc w:val="center"/>
      </w:pPr>
      <w:r>
        <w:rPr>
          <w:rFonts w:ascii="Calibri" w:cs="Calibri" w:eastAsia="Calibri" w:hAnsi="Calibri"/>
          <w:i/>
          <w:iCs/>
          <w:color w:val="595959"/>
          <w:sz w:val="18"/>
          <w:szCs w:val="18"/>
        </w:rPr>
        <w:t xml:space="preserve">Table 1.3 — Inter-site distances and propagation delays</w:t>
      </w:r>
    </w:p>
    <w:p>
      <w:pPr>
        <w:pStyle w:val="Heading2"/>
        <w:spacing w:after="120" w:before="260"/>
      </w:pPr>
      <w:r>
        <w:rPr>
          <w:rFonts w:ascii="Calibri" w:cs="Calibri" w:eastAsia="Calibri" w:hAnsi="Calibri"/>
          <w:b/>
          <w:bCs/>
          <w:color w:val="1F3864"/>
          <w:sz w:val="25"/>
          <w:szCs w:val="25"/>
        </w:rPr>
        <w:t xml:space="preserve">1.7 Site-specific operations</w:t>
      </w:r>
    </w:p>
    <w:p>
      <w:pPr>
        <w:spacing w:after="120" w:before="0" w:line="276"/>
      </w:pPr>
      <w:r>
        <w:rPr>
          <w:rFonts w:ascii="Calibri" w:cs="Calibri" w:eastAsia="Calibri" w:hAnsi="Calibri"/>
          <w:sz w:val="21"/>
          <w:szCs w:val="21"/>
        </w:rPr>
        <w:t xml:space="preserve">Each port also runs one operation that exists nowhere else in the network. These are what make the four local schemas different, not merely four copies of one schema holding different rows.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3430"/>
        <w:gridCol w:w="3249"/>
        <w:gridCol w:w="1625"/>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Local operation</w:t>
            </w:r>
          </w:p>
        </w:tc>
        <w:tc>
          <w:tcPr>
            <w:tcW w:type="dxa" w:w="3249"/>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Local relations</w:t>
            </w:r>
          </w:p>
        </w:tc>
        <w:tc>
          <w:tcPr>
            <w:tcW w:type="dxa" w:w="162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Local transactions</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Liquid bulk by pipeline into a tank farm</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TANK_FARM, PIPELINE_TRANSFER</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L1, L2</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On-dock rail to inland depots; SEZ bonded transfers</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RAIL_RAKE, RAKE_LOADING, SEZ_UNIT, BOND_TRANSFER</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L3, L4</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RoRo export of finished vehicles</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RORO_VEHICLE, VEHICLE_INSPECTION</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L5, L6</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Tidal draft windows; lighterage at anchorage</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TIDAL_WINDOW, LIGHTERAGE</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L7, L8</w:t>
            </w:r>
          </w:p>
        </w:tc>
      </w:tr>
    </w:tbl>
    <w:p>
      <w:pPr>
        <w:spacing w:after="220" w:before="80"/>
        <w:jc w:val="center"/>
      </w:pPr>
      <w:r>
        <w:rPr>
          <w:rFonts w:ascii="Calibri" w:cs="Calibri" w:eastAsia="Calibri" w:hAnsi="Calibri"/>
          <w:i/>
          <w:iCs/>
          <w:color w:val="595959"/>
          <w:sz w:val="18"/>
          <w:szCs w:val="18"/>
        </w:rPr>
        <w:t xml:space="preserve">Table 1.4 — Site-specific operations (designed in Section 12)</w:t>
      </w:r>
    </w:p>
    <w:p>
      <w:r>
        <w:br w:type="page"/>
      </w:r>
    </w:p>
    <w:p>
      <w:pPr>
        <w:pStyle w:val="Heading1"/>
        <w:spacing w:after="180" w:before="360"/>
      </w:pPr>
      <w:r>
        <w:rPr>
          <w:rFonts w:ascii="Calibri" w:cs="Calibri" w:eastAsia="Calibri" w:hAnsi="Calibri"/>
          <w:b/>
          <w:bCs/>
          <w:color w:val="1F3864"/>
          <w:sz w:val="30"/>
          <w:szCs w:val="30"/>
        </w:rPr>
        <w:t xml:space="preserve">2. Data Sources</w:t>
      </w:r>
    </w:p>
    <w:p>
      <w:pPr>
        <w:spacing w:after="120" w:before="0" w:line="276"/>
      </w:pPr>
      <w:r>
        <w:rPr>
          <w:rFonts w:ascii="Calibri" w:cs="Calibri" w:eastAsia="Calibri" w:hAnsi="Calibri"/>
          <w:sz w:val="21"/>
          <w:szCs w:val="21"/>
        </w:rPr>
        <w:t xml:space="preserve">The shared core is organised into six components, present at every site. Each owns a set of data and a set of operations.</w:t>
      </w:r>
    </w:p>
    <w:p>
      <w:pPr>
        <w:spacing w:after="120" w:line="276"/>
      </w:pPr>
      <w:r>
        <w:rPr>
          <w:rFonts w:ascii="Calibri" w:cs="Calibri" w:eastAsia="Calibri" w:hAnsi="Calibri"/>
          <w:b/>
          <w:bCs/>
          <w:sz w:val="21"/>
          <w:szCs w:val="21"/>
        </w:rPr>
        <w:t xml:space="preserve">Vessel and voyage management</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vessel_id, IMO number, flag, capacity, voyage, ETA/ATA/ATD, berth, status</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Records vessel calls, allocates berths, tracks arrival and departure against schedule.</w:t>
      </w:r>
    </w:p>
    <w:p>
      <w:pPr>
        <w:spacing w:after="120" w:line="276"/>
      </w:pPr>
      <w:r>
        <w:rPr>
          <w:rFonts w:ascii="Calibri" w:cs="Calibri" w:eastAsia="Calibri" w:hAnsi="Calibri"/>
          <w:b/>
          <w:bCs/>
          <w:sz w:val="21"/>
          <w:szCs w:val="21"/>
        </w:rPr>
        <w:t xml:space="preserve">Container management</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cont_id (ISO 6346), size, type, tare and gross weight, seal, hazmat class, current port, voyage</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Tracks every container in the network from discharge to final gate-out, including transshipment between ports.</w:t>
      </w:r>
    </w:p>
    <w:p>
      <w:pPr>
        <w:spacing w:after="120" w:line="276"/>
      </w:pPr>
      <w:r>
        <w:rPr>
          <w:rFonts w:ascii="Calibri" w:cs="Calibri" w:eastAsia="Calibri" w:hAnsi="Calibri"/>
          <w:b/>
          <w:bCs/>
          <w:sz w:val="21"/>
          <w:szCs w:val="21"/>
        </w:rPr>
        <w:t xml:space="preserve">Yard management</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port, block, bay, row, tier, occupying container, occupied since, block power and stack limits</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Assigns and releases slots, enforces reefer power and hazmat stacking rules, reports occupancy.</w:t>
      </w:r>
    </w:p>
    <w:p>
      <w:pPr>
        <w:spacing w:after="120" w:line="276"/>
      </w:pPr>
      <w:r>
        <w:rPr>
          <w:rFonts w:ascii="Calibri" w:cs="Calibri" w:eastAsia="Calibri" w:hAnsi="Calibri"/>
          <w:b/>
          <w:bCs/>
          <w:sz w:val="21"/>
          <w:szCs w:val="21"/>
        </w:rPr>
        <w:t xml:space="preserve">Customs management</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declaration id, HS code, duty amount, filed and cleared dates, officer</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Files declarations, assesses duty from the tariff schedule, records clearance, gates release.</w:t>
      </w:r>
    </w:p>
    <w:p>
      <w:pPr>
        <w:spacing w:after="120" w:line="276"/>
      </w:pPr>
      <w:r>
        <w:rPr>
          <w:rFonts w:ascii="Calibri" w:cs="Calibri" w:eastAsia="Calibri" w:hAnsi="Calibri"/>
          <w:b/>
          <w:bCs/>
          <w:sz w:val="21"/>
          <w:szCs w:val="21"/>
        </w:rPr>
        <w:t xml:space="preserve">Gate operations</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move id, container, port, timestamp, direction, truck, gate, operator</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Logs every road and rail movement in and out. The highest-volume component in the system.</w:t>
      </w:r>
    </w:p>
    <w:p>
      <w:pPr>
        <w:spacing w:after="120" w:line="276"/>
      </w:pPr>
      <w:r>
        <w:rPr>
          <w:rFonts w:ascii="Calibri" w:cs="Calibri" w:eastAsia="Calibri" w:hAnsi="Calibri"/>
          <w:b/>
          <w:bCs/>
          <w:sz w:val="21"/>
          <w:szCs w:val="21"/>
        </w:rPr>
        <w:t xml:space="preserve">Commercial management</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consignee, GSTIN, bill of lading, freight amount, service tariff and currency</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Links cargo to the paying party, prices port services, computes demurrage past the free period.</w:t>
      </w:r>
    </w:p>
    <w:p>
      <w:pPr>
        <w:spacing w:after="120" w:before="0" w:line="276"/>
      </w:pPr>
      <w:r>
        <w:rPr>
          <w:rFonts w:ascii="Calibri" w:cs="Calibri" w:eastAsia="Calibri" w:hAnsi="Calibri"/>
          <w:sz w:val="21"/>
          <w:szCs w:val="21"/>
        </w:rPr>
        <w:t xml:space="preserve">Four further components exist at one site each, owned and designed by that port:</w:t>
      </w:r>
    </w:p>
    <w:p>
      <w:pPr>
        <w:spacing w:after="120" w:line="276"/>
      </w:pPr>
      <w:r>
        <w:rPr>
          <w:rFonts w:ascii="Calibri" w:cs="Calibri" w:eastAsia="Calibri" w:hAnsi="Calibri"/>
          <w:b/>
          <w:bCs/>
          <w:sz w:val="21"/>
          <w:szCs w:val="21"/>
        </w:rPr>
        <w:t xml:space="preserve">Liquid bulk terminal (S1 only)</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tank, product HS code, capacity, current volume in kilolitres, measured density; pipeline transfers with volume and observed density</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Gauges tanks, records transfers between vessel and tank, reports custody in tonnes.</w:t>
      </w:r>
    </w:p>
    <w:p>
      <w:pPr>
        <w:spacing w:after="120" w:line="276"/>
      </w:pPr>
      <w:r>
        <w:rPr>
          <w:rFonts w:ascii="Calibri" w:cs="Calibri" w:eastAsia="Calibri" w:hAnsi="Calibri"/>
          <w:b/>
          <w:bCs/>
          <w:sz w:val="21"/>
          <w:szCs w:val="21"/>
        </w:rPr>
        <w:t xml:space="preserve">Rail and SEZ operations (S2 only)</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rake, train number, destination depot, wagons, departure; container-to-rake loading with rail weighment; SEZ units, bonds, bonded transfers</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Builds and despatches rakes, transfers containers into the SEZ under bond.</w:t>
      </w:r>
    </w:p>
    <w:p>
      <w:pPr>
        <w:spacing w:after="120" w:line="276"/>
      </w:pPr>
      <w:r>
        <w:rPr>
          <w:rFonts w:ascii="Calibri" w:cs="Calibri" w:eastAsia="Calibri" w:hAnsi="Calibri"/>
          <w:b/>
          <w:bCs/>
          <w:sz w:val="21"/>
          <w:szCs w:val="21"/>
        </w:rPr>
        <w:t xml:space="preserve">RoRo operations (S3 only)</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vehicle VIN, make, model, weight, deck, exporter, voyage; pre-shipment inspections</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Registers export vehicles, records damage surveys, releases vehicles to the RoRo voyage.</w:t>
      </w:r>
    </w:p>
    <w:p>
      <w:pPr>
        <w:spacing w:after="120" w:line="276"/>
      </w:pPr>
      <w:r>
        <w:rPr>
          <w:rFonts w:ascii="Calibri" w:cs="Calibri" w:eastAsia="Calibri" w:hAnsi="Calibri"/>
          <w:b/>
          <w:bCs/>
          <w:sz w:val="21"/>
          <w:szCs w:val="21"/>
        </w:rPr>
        <w:t xml:space="preserve">River access (S4 only)</w:t>
      </w:r>
    </w:p>
    <w:p>
      <w:pPr>
        <w:spacing w:after="60" w:line="276"/>
      </w:pPr>
      <w:r>
        <w:rPr>
          <w:rFonts w:ascii="Calibri" w:cs="Calibri" w:eastAsia="Calibri" w:hAnsi="Calibri"/>
          <w:i/>
          <w:iCs/>
          <w:sz w:val="21"/>
          <w:szCs w:val="21"/>
        </w:rPr>
        <w:t xml:space="preserve">Data: </w:t>
      </w:r>
      <w:r>
        <w:rPr>
          <w:rFonts w:ascii="Calibri" w:cs="Calibri" w:eastAsia="Calibri" w:hAnsi="Calibri"/>
          <w:sz w:val="21"/>
          <w:szCs w:val="21"/>
        </w:rPr>
        <w:t xml:space="preserve">tidal window date, number, open and close time, maximum draft; lighterage operations by barge</w:t>
      </w:r>
    </w:p>
    <w:p>
      <w:pPr>
        <w:spacing w:after="180" w:line="276"/>
      </w:pPr>
      <w:r>
        <w:rPr>
          <w:rFonts w:ascii="Calibri" w:cs="Calibri" w:eastAsia="Calibri" w:hAnsi="Calibri"/>
          <w:i/>
          <w:iCs/>
          <w:sz w:val="21"/>
          <w:szCs w:val="21"/>
        </w:rPr>
        <w:t xml:space="preserve">Functionality: </w:t>
      </w:r>
      <w:r>
        <w:rPr>
          <w:rFonts w:ascii="Calibri" w:cs="Calibri" w:eastAsia="Calibri" w:hAnsi="Calibri"/>
          <w:sz w:val="21"/>
          <w:szCs w:val="21"/>
        </w:rPr>
        <w:t xml:space="preserve">Publishes the draft timetable, lightens large ships at anchorage onto barges.</w:t>
      </w:r>
    </w:p>
    <w:p>
      <w:r>
        <w:br w:type="page"/>
      </w:r>
    </w:p>
    <w:p>
      <w:pPr>
        <w:pStyle w:val="Heading1"/>
        <w:spacing w:after="180" w:before="360"/>
      </w:pPr>
      <w:r>
        <w:rPr>
          <w:rFonts w:ascii="Calibri" w:cs="Calibri" w:eastAsia="Calibri" w:hAnsi="Calibri"/>
          <w:b/>
          <w:bCs/>
          <w:color w:val="1F3864"/>
          <w:sz w:val="30"/>
          <w:szCs w:val="30"/>
        </w:rPr>
        <w:t xml:space="preserve">3. Queries and Access Frequencies</w:t>
      </w:r>
    </w:p>
    <w:p>
      <w:pPr>
        <w:spacing w:after="120" w:before="0" w:line="276"/>
      </w:pPr>
      <w:r>
        <w:rPr>
          <w:rFonts w:ascii="Calibri" w:cs="Calibri" w:eastAsia="Calibri" w:hAnsi="Calibri"/>
          <w:sz w:val="21"/>
          <w:szCs w:val="21"/>
        </w:rPr>
        <w:t xml:space="preserve">Nine retrieval queries and three update transactions against the global schema, plus eight local transactions that each run at one site only. The reads fall into three classes that touch largely disjoint attribute blocks of CONTAINER — the property that lets the fragmentation analysis in Section 9 produce a meaningful clustering rather than a near-uniform matrix.</w:t>
      </w:r>
    </w:p>
    <w:p>
      <w:pPr>
        <w:spacing w:after="120" w:line="276"/>
      </w:pPr>
      <w:r>
        <w:rPr>
          <w:rFonts w:ascii="Calibri" w:cs="Calibri" w:eastAsia="Calibri" w:hAnsi="Calibri"/>
          <w:b/>
          <w:bCs/>
          <w:sz w:val="21"/>
          <w:szCs w:val="21"/>
        </w:rPr>
        <w:t xml:space="preserve">A note on how this query set was chosen. </w:t>
      </w:r>
      <w:r>
        <w:rPr>
          <w:rFonts w:ascii="Calibri" w:cs="Calibri" w:eastAsia="Calibri" w:hAnsi="Calibri"/>
          <w:sz w:val="21"/>
          <w:szCs w:val="21"/>
        </w:rPr>
        <w:t xml:space="preserve">In a production setting the workload is given and the design follows from it. Here the two were developed together: the queries reflect real terminal operations, but they were also chosen to exercise the techniques the framework requires — a workload whose attribute usage is uniform yields a degenerate affinity matrix and demonstrates nothing. What follows should be read as evidence that the method works on a realistic workload, not as the discovery of a structure latent in the data.</w:t>
      </w:r>
    </w:p>
    <w:p>
      <w:pPr>
        <w:pStyle w:val="Heading2"/>
        <w:spacing w:after="120" w:before="260"/>
      </w:pPr>
      <w:r>
        <w:rPr>
          <w:rFonts w:ascii="Calibri" w:cs="Calibri" w:eastAsia="Calibri" w:hAnsi="Calibri"/>
          <w:b/>
          <w:bCs/>
          <w:color w:val="1F3864"/>
          <w:sz w:val="25"/>
          <w:szCs w:val="25"/>
        </w:rPr>
        <w:t xml:space="preserve">3.1 Simple queries</w:t>
      </w:r>
    </w:p>
    <w:p>
      <w:pPr>
        <w:spacing w:after="120" w:line="276"/>
      </w:pPr>
      <w:r>
        <w:rPr>
          <w:rFonts w:ascii="Calibri" w:cs="Calibri" w:eastAsia="Calibri" w:hAnsi="Calibri"/>
          <w:b/>
          <w:bCs/>
          <w:sz w:val="21"/>
          <w:szCs w:val="21"/>
        </w:rPr>
        <w:t xml:space="preserve">Q1 — Yard inventory for a block. </w:t>
      </w:r>
      <w:r>
        <w:rPr>
          <w:rFonts w:ascii="Calibri" w:cs="Calibri" w:eastAsia="Calibri" w:hAnsi="Calibri"/>
          <w:sz w:val="21"/>
          <w:szCs w:val="21"/>
        </w:rPr>
        <w:t xml:space="preserve">List containers currently stacked in block B of port P, with slot position, size, type, gross weight and seal number.</w:t>
      </w:r>
    </w:p>
    <w:p>
      <w:pPr>
        <w:spacing w:after="120" w:line="276"/>
      </w:pPr>
      <w:r>
        <w:rPr>
          <w:rFonts w:ascii="Calibri" w:cs="Calibri" w:eastAsia="Calibri" w:hAnsi="Calibri"/>
          <w:b/>
          <w:bCs/>
          <w:sz w:val="21"/>
          <w:szCs w:val="21"/>
        </w:rPr>
        <w:t xml:space="preserve">Q2 — Hazmat stacking violation check. </w:t>
      </w:r>
      <w:r>
        <w:rPr>
          <w:rFonts w:ascii="Calibri" w:cs="Calibri" w:eastAsia="Calibri" w:hAnsi="Calibri"/>
          <w:sz w:val="21"/>
          <w:szCs w:val="21"/>
        </w:rPr>
        <w:t xml:space="preserve">Find hazmat containers at port P occupying a slot above tier 3.</w:t>
      </w:r>
    </w:p>
    <w:p>
      <w:pPr>
        <w:spacing w:after="120" w:line="276"/>
      </w:pPr>
      <w:r>
        <w:rPr>
          <w:rFonts w:ascii="Calibri" w:cs="Calibri" w:eastAsia="Calibri" w:hAnsi="Calibri"/>
          <w:b/>
          <w:bCs/>
          <w:sz w:val="21"/>
          <w:szCs w:val="21"/>
        </w:rPr>
        <w:t xml:space="preserve">Q3 — Clearance backlog. </w:t>
      </w:r>
      <w:r>
        <w:rPr>
          <w:rFonts w:ascii="Calibri" w:cs="Calibri" w:eastAsia="Calibri" w:hAnsi="Calibri"/>
          <w:sz w:val="21"/>
          <w:szCs w:val="21"/>
        </w:rPr>
        <w:t xml:space="preserve">Containers at port P with customs_status ≠ CLEARED whose declaration was filed more than seven days ago.</w:t>
      </w:r>
    </w:p>
    <w:p>
      <w:pPr>
        <w:spacing w:after="120" w:line="276"/>
      </w:pPr>
      <w:r>
        <w:rPr>
          <w:rFonts w:ascii="Calibri" w:cs="Calibri" w:eastAsia="Calibri" w:hAnsi="Calibri"/>
          <w:b/>
          <w:bCs/>
          <w:sz w:val="21"/>
          <w:szCs w:val="21"/>
        </w:rPr>
        <w:t xml:space="preserve">Q4 — Vessels at berth today. </w:t>
      </w:r>
      <w:r>
        <w:rPr>
          <w:rFonts w:ascii="Calibri" w:cs="Calibri" w:eastAsia="Calibri" w:hAnsi="Calibri"/>
          <w:sz w:val="21"/>
          <w:szCs w:val="21"/>
        </w:rPr>
        <w:t xml:space="preserve">Vessels berthed at port P today with ETA, ATA, berth number and status.</w:t>
      </w:r>
    </w:p>
    <w:p>
      <w:pPr>
        <w:pStyle w:val="Heading2"/>
        <w:spacing w:after="120" w:before="260"/>
      </w:pPr>
      <w:r>
        <w:rPr>
          <w:rFonts w:ascii="Calibri" w:cs="Calibri" w:eastAsia="Calibri" w:hAnsi="Calibri"/>
          <w:b/>
          <w:bCs/>
          <w:color w:val="1F3864"/>
          <w:sz w:val="25"/>
          <w:szCs w:val="25"/>
        </w:rPr>
        <w:t xml:space="preserve">3.2 Complex queries</w:t>
      </w:r>
    </w:p>
    <w:p>
      <w:pPr>
        <w:spacing w:after="120" w:line="276"/>
      </w:pPr>
      <w:r>
        <w:rPr>
          <w:rFonts w:ascii="Calibri" w:cs="Calibri" w:eastAsia="Calibri" w:hAnsi="Calibri"/>
          <w:b/>
          <w:bCs/>
          <w:sz w:val="21"/>
          <w:szCs w:val="21"/>
        </w:rPr>
        <w:t xml:space="preserve">Q5 — Yard occupancy in TEU per block. </w:t>
      </w:r>
      <w:r>
        <w:rPr>
          <w:rFonts w:ascii="Calibri" w:cs="Calibri" w:eastAsia="Calibri" w:hAnsi="Calibri"/>
          <w:sz w:val="21"/>
          <w:szCs w:val="21"/>
        </w:rPr>
        <w:t xml:space="preserve">For port P, total TEU and total net cargo weight (gross_wt − tare_wt) per yard block.</w:t>
      </w:r>
    </w:p>
    <w:p>
      <w:pPr>
        <w:spacing w:after="120" w:line="276"/>
      </w:pPr>
      <w:r>
        <w:rPr>
          <w:rFonts w:ascii="Calibri" w:cs="Calibri" w:eastAsia="Calibri" w:hAnsi="Calibri"/>
          <w:b/>
          <w:bCs/>
          <w:sz w:val="21"/>
          <w:szCs w:val="21"/>
        </w:rPr>
        <w:t xml:space="preserve">Q6 — Total duty by consignee, network-wide. </w:t>
      </w:r>
      <w:r>
        <w:rPr>
          <w:rFonts w:ascii="Calibri" w:cs="Calibri" w:eastAsia="Calibri" w:hAnsi="Calibri"/>
          <w:sz w:val="21"/>
          <w:szCs w:val="21"/>
        </w:rPr>
        <w:t xml:space="preserve">Total duty assessed for consignee C across all four ports. Cross-site.</w:t>
      </w:r>
    </w:p>
    <w:p>
      <w:pPr>
        <w:spacing w:after="120" w:line="276"/>
      </w:pPr>
      <w:r>
        <w:rPr>
          <w:rFonts w:ascii="Calibri" w:cs="Calibri" w:eastAsia="Calibri" w:hAnsi="Calibri"/>
          <w:b/>
          <w:bCs/>
          <w:sz w:val="21"/>
          <w:szCs w:val="21"/>
        </w:rPr>
        <w:t xml:space="preserve">Q7 — Discharge volume per voyage for a shipping line. </w:t>
      </w:r>
      <w:r>
        <w:rPr>
          <w:rFonts w:ascii="Calibri" w:cs="Calibri" w:eastAsia="Calibri" w:hAnsi="Calibri"/>
          <w:sz w:val="21"/>
          <w:szCs w:val="21"/>
        </w:rPr>
        <w:t xml:space="preserve">Container count and total TEU discharged per voyage for line L in the last quarter.</w:t>
      </w:r>
    </w:p>
    <w:p>
      <w:pPr>
        <w:spacing w:after="120" w:line="276"/>
      </w:pPr>
      <w:r>
        <w:rPr>
          <w:rFonts w:ascii="Calibri" w:cs="Calibri" w:eastAsia="Calibri" w:hAnsi="Calibri"/>
          <w:b/>
          <w:bCs/>
          <w:sz w:val="21"/>
          <w:szCs w:val="21"/>
        </w:rPr>
        <w:t xml:space="preserve">Q8 — Demurrage exposure by consignee. </w:t>
      </w:r>
      <w:r>
        <w:rPr>
          <w:rFonts w:ascii="Calibri" w:cs="Calibri" w:eastAsia="Calibri" w:hAnsi="Calibri"/>
          <w:sz w:val="21"/>
          <w:szCs w:val="21"/>
        </w:rPr>
        <w:t xml:space="preserve">For consignee C, containers past the five-day free period, with days overdue, declared value and demurrage payable at each port’s tariff. Cross-site.</w:t>
      </w:r>
    </w:p>
    <w:p>
      <w:pPr>
        <w:spacing w:after="120" w:line="276"/>
      </w:pPr>
      <w:r>
        <w:rPr>
          <w:rFonts w:ascii="Calibri" w:cs="Calibri" w:eastAsia="Calibri" w:hAnsi="Calibri"/>
          <w:b/>
          <w:bCs/>
          <w:sz w:val="21"/>
          <w:szCs w:val="21"/>
        </w:rPr>
        <w:t xml:space="preserve">Q9 — Cargo in custody by port and class. </w:t>
      </w:r>
      <w:r>
        <w:rPr>
          <w:rFonts w:ascii="Calibri" w:cs="Calibri" w:eastAsia="Calibri" w:hAnsi="Calibri"/>
          <w:sz w:val="21"/>
          <w:szCs w:val="21"/>
        </w:rPr>
        <w:t xml:space="preserve">Total tonnes currently in each port’s custody, by cargo class. Cross-site, and heterogeneous: it reads the global relation CARGO_IN_CUSTODY, which each port computes from different local relations (Section 12.9).</w:t>
      </w:r>
    </w:p>
    <w:p>
      <w:pPr>
        <w:pStyle w:val="Heading2"/>
        <w:spacing w:after="120" w:before="260"/>
      </w:pPr>
      <w:r>
        <w:rPr>
          <w:rFonts w:ascii="Calibri" w:cs="Calibri" w:eastAsia="Calibri" w:hAnsi="Calibri"/>
          <w:b/>
          <w:bCs/>
          <w:color w:val="1F3864"/>
          <w:sz w:val="25"/>
          <w:szCs w:val="25"/>
        </w:rPr>
        <w:t xml:space="preserve">3.3 Update transactions</w:t>
      </w:r>
    </w:p>
    <w:p>
      <w:pPr>
        <w:spacing w:after="120" w:before="0" w:line="276"/>
      </w:pPr>
      <w:r>
        <w:rPr>
          <w:rFonts w:ascii="Calibri" w:cs="Calibri" w:eastAsia="Calibri" w:hAnsi="Calibri"/>
          <w:sz w:val="21"/>
          <w:szCs w:val="21"/>
        </w:rPr>
        <w:t xml:space="preserve">These are what make cost computation possible in the allocation analysis. A design evaluated on reads alone reaches the opposite conclusion — Section 11.3 quantifies by how much.</w:t>
      </w:r>
    </w:p>
    <w:p>
      <w:pPr>
        <w:spacing w:after="120" w:line="276"/>
      </w:pPr>
      <w:r>
        <w:rPr>
          <w:rFonts w:ascii="Calibri" w:cs="Calibri" w:eastAsia="Calibri" w:hAnsi="Calibri"/>
          <w:b/>
          <w:bCs/>
          <w:sz w:val="21"/>
          <w:szCs w:val="21"/>
        </w:rPr>
        <w:t xml:space="preserve">U1 — Record a gate movement. </w:t>
      </w:r>
      <w:r>
        <w:rPr>
          <w:rFonts w:ascii="Calibri" w:cs="Calibri" w:eastAsia="Calibri" w:hAnsi="Calibri"/>
          <w:sz w:val="21"/>
          <w:szCs w:val="21"/>
        </w:rPr>
        <w:t xml:space="preserve">Insert into GATE_MOVE; reads CONTAINER seal_no and customs_status to verify the seal and confirm clearance. Very high frequency, always local.</w:t>
      </w:r>
    </w:p>
    <w:p>
      <w:pPr>
        <w:spacing w:after="120" w:line="276"/>
      </w:pPr>
      <w:r>
        <w:rPr>
          <w:rFonts w:ascii="Calibri" w:cs="Calibri" w:eastAsia="Calibri" w:hAnsi="Calibri"/>
          <w:b/>
          <w:bCs/>
          <w:sz w:val="21"/>
          <w:szCs w:val="21"/>
        </w:rPr>
        <w:t xml:space="preserve">U2 — Reassign a yard slot. </w:t>
      </w:r>
      <w:r>
        <w:rPr>
          <w:rFonts w:ascii="Calibri" w:cs="Calibri" w:eastAsia="Calibri" w:hAnsi="Calibri"/>
          <w:sz w:val="21"/>
          <w:szCs w:val="21"/>
        </w:rPr>
        <w:t xml:space="preserve">Update YARD_SLOT on a yard shuffle or restow; reads container size and hazmat class for the stacking rules.</w:t>
      </w:r>
    </w:p>
    <w:p>
      <w:pPr>
        <w:spacing w:after="120" w:line="276"/>
      </w:pPr>
      <w:r>
        <w:rPr>
          <w:rFonts w:ascii="Calibri" w:cs="Calibri" w:eastAsia="Calibri" w:hAnsi="Calibri"/>
          <w:b/>
          <w:bCs/>
          <w:sz w:val="21"/>
          <w:szCs w:val="21"/>
        </w:rPr>
        <w:t xml:space="preserve">U3 — Clear a customs declaration. </w:t>
      </w:r>
      <w:r>
        <w:rPr>
          <w:rFonts w:ascii="Calibri" w:cs="Calibri" w:eastAsia="Calibri" w:hAnsi="Calibri"/>
          <w:sz w:val="21"/>
          <w:szCs w:val="21"/>
        </w:rPr>
        <w:t xml:space="preserve">Update CUSTOMS_DECL.cleared_on and CONTAINER.customs_status.</w:t>
      </w:r>
    </w:p>
    <w:p>
      <w:pPr>
        <w:pStyle w:val="Heading2"/>
        <w:spacing w:after="120" w:before="260"/>
      </w:pPr>
      <w:r>
        <w:rPr>
          <w:rFonts w:ascii="Calibri" w:cs="Calibri" w:eastAsia="Calibri" w:hAnsi="Calibri"/>
          <w:b/>
          <w:bCs/>
          <w:color w:val="1F3864"/>
          <w:sz w:val="25"/>
          <w:szCs w:val="25"/>
        </w:rPr>
        <w:t xml:space="preserve">3.4 Access frequency matrix</w:t>
      </w:r>
    </w:p>
    <w:p>
      <w:pPr>
        <w:spacing w:after="120" w:before="0" w:line="276"/>
      </w:pPr>
      <w:r>
        <w:rPr>
          <w:rFonts w:ascii="Calibri" w:cs="Calibri" w:eastAsia="Calibri" w:hAnsi="Calibri"/>
          <w:sz w:val="21"/>
          <w:szCs w:val="21"/>
        </w:rPr>
        <w:t xml:space="preserve">Frequencies are deliberately unequal across sites, tracking each port’s share of traffic. Uniform frequencies produce a symmetric allocation that demonstrates nothing.</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69"/>
        <w:gridCol w:w="1173"/>
        <w:gridCol w:w="1173"/>
        <w:gridCol w:w="1173"/>
        <w:gridCol w:w="1173"/>
        <w:gridCol w:w="1264"/>
      </w:tblGrid>
      <w:tr>
        <w:trPr>
          <w:tblHeader/>
        </w:trPr>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Transaction</w:t>
            </w:r>
          </w:p>
        </w:tc>
        <w:tc>
          <w:tcPr>
            <w:tcW w:type="dxa" w:w="1173"/>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S1</w:t>
            </w:r>
          </w:p>
        </w:tc>
        <w:tc>
          <w:tcPr>
            <w:tcW w:type="dxa" w:w="1173"/>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S2</w:t>
            </w:r>
          </w:p>
        </w:tc>
        <w:tc>
          <w:tcPr>
            <w:tcW w:type="dxa" w:w="1173"/>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S3</w:t>
            </w:r>
          </w:p>
        </w:tc>
        <w:tc>
          <w:tcPr>
            <w:tcW w:type="dxa" w:w="1173"/>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S4</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Total</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Q1  Yard inventory</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120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400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250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90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860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Q2  Hazmat check</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30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90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60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200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Q3  Clearance backlog</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40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150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100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35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325</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Q4  Vessels at berth</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60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45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150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Q5  Yard occupancy</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60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180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120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50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410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Q6  Duty by consignee</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50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30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105</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Q7  Discharge per line</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70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45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150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Q8  Demurrage exposure</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80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55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180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Q9  Cargo in custody</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10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5</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7"/>
                <w:szCs w:val="17"/>
              </w:rPr>
              <w:t xml:space="preserve">25</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U1  Gate move</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3,000</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11,000</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7,000</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2,200</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23,200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U2  Slot reassign</w:t>
            </w:r>
          </w:p>
        </w:tc>
        <w:tc>
          <w:tcPr>
            <w:tcW w:type="dxa" w:w="1173"/>
            <w:tcMar>
              <w:top w:type="dxa" w:w="50"/>
              <w:left w:type="dxa" w:w="80"/>
              <w:bottom w:type="dxa" w:w="50"/>
              <w:right w:type="dxa" w:w="80"/>
            </w:tcMar>
          </w:tcPr>
          <w:p>
            <w:pPr>
              <w:spacing w:after="0" w:before="0"/>
              <w:jc w:val="right"/>
            </w:pPr>
            <w:r>
              <w:rPr>
                <w:rFonts w:ascii="Consolas" w:cs="Consolas" w:eastAsia="Consolas" w:hAnsi="Consolas"/>
                <w:b/>
                <w:bCs/>
                <w:sz w:val="17"/>
                <w:szCs w:val="17"/>
              </w:rPr>
              <w:t xml:space="preserve">400</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1,500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bCs/>
                <w:sz w:val="17"/>
                <w:szCs w:val="17"/>
              </w:rPr>
              <w:t xml:space="preserve">900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bCs/>
                <w:sz w:val="17"/>
                <w:szCs w:val="17"/>
              </w:rPr>
              <w:t xml:space="preserve">300</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3,100</w:t>
            </w:r>
          </w:p>
        </w:tc>
      </w:tr>
      <w:tr>
        <w:trPr>
          <w:tblHeader w:val="false"/>
        </w:trPr>
        <w:tc>
          <w:tcPr>
            <w:tcW w:type="dxa" w:w="3069"/>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U3  Customs clearance</w:t>
            </w:r>
          </w:p>
        </w:tc>
        <w:tc>
          <w:tcPr>
            <w:tcW w:type="dxa" w:w="1173"/>
            <w:tcMar>
              <w:top w:type="dxa" w:w="50"/>
              <w:left w:type="dxa" w:w="80"/>
              <w:bottom w:type="dxa" w:w="50"/>
              <w:right w:type="dxa" w:w="80"/>
            </w:tcMar>
          </w:tcPr>
          <w:p>
            <w:pPr>
              <w:spacing w:after="0" w:before="0"/>
              <w:jc w:val="right"/>
            </w:pPr>
            <w:r>
              <w:rPr>
                <w:rFonts w:ascii="Consolas" w:cs="Consolas" w:eastAsia="Consolas" w:hAnsi="Consolas"/>
                <w:b/>
                <w:bCs/>
                <w:sz w:val="17"/>
                <w:szCs w:val="17"/>
              </w:rPr>
              <w:t xml:space="preserve">350</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1,300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bCs/>
                <w:sz w:val="17"/>
                <w:szCs w:val="17"/>
              </w:rPr>
              <w:t xml:space="preserve">850</w:t>
            </w:r>
          </w:p>
        </w:tc>
        <w:tc>
          <w:tcPr>
            <w:tcW w:type="dxa" w:w="1173"/>
            <w:tcMar>
              <w:top w:type="dxa" w:w="50"/>
              <w:left w:type="dxa" w:w="80"/>
              <w:bottom w:type="dxa" w:w="50"/>
              <w:right w:type="dxa" w:w="80"/>
            </w:tcMar>
          </w:tcPr>
          <w:p>
            <w:pPr>
              <w:spacing w:after="0" w:before="0"/>
              <w:jc w:val="right"/>
            </w:pPr>
            <w:r>
              <w:rPr>
                <w:rFonts w:ascii="Consolas" w:cs="Consolas" w:eastAsia="Consolas" w:hAnsi="Consolas"/>
                <w:b/>
                <w:bCs/>
                <w:sz w:val="17"/>
                <w:szCs w:val="17"/>
              </w:rPr>
              <w:t xml:space="preserve">280</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2,780</w:t>
            </w:r>
          </w:p>
        </w:tc>
      </w:tr>
    </w:tbl>
    <w:p>
      <w:pPr>
        <w:spacing w:after="220" w:before="80"/>
        <w:jc w:val="center"/>
      </w:pPr>
      <w:r>
        <w:rPr>
          <w:rFonts w:ascii="Calibri" w:cs="Calibri" w:eastAsia="Calibri" w:hAnsi="Calibri"/>
          <w:i/>
          <w:iCs/>
          <w:color w:val="595959"/>
          <w:sz w:val="18"/>
          <w:szCs w:val="18"/>
        </w:rPr>
        <w:t xml:space="preserve">Table 3.1 — Accesses per day, by site</w:t>
      </w:r>
    </w:p>
    <w:p>
      <w:pPr>
        <w:spacing w:after="120" w:before="0" w:line="276"/>
      </w:pPr>
      <w:r>
        <w:rPr>
          <w:rFonts w:ascii="Calibri" w:cs="Calibri" w:eastAsia="Calibri" w:hAnsi="Calibri"/>
          <w:sz w:val="21"/>
          <w:szCs w:val="21"/>
        </w:rPr>
        <w:t xml:space="preserve">U1 dominating by an order of magnitude is what will force the GATE_MOVE fragments to stay strictly local in Section 11 — the replication cost cannot be recovered by any read benefit.</w:t>
      </w:r>
    </w:p>
    <w:p>
      <w:pPr>
        <w:pStyle w:val="Heading2"/>
        <w:spacing w:after="120" w:before="260"/>
      </w:pPr>
      <w:r>
        <w:rPr>
          <w:rFonts w:ascii="Calibri" w:cs="Calibri" w:eastAsia="Calibri" w:hAnsi="Calibri"/>
          <w:b/>
          <w:bCs/>
          <w:color w:val="1F3864"/>
          <w:sz w:val="25"/>
          <w:szCs w:val="25"/>
        </w:rPr>
        <w:t xml:space="preserve">3.5 Local transactions</w:t>
      </w:r>
    </w:p>
    <w:p>
      <w:pPr>
        <w:spacing w:after="120" w:before="0" w:line="276"/>
      </w:pPr>
      <w:r>
        <w:rPr>
          <w:rFonts w:ascii="Calibri" w:cs="Calibri" w:eastAsia="Calibri" w:hAnsi="Calibri"/>
          <w:sz w:val="21"/>
          <w:szCs w:val="21"/>
        </w:rPr>
        <w:t xml:space="preserve">Each site also runs transactions against its own local relations only. They never touch another site and are not visible to the global transaction manager; Section 12.10 gives their cost. They are listed here because two of them read or write core relations and therefore enter the global analysis: L3 closes a CONTAINER_C_2 row when a container is loaded onto a rake, and L5 reads CONSIGNEE_H to check a vehicle’s exporter.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416"/>
        <w:gridCol w:w="1805"/>
        <w:gridCol w:w="1805"/>
      </w:tblGrid>
      <w:tr>
        <w:trPr>
          <w:tblHeader/>
        </w:trPr>
        <w:tc>
          <w:tcPr>
            <w:tcW w:type="dxa" w:w="541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Transaction</w:t>
            </w:r>
          </w:p>
        </w:tc>
        <w:tc>
          <w:tcPr>
            <w:tcW w:type="dxa" w:w="180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180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Per day</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L1  Record tank gauging</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180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240</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L2  Record pipeline transfer</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180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12</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L3  Load container onto rake</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2,740</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L4  Transfer container into SEZ</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180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110</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L5  Register RoRo vehicle</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180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960</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L6  Record vehicle inspection</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1,150</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L7  Open / close lighterage operation</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180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w:t>
            </w:r>
          </w:p>
        </w:tc>
      </w:tr>
      <w:tr>
        <w:trPr>
          <w:tblHeader w:val="false"/>
        </w:trPr>
        <w:tc>
          <w:tcPr>
            <w:tcW w:type="dxa" w:w="541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L8  Publish tidal window</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180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w:t>
            </w:r>
          </w:p>
        </w:tc>
      </w:tr>
    </w:tbl>
    <w:p>
      <w:pPr>
        <w:spacing w:after="220" w:before="80"/>
        <w:jc w:val="center"/>
      </w:pPr>
      <w:r>
        <w:rPr>
          <w:rFonts w:ascii="Calibri" w:cs="Calibri" w:eastAsia="Calibri" w:hAnsi="Calibri"/>
          <w:i/>
          <w:iCs/>
          <w:color w:val="595959"/>
          <w:sz w:val="18"/>
          <w:szCs w:val="18"/>
        </w:rPr>
        <w:t xml:space="preserve">Table 3.2 — Local transactions (5,220 a day in total)</w:t>
      </w:r>
    </w:p>
    <w:p>
      <w:r>
        <w:br w:type="page"/>
      </w:r>
    </w:p>
    <w:p>
      <w:pPr>
        <w:pStyle w:val="Heading1"/>
        <w:spacing w:after="180" w:before="360"/>
      </w:pPr>
      <w:r>
        <w:rPr>
          <w:rFonts w:ascii="Calibri" w:cs="Calibri" w:eastAsia="Calibri" w:hAnsi="Calibri"/>
          <w:b/>
          <w:bCs/>
          <w:color w:val="1F3864"/>
          <w:sz w:val="30"/>
          <w:szCs w:val="30"/>
        </w:rPr>
        <w:t xml:space="preserve">4. Entity Set</w:t>
      </w:r>
    </w:p>
    <w:p>
      <w:pPr>
        <w:pStyle w:val="Heading2"/>
        <w:spacing w:after="120" w:before="260"/>
      </w:pPr>
      <w:r>
        <w:rPr>
          <w:rFonts w:ascii="Calibri" w:cs="Calibri" w:eastAsia="Calibri" w:hAnsi="Calibri"/>
          <w:b/>
          <w:bCs/>
          <w:color w:val="1F3864"/>
          <w:sz w:val="25"/>
          <w:szCs w:val="25"/>
        </w:rPr>
        <w:t xml:space="preserve">4.1 Entity types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1534"/>
        <w:gridCol w:w="2527"/>
        <w:gridCol w:w="3159"/>
      </w:tblGrid>
      <w:tr>
        <w:trPr>
          <w:tblHeader/>
        </w:trPr>
        <w:tc>
          <w:tcPr>
            <w:tcW w:type="dxa" w:w="1805"/>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Entity</w:t>
            </w:r>
          </w:p>
        </w:tc>
        <w:tc>
          <w:tcPr>
            <w:tcW w:type="dxa" w:w="1534"/>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Type</w:t>
            </w:r>
          </w:p>
        </w:tc>
        <w:tc>
          <w:tcPr>
            <w:tcW w:type="dxa" w:w="2527"/>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Identifier</w:t>
            </w:r>
          </w:p>
        </w:tc>
        <w:tc>
          <w:tcPr>
            <w:tcW w:type="dxa" w:w="3159"/>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Note</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PORT</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port_id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Owner of two weak entities</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SHIPPING_LINE</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line_id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VESSEL</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vessel_id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imo_no is an alternate key</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VOYAGE</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voyage_id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One vessel calling at one port</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CONSIGNEE</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consignee_id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gstin is an alternate key</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 specialized</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cont_id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ISO 6346; superclass of four subtypes</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YARD_SLOT</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Weak</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(port_id, block, bay, row, tier)</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Owner PORT, via "located in"</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GATE_MOVE</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move_id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CUSTOMS_DECL</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decl_id</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BILL_OF_LADING</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Strong</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bl_no</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TARIFF</w:t>
            </w:r>
          </w:p>
        </w:tc>
        <w:tc>
          <w:tcPr>
            <w:tcW w:type="dxa" w:w="1534"/>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Weak</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(port_id, service_code)</w:t>
            </w:r>
          </w:p>
        </w:tc>
        <w:tc>
          <w:tcPr>
            <w:tcW w:type="dxa" w:w="315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Owner PORT, via "applies at"</w:t>
            </w:r>
          </w:p>
        </w:tc>
      </w:tr>
    </w:tbl>
    <w:p>
      <w:pPr>
        <w:spacing w:after="220" w:before="80"/>
        <w:jc w:val="center"/>
      </w:pPr>
      <w:r>
        <w:rPr>
          <w:rFonts w:ascii="Calibri" w:cs="Calibri" w:eastAsia="Calibri" w:hAnsi="Calibri"/>
          <w:i/>
          <w:iCs/>
          <w:color w:val="595959"/>
          <w:sz w:val="18"/>
          <w:szCs w:val="18"/>
        </w:rPr>
        <w:t xml:space="preserve">Table 4.1 — Entity types and identifiers</w:t>
      </w:r>
    </w:p>
    <w:p>
      <w:pPr>
        <w:pStyle w:val="Heading2"/>
        <w:spacing w:after="120" w:before="260"/>
      </w:pPr>
      <w:r>
        <w:rPr>
          <w:rFonts w:ascii="Calibri" w:cs="Calibri" w:eastAsia="Calibri" w:hAnsi="Calibri"/>
          <w:b/>
          <w:bCs/>
          <w:color w:val="1F3864"/>
          <w:sz w:val="25"/>
          <w:szCs w:val="25"/>
        </w:rPr>
        <w:t xml:space="preserve">4.2 Extended features used</w:t>
      </w:r>
    </w:p>
    <w:p>
      <w:pPr>
        <w:spacing w:after="120" w:before="0" w:line="276"/>
      </w:pPr>
      <w:r>
        <w:rPr>
          <w:rFonts w:ascii="Calibri" w:cs="Calibri" w:eastAsia="Calibri" w:hAnsi="Calibri"/>
          <w:sz w:val="21"/>
          <w:szCs w:val="21"/>
        </w:rPr>
        <w:t xml:space="preserve">The framework asks for an EER diagram, not a plain ER diagram. Each extended feature below is used because the domain calls for it.</w:t>
      </w:r>
    </w:p>
    <w:p>
      <w:pPr>
        <w:spacing w:after="120" w:line="276"/>
      </w:pPr>
      <w:r>
        <w:rPr>
          <w:rFonts w:ascii="Calibri" w:cs="Calibri" w:eastAsia="Calibri" w:hAnsi="Calibri"/>
          <w:b/>
          <w:bCs/>
          <w:sz w:val="21"/>
          <w:szCs w:val="21"/>
        </w:rPr>
        <w:t xml:space="preserve">Specialization — CONTAINER. </w:t>
      </w:r>
      <w:r>
        <w:rPr>
          <w:rFonts w:ascii="Calibri" w:cs="Calibri" w:eastAsia="Calibri" w:hAnsi="Calibri"/>
          <w:sz w:val="21"/>
          <w:szCs w:val="21"/>
        </w:rPr>
        <w:t xml:space="preserve">CONTAINER specializes into DRY, REEFER, TANK and OPEN_TOP. The constraint is disjoint and total: every container is exactly one type. Subtypes differ in attributes and, more importantly, in the yard rules they impose — reefers need powered slots, tanks carry a UN hazard number and a cleaning certificate, open-tops have an over-height that limits stacking.</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25"/>
        <w:gridCol w:w="4152"/>
        <w:gridCol w:w="1444"/>
        <w:gridCol w:w="1805"/>
      </w:tblGrid>
      <w:tr>
        <w:trPr>
          <w:tblHeader/>
        </w:trPr>
        <w:tc>
          <w:tcPr>
            <w:tcW w:type="dxa" w:w="1625"/>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Subtype</w:t>
            </w:r>
          </w:p>
        </w:tc>
        <w:tc>
          <w:tcPr>
            <w:tcW w:type="dxa" w:w="4152"/>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Additional attributes</w:t>
            </w:r>
          </w:p>
        </w:tc>
        <w:tc>
          <w:tcPr>
            <w:tcW w:type="dxa" w:w="1444"/>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Share</w:t>
            </w:r>
          </w:p>
        </w:tc>
        <w:tc>
          <w:tcPr>
            <w:tcW w:type="dxa" w:w="1805"/>
            <w:shd w:fill="F2F2F2" w:val="clear"/>
            <w:tcMar>
              <w:top w:type="dxa" w:w="50"/>
              <w:left w:type="dxa" w:w="80"/>
              <w:bottom w:type="dxa" w:w="50"/>
              <w:right w:type="dxa" w:w="80"/>
            </w:tcMar>
          </w:tcPr>
          <w:p>
            <w:pPr>
              <w:spacing w:after="0" w:before="0"/>
              <w:jc w:val="right"/>
            </w:pPr>
            <w:r>
              <w:rPr>
                <w:rFonts w:ascii="Calibri" w:cs="Calibri" w:eastAsia="Calibri" w:hAnsi="Calibri"/>
                <w:b/>
                <w:bCs/>
                <w:sz w:val="17"/>
                <w:szCs w:val="17"/>
              </w:rPr>
              <w:t xml:space="preserve">Tuples</w:t>
            </w:r>
          </w:p>
        </w:tc>
      </w:tr>
      <w:tr>
        <w:trPr>
          <w:tblHeader w:val="false"/>
        </w:trPr>
        <w:tc>
          <w:tcPr>
            <w:tcW w:type="dxa" w:w="162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DRY</w:t>
            </w:r>
          </w:p>
        </w:tc>
        <w:tc>
          <w:tcPr>
            <w:tcW w:type="dxa" w:w="4152"/>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none</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87%</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435,000</w:t>
            </w:r>
          </w:p>
        </w:tc>
      </w:tr>
      <w:tr>
        <w:trPr>
          <w:tblHeader w:val="false"/>
        </w:trPr>
        <w:tc>
          <w:tcPr>
            <w:tcW w:type="dxa" w:w="162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REEFER</w:t>
            </w:r>
          </w:p>
        </w:tc>
        <w:tc>
          <w:tcPr>
            <w:tcW w:type="dxa" w:w="4152"/>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set_point_temp, plug_id</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8%</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40,000</w:t>
            </w:r>
          </w:p>
        </w:tc>
      </w:tr>
      <w:tr>
        <w:trPr>
          <w:tblHeader w:val="false"/>
        </w:trPr>
        <w:tc>
          <w:tcPr>
            <w:tcW w:type="dxa" w:w="162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TANK</w:t>
            </w:r>
          </w:p>
        </w:tc>
        <w:tc>
          <w:tcPr>
            <w:tcW w:type="dxa" w:w="4152"/>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un_number, last_cleaned_on</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3%</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15,000</w:t>
            </w:r>
          </w:p>
        </w:tc>
      </w:tr>
      <w:tr>
        <w:trPr>
          <w:tblHeader w:val="false"/>
        </w:trPr>
        <w:tc>
          <w:tcPr>
            <w:tcW w:type="dxa" w:w="162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OPEN_TOP</w:t>
            </w:r>
          </w:p>
        </w:tc>
        <w:tc>
          <w:tcPr>
            <w:tcW w:type="dxa" w:w="4152"/>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over_height_cm</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2%</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7"/>
                <w:szCs w:val="17"/>
              </w:rPr>
              <w:t xml:space="preserve">10,000</w:t>
            </w:r>
          </w:p>
        </w:tc>
      </w:tr>
    </w:tbl>
    <w:p>
      <w:pPr>
        <w:spacing w:after="220" w:before="80"/>
        <w:jc w:val="center"/>
      </w:pPr>
      <w:r>
        <w:rPr>
          <w:rFonts w:ascii="Calibri" w:cs="Calibri" w:eastAsia="Calibri" w:hAnsi="Calibri"/>
          <w:i/>
          <w:iCs/>
          <w:color w:val="595959"/>
          <w:sz w:val="18"/>
          <w:szCs w:val="18"/>
        </w:rPr>
        <w:t xml:space="preserve">Table 4.2 — CONTAINER subtypes</w:t>
      </w:r>
    </w:p>
    <w:p>
      <w:pPr>
        <w:spacing w:after="120" w:line="276"/>
      </w:pPr>
      <w:r>
        <w:rPr>
          <w:rFonts w:ascii="Calibri" w:cs="Calibri" w:eastAsia="Calibri" w:hAnsi="Calibri"/>
          <w:b/>
          <w:bCs/>
          <w:sz w:val="21"/>
          <w:szCs w:val="21"/>
        </w:rPr>
        <w:t xml:space="preserve">Weak entities — YARD_SLOT and TARIFF. </w:t>
      </w:r>
      <w:r>
        <w:rPr>
          <w:rFonts w:ascii="Calibri" w:cs="Calibri" w:eastAsia="Calibri" w:hAnsi="Calibri"/>
          <w:sz w:val="21"/>
          <w:szCs w:val="21"/>
        </w:rPr>
        <w:t xml:space="preserve">A yard slot has no identity apart from its port: block A, bay 12, row 3, tier 2 means nothing until you say which port. Its partial key is the four-part position and its identifying relationship "located in" is drawn with a double diamond and total participation. TARIFF is weak for the same reason — a service code is only meaningful with the port whose rate card it belongs to.</w:t>
      </w:r>
    </w:p>
    <w:p>
      <w:pPr>
        <w:spacing w:after="120" w:line="276"/>
      </w:pPr>
      <w:r>
        <w:rPr>
          <w:rFonts w:ascii="Calibri" w:cs="Calibri" w:eastAsia="Calibri" w:hAnsi="Calibri"/>
          <w:b/>
          <w:bCs/>
          <w:sz w:val="21"/>
          <w:szCs w:val="21"/>
        </w:rPr>
        <w:t xml:space="preserve">Multivalued attribute — CONSIGNEE.phone. </w:t>
      </w:r>
      <w:r>
        <w:rPr>
          <w:rFonts w:ascii="Calibri" w:cs="Calibri" w:eastAsia="Calibri" w:hAnsi="Calibri"/>
          <w:sz w:val="21"/>
          <w:szCs w:val="21"/>
        </w:rPr>
        <w:t xml:space="preserve">A consignee lists several contact numbers. Resolved into its own relation at 1NF.</w:t>
      </w:r>
    </w:p>
    <w:p>
      <w:pPr>
        <w:spacing w:after="120" w:line="276"/>
      </w:pPr>
      <w:r>
        <w:rPr>
          <w:rFonts w:ascii="Calibri" w:cs="Calibri" w:eastAsia="Calibri" w:hAnsi="Calibri"/>
          <w:b/>
          <w:bCs/>
          <w:sz w:val="21"/>
          <w:szCs w:val="21"/>
        </w:rPr>
        <w:t xml:space="preserve">Composite attribute — CONSIGNEE.address. </w:t>
      </w:r>
      <w:r>
        <w:rPr>
          <w:rFonts w:ascii="Calibri" w:cs="Calibri" w:eastAsia="Calibri" w:hAnsi="Calibri"/>
          <w:sz w:val="21"/>
          <w:szCs w:val="21"/>
        </w:rPr>
        <w:t xml:space="preserve">Decomposes into street_line, area and pincode.</w:t>
      </w:r>
    </w:p>
    <w:p>
      <w:pPr>
        <w:spacing w:after="120" w:line="276"/>
      </w:pPr>
      <w:r>
        <w:rPr>
          <w:rFonts w:ascii="Calibri" w:cs="Calibri" w:eastAsia="Calibri" w:hAnsi="Calibri"/>
          <w:b/>
          <w:bCs/>
          <w:sz w:val="21"/>
          <w:szCs w:val="21"/>
        </w:rPr>
        <w:t xml:space="preserve">Derived attribute — CONTAINER.dwell_time. </w:t>
      </w:r>
      <w:r>
        <w:rPr>
          <w:rFonts w:ascii="Calibri" w:cs="Calibri" w:eastAsia="Calibri" w:hAnsi="Calibri"/>
          <w:sz w:val="21"/>
          <w:szCs w:val="21"/>
        </w:rPr>
        <w:t xml:space="preserve">Gate-out timestamp minus discharge timestamp. Drawn with a dashed ellipse and not stored — it is recomputed. This matters in the physical design: the demurrage query must reconstruct the dwell start rather than read a stored column — Section 10.7 examines what that costs and what a stored discharge timestamp would save.</w:t>
      </w:r>
    </w:p>
    <w:p>
      <w:pPr>
        <w:pStyle w:val="Heading2"/>
        <w:spacing w:after="120" w:before="260"/>
      </w:pPr>
      <w:r>
        <w:rPr>
          <w:rFonts w:ascii="Calibri" w:cs="Calibri" w:eastAsia="Calibri" w:hAnsi="Calibri"/>
          <w:b/>
          <w:bCs/>
          <w:color w:val="1F3864"/>
          <w:sz w:val="25"/>
          <w:szCs w:val="25"/>
        </w:rPr>
        <w:t xml:space="preserve">4.3 Foreign keys are not attributes</w:t>
      </w:r>
    </w:p>
    <w:p>
      <w:pPr>
        <w:spacing w:after="120" w:before="0" w:line="276"/>
      </w:pPr>
      <w:r>
        <w:rPr>
          <w:rFonts w:ascii="Calibri" w:cs="Calibri" w:eastAsia="Calibri" w:hAnsi="Calibri"/>
          <w:sz w:val="21"/>
          <w:szCs w:val="21"/>
        </w:rPr>
        <w:t xml:space="preserve">line_id, consignee_id, cur_port_id and voyage_id do not appear as attribute ellipses on CONTAINER. They arise from the "carried by", "consigned to", "currently at" and "discharges" relationships when the diagram is mapped to relations in Section 7. Showing a foreign key as both an ellipse and a relationship double-counts it.</w:t>
      </w:r>
    </w:p>
    <w:p>
      <w:pPr>
        <w:pStyle w:val="Heading2"/>
        <w:spacing w:after="120" w:before="260"/>
      </w:pPr>
      <w:r>
        <w:rPr>
          <w:rFonts w:ascii="Calibri" w:cs="Calibri" w:eastAsia="Calibri" w:hAnsi="Calibri"/>
          <w:b/>
          <w:bCs/>
          <w:color w:val="1F3864"/>
          <w:sz w:val="25"/>
          <w:szCs w:val="25"/>
        </w:rPr>
        <w:t xml:space="preserve">4.4 Scope of the CONTAINER entity</w:t>
      </w:r>
    </w:p>
    <w:p>
      <w:pPr>
        <w:spacing w:after="120" w:before="0" w:line="276"/>
      </w:pPr>
      <w:r>
        <w:rPr>
          <w:rFonts w:ascii="Calibri" w:cs="Calibri" w:eastAsia="Calibri" w:hAnsi="Calibri"/>
          <w:sz w:val="21"/>
          <w:szCs w:val="21"/>
        </w:rPr>
        <w:t xml:space="preserve">CONTAINER represents a container’s transit through the network — from first discharge to final gate-out — not the physical box across its whole service life. This is what makes "discharges" a 1:N relationship rather than M:N, and it is why the relation holds 500,000 rows (containers currently in the system) rather than every box the operator has ever handled.</w:t>
      </w:r>
    </w:p>
    <w:p>
      <w:r>
        <w:br w:type="page"/>
      </w:r>
    </w:p>
    <w:p>
      <w:pPr>
        <w:pStyle w:val="Heading1"/>
        <w:spacing w:after="180" w:before="360"/>
      </w:pPr>
      <w:r>
        <w:rPr>
          <w:rFonts w:ascii="Calibri" w:cs="Calibri" w:eastAsia="Calibri" w:hAnsi="Calibri"/>
          <w:b/>
          <w:bCs/>
          <w:color w:val="1F3864"/>
          <w:sz w:val="30"/>
          <w:szCs w:val="30"/>
        </w:rPr>
        <w:t xml:space="preserve">5. Relationships and Cardinalities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18"/>
        <w:gridCol w:w="1922"/>
        <w:gridCol w:w="2173"/>
        <w:gridCol w:w="1755"/>
        <w:gridCol w:w="919"/>
        <w:gridCol w:w="1839"/>
      </w:tblGrid>
      <w:tr>
        <w:trPr>
          <w:tblHeader/>
        </w:trPr>
        <w:tc>
          <w:tcPr>
            <w:tcW w:type="dxa" w:w="418"/>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w:t>
            </w:r>
          </w:p>
        </w:tc>
        <w:tc>
          <w:tcPr>
            <w:tcW w:type="dxa" w:w="1922"/>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Entity 1</w:t>
            </w:r>
          </w:p>
        </w:tc>
        <w:tc>
          <w:tcPr>
            <w:tcW w:type="dxa" w:w="2173"/>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Relationship</w:t>
            </w:r>
          </w:p>
        </w:tc>
        <w:tc>
          <w:tcPr>
            <w:tcW w:type="dxa" w:w="1755"/>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Entity 2</w:t>
            </w:r>
          </w:p>
        </w:tc>
        <w:tc>
          <w:tcPr>
            <w:tcW w:type="dxa" w:w="919"/>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Card.</w:t>
            </w:r>
          </w:p>
        </w:tc>
        <w:tc>
          <w:tcPr>
            <w:tcW w:type="dxa" w:w="1839"/>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Participation</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SHIPPING_LINE</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operates</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VESSEL</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 : N</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partial : total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2</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VESSEL</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makes</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VOYAGE</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 : N</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partial : total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3</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VOYAGE</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calls at</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PORT</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4</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VOYAGE</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discharges</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 : N</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partial : total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5</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carried by</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SHIPPING_LINE</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6</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consigned to</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CONSIGNEE</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7</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currently at</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PORT</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8</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occupies</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YARD_SLOT</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partial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9</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YARD_SLOT</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located in (identifying)</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PORT</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10</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logs</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GATE_MOVE</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 : N</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partial : total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11</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GATE_MOVE</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recorded at</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PORT</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12</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CONTAINER</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declared in</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CUSTOMS_DECL</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partial : total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13</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BILL_OF_LADING</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issued for</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VOYAGE</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14</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BILL_OF_LADING</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billed to</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CONSIGNEE</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r>
        <w:trPr>
          <w:tblHeader w:val="false"/>
        </w:trPr>
        <w:tc>
          <w:tcPr>
            <w:tcW w:type="dxa" w:w="418"/>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15</w:t>
            </w:r>
          </w:p>
        </w:tc>
        <w:tc>
          <w:tcPr>
            <w:tcW w:type="dxa" w:w="1922"/>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TARIFF</w:t>
            </w:r>
          </w:p>
        </w:tc>
        <w:tc>
          <w:tcPr>
            <w:tcW w:type="dxa" w:w="2173"/>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applies at (identifying)</w:t>
            </w:r>
          </w:p>
        </w:tc>
        <w:tc>
          <w:tcPr>
            <w:tcW w:type="dxa" w:w="1755"/>
            <w:tcMar>
              <w:top w:type="dxa" w:w="50"/>
              <w:left w:type="dxa" w:w="80"/>
              <w:bottom w:type="dxa" w:w="50"/>
              <w:right w:type="dxa" w:w="80"/>
            </w:tcMar>
          </w:tcPr>
          <w:p>
            <w:pPr>
              <w:spacing w:after="0" w:before="0"/>
              <w:jc w:val="left"/>
            </w:pPr>
            <w:r>
              <w:rPr>
                <w:rFonts w:ascii="Consolas" w:cs="Consolas" w:eastAsia="Consolas" w:hAnsi="Consolas"/>
                <w:b w:val="false"/>
                <w:bCs w:val="false"/>
                <w:sz w:val="17"/>
                <w:szCs w:val="17"/>
              </w:rPr>
              <w:t xml:space="preserve">PORT</w:t>
            </w:r>
          </w:p>
        </w:tc>
        <w:tc>
          <w:tcPr>
            <w:tcW w:type="dxa" w:w="91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N : 1</w:t>
            </w:r>
          </w:p>
        </w:tc>
        <w:tc>
          <w:tcPr>
            <w:tcW w:type="dxa" w:w="1839"/>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total : partial</w:t>
            </w:r>
          </w:p>
        </w:tc>
      </w:tr>
    </w:tbl>
    <w:p>
      <w:pPr>
        <w:spacing w:after="220" w:before="80"/>
        <w:jc w:val="center"/>
      </w:pPr>
      <w:r>
        <w:rPr>
          <w:rFonts w:ascii="Calibri" w:cs="Calibri" w:eastAsia="Calibri" w:hAnsi="Calibri"/>
          <w:i/>
          <w:iCs/>
          <w:color w:val="595959"/>
          <w:sz w:val="18"/>
          <w:szCs w:val="18"/>
        </w:rPr>
        <w:t xml:space="preserve">Table 5.1 — Relationships, cardinalities and participation</w:t>
      </w:r>
    </w:p>
    <w:p>
      <w:pPr>
        <w:spacing w:after="120" w:line="276"/>
      </w:pPr>
      <w:r>
        <w:rPr>
          <w:rFonts w:ascii="Calibri" w:cs="Calibri" w:eastAsia="Calibri" w:hAnsi="Calibri"/>
          <w:b/>
          <w:bCs/>
          <w:sz w:val="21"/>
          <w:szCs w:val="21"/>
        </w:rPr>
        <w:t xml:space="preserve">There are no M:N relationships in the shared core. </w:t>
      </w:r>
      <w:r>
        <w:rPr>
          <w:rFonts w:ascii="Calibri" w:cs="Calibri" w:eastAsia="Calibri" w:hAnsi="Calibri"/>
          <w:sz w:val="21"/>
          <w:szCs w:val="21"/>
        </w:rPr>
        <w:t xml:space="preserve">The scoping decision in Section 4.4 turns what would be a many-to-many container/voyage history into a one-to-many current-transit relationship. The practical consequence is that the mapping in Section 7 produces no junction relations — every relationship becomes a foreign key. (JNPT’s local extension introduces the one M:N relationship in the design, containers loaded on rail rakes; it is modelled in Section 12.5.)</w:t>
      </w:r>
    </w:p>
    <w:p>
      <w:pPr>
        <w:spacing w:after="120" w:before="0" w:line="276"/>
      </w:pPr>
      <w:r>
        <w:rPr>
          <w:rFonts w:ascii="Calibri" w:cs="Calibri" w:eastAsia="Calibri" w:hAnsi="Calibri"/>
          <w:sz w:val="21"/>
          <w:szCs w:val="21"/>
        </w:rPr>
        <w:t xml:space="preserve">"occupies" is 1:1 with partial participation on both sides: a slot can be empty, and a container can be in transit between slots or already gated out.</w:t>
      </w:r>
    </w:p>
    <w:p>
      <w:r>
        <w:br w:type="page"/>
      </w:r>
    </w:p>
    <w:p>
      <w:pPr>
        <w:pStyle w:val="Heading1"/>
        <w:spacing w:after="180" w:before="360"/>
      </w:pPr>
      <w:r>
        <w:rPr>
          <w:rFonts w:ascii="Calibri" w:cs="Calibri" w:eastAsia="Calibri" w:hAnsi="Calibri"/>
          <w:b/>
          <w:bCs/>
          <w:color w:val="1F3864"/>
          <w:sz w:val="30"/>
          <w:szCs w:val="30"/>
        </w:rPr>
        <w:t xml:space="preserve">6. EER Diagram</w:t>
      </w:r>
    </w:p>
    <w:p>
      <w:pPr>
        <w:spacing w:after="40" w:before="160"/>
        <w:jc w:val="center"/>
      </w:pPr>
      <w:r>
        <w:drawing>
          <wp:inline distT="0" distB="0" distL="0" distR="0">
            <wp:extent cx="58102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5029200"/>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2 — EER diagram of the Container Terminal &amp; Port Logistics Network</w:t>
      </w:r>
    </w:p>
    <w:p>
      <w:r>
        <w:br w:type="page"/>
      </w:r>
    </w:p>
    <w:p>
      <w:pPr>
        <w:spacing w:after="40" w:before="16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3 — Specialization of CONTAINER (disjoint, total)</w:t>
      </w:r>
    </w:p>
    <w:p>
      <w:pPr>
        <w:spacing w:after="120" w:before="0" w:line="276"/>
      </w:pPr>
      <w:r>
        <w:rPr>
          <w:rFonts w:ascii="Calibri" w:cs="Calibri" w:eastAsia="Calibri" w:hAnsi="Calibri"/>
          <w:i/>
          <w:iCs/>
          <w:sz w:val="21"/>
          <w:szCs w:val="21"/>
        </w:rPr>
        <w:t xml:space="preserve">Figures 2 and 3 model the shared core. The entities that exist at one site only are modelled separately, per site, in Figure 6 (Section 12.5).</w:t>
      </w:r>
    </w:p>
    <w:p>
      <w:r>
        <w:br w:type="page"/>
      </w:r>
    </w:p>
    <w:p>
      <w:pPr>
        <w:pStyle w:val="Heading1"/>
        <w:spacing w:after="180" w:before="360"/>
      </w:pPr>
      <w:r>
        <w:rPr>
          <w:rFonts w:ascii="Calibri" w:cs="Calibri" w:eastAsia="Calibri" w:hAnsi="Calibri"/>
          <w:b/>
          <w:bCs/>
          <w:color w:val="1F3864"/>
          <w:sz w:val="30"/>
          <w:szCs w:val="30"/>
        </w:rPr>
        <w:t xml:space="preserve">7. Global Conceptual Schema</w:t>
      </w:r>
    </w:p>
    <w:p>
      <w:pPr>
        <w:spacing w:after="120" w:before="0" w:line="276"/>
      </w:pPr>
      <w:r>
        <w:rPr>
          <w:rFonts w:ascii="Calibri" w:cs="Calibri" w:eastAsia="Calibri" w:hAnsi="Calibri"/>
          <w:sz w:val="21"/>
          <w:szCs w:val="21"/>
        </w:rPr>
        <w:t xml:space="preserve">The EER diagram is mapped to relations by the standard seven-step algorithm. Strong entities become relations; weak entities take the owner’s key plus the partial key; 1:1 relationships place a foreign key with a UNIQUE constraint; 1:N relationships place a foreign key on the N side; there are no M:N relationships; the multivalued phone attribute becomes its own relation; and the specialization is mapped as a superclass relation plus one relation per subclass that has its own attributes.</w:t>
      </w:r>
    </w:p>
    <w:p>
      <w:pPr>
        <w:spacing w:after="120" w:line="276"/>
      </w:pPr>
      <w:r>
        <w:rPr>
          <w:rFonts w:ascii="Calibri" w:cs="Calibri" w:eastAsia="Calibri" w:hAnsi="Calibri"/>
          <w:b/>
          <w:bCs/>
          <w:sz w:val="21"/>
          <w:szCs w:val="21"/>
        </w:rPr>
        <w:t xml:space="preserve">Specialization mapping — justification. </w:t>
      </w:r>
      <w:r>
        <w:rPr>
          <w:rFonts w:ascii="Calibri" w:cs="Calibri" w:eastAsia="Calibri" w:hAnsi="Calibri"/>
          <w:sz w:val="21"/>
          <w:szCs w:val="21"/>
        </w:rPr>
        <w:t xml:space="preserve">Keeping CONTAINER intact as a single relation matters downstream: the fragmentation analysis in Section 9 runs on it, and splitting the superclass across four relations would fracture that analysis for no benefit. It also avoids NULLs for the 87% of containers that are dry. cont_type serves as the discriminator, so a query never probes three relations to learn a container’s type, and DRY needs no relation at all.</w:t>
      </w:r>
    </w:p>
    <w:p>
      <w:pPr>
        <w:spacing w:after="120" w:before="0" w:line="276"/>
      </w:pPr>
      <w:r>
        <w:rPr>
          <w:rFonts w:ascii="Calibri" w:cs="Calibri" w:eastAsia="Calibri" w:hAnsi="Calibri"/>
          <w:sz w:val="21"/>
          <w:szCs w:val="21"/>
        </w:rPr>
        <w:t xml:space="preserve">The schema below is the final form after normalization (Section 8). It is the global part of the design: every site holds its fragments of these relations. The ten relations that exist at one site only are defined in Section 12.6.</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61"/>
        <w:gridCol w:w="1715"/>
        <w:gridCol w:w="4784"/>
        <w:gridCol w:w="903"/>
        <w:gridCol w:w="1264"/>
      </w:tblGrid>
      <w:tr>
        <w:trPr>
          <w:tblHeader/>
        </w:trPr>
        <w:tc>
          <w:tcPr>
            <w:tcW w:type="dxa" w:w="361"/>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w:t>
            </w:r>
          </w:p>
        </w:tc>
        <w:tc>
          <w:tcPr>
            <w:tcW w:type="dxa" w:w="1715"/>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Relation</w:t>
            </w:r>
          </w:p>
        </w:tc>
        <w:tc>
          <w:tcPr>
            <w:tcW w:type="dxa" w:w="478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Attributes</w:t>
            </w:r>
          </w:p>
        </w:tc>
        <w:tc>
          <w:tcPr>
            <w:tcW w:type="dxa" w:w="90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Rec (B)</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Tuples</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PORT</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port_id, port_name, city, country, timezone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2</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SHIPPING_LINE</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line_id, name, country, agent_name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84</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3</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VESSEL</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vessel_id, name, imo_no, flag, capacity_teu, line_id</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52</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4</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VOYAGE</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voyage_id, vessel_id, port_id, eta, ata, atd, berth_no, status</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3,600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5</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CONSIGNEE</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consignee_id, name, street_line, area, pincode, gstin</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125</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6</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PINCODE</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pincode, city, state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46</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7</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CONSIGNEE_PHONE</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consignee_id, phone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16</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60,000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8</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cont_id, size_ft, cont_type, tare_wt, gross_wt, seal_no, hazmat_class, invoice_value, customs_status, line_id, consignee_id, cur_port_id, voyage_id</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76</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500,000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9</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YARD_BLOCK</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port_id, block, has_power, max_tier</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2,200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10</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YARD_SLOT</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port_id, block, bay, row, tier, cont_id, occupied_since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38</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550,000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bCs/>
                <w:sz w:val="15"/>
                <w:szCs w:val="15"/>
              </w:rPr>
              <w:t xml:space="preserve">11</w:t>
            </w:r>
          </w:p>
        </w:tc>
        <w:tc>
          <w:tcPr>
            <w:tcW w:type="dxa" w:w="1715"/>
            <w:tcMar>
              <w:top w:type="dxa" w:w="50"/>
              <w:left w:type="dxa" w:w="80"/>
              <w:bottom w:type="dxa" w:w="50"/>
              <w:right w:type="dxa" w:w="80"/>
            </w:tcMar>
          </w:tcPr>
          <w:p>
            <w:pPr>
              <w:spacing w:after="0" w:before="0"/>
              <w:jc w:val="left"/>
            </w:pPr>
            <w:r>
              <w:rPr>
                <w:rFonts w:ascii="Consolas" w:cs="Consolas" w:eastAsia="Consolas" w:hAnsi="Consolas"/>
                <w:b/>
                <w:bCs/>
                <w:sz w:val="15"/>
                <w:szCs w:val="15"/>
              </w:rPr>
              <w:t xml:space="preserve">GATE_MOVE</w:t>
            </w:r>
          </w:p>
        </w:tc>
        <w:tc>
          <w:tcPr>
            <w:tcW w:type="dxa" w:w="4784"/>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move_id, cont_id, port_id, ts, direction, truck_no, gate_no, operator_id</w:t>
            </w:r>
          </w:p>
        </w:tc>
        <w:tc>
          <w:tcPr>
            <w:tcW w:type="dxa" w:w="903"/>
            <w:tcMar>
              <w:top w:type="dxa" w:w="50"/>
              <w:left w:type="dxa" w:w="80"/>
              <w:bottom w:type="dxa" w:w="50"/>
              <w:right w:type="dxa" w:w="80"/>
            </w:tcMar>
          </w:tcPr>
          <w:p>
            <w:pPr>
              <w:spacing w:after="0" w:before="0"/>
              <w:jc w:val="right"/>
            </w:pPr>
            <w:r>
              <w:rPr>
                <w:rFonts w:ascii="Consolas" w:cs="Consolas" w:eastAsia="Consolas" w:hAnsi="Consolas"/>
                <w:b/>
                <w:bCs/>
                <w:sz w:val="15"/>
                <w:szCs w:val="15"/>
              </w:rPr>
              <w:t xml:space="preserve">46</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60,000,000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12</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CUSTOMS_DECL</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decl_id, cont_id, hs_code, duty_amt, filed_on, cleared_on, officer_id</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43</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450,000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13</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HS_CODE_MASTER</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hs_code, hs_description, duty_rate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56</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5,000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14</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BILL_OF_LADING</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bl_no, voyage_id, consignee_id, cont_count, freight_amt, issue_date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36</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180,000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15</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SERVICE</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service_code, service_name, currency</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39</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16</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TARIFF</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port_id, service_code, rate</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17</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CONTAINER_REEFER</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cont_id, set_point_temp, plug_id</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40,000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18</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CONTAINER_TANK</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cont_id, un_number, last_cleaned_on</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15,000</w:t>
            </w:r>
          </w:p>
        </w:tc>
      </w:tr>
      <w:tr>
        <w:trPr>
          <w:tblHeader w:val="false"/>
        </w:trPr>
        <w:tc>
          <w:tcPr>
            <w:tcW w:type="dxa" w:w="361"/>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19</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CONTAINER_OPEN_TOP</w:t>
            </w:r>
          </w:p>
        </w:tc>
        <w:tc>
          <w:tcPr>
            <w:tcW w:type="dxa" w:w="478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cont_id, over_height_cm</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15</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10,000</w:t>
            </w:r>
          </w:p>
        </w:tc>
      </w:tr>
    </w:tbl>
    <w:p>
      <w:pPr>
        <w:spacing w:after="220" w:before="80"/>
        <w:jc w:val="center"/>
      </w:pPr>
      <w:r>
        <w:rPr>
          <w:rFonts w:ascii="Calibri" w:cs="Calibri" w:eastAsia="Calibri" w:hAnsi="Calibri"/>
          <w:i/>
          <w:iCs/>
          <w:color w:val="595959"/>
          <w:sz w:val="18"/>
          <w:szCs w:val="18"/>
        </w:rPr>
        <w:t xml:space="preserve">Table 7.1 — Global conceptual schema (19 relations in 3NF)</w:t>
      </w:r>
    </w:p>
    <w:p>
      <w:pPr>
        <w:pStyle w:val="Heading2"/>
        <w:spacing w:after="120" w:before="260"/>
      </w:pPr>
      <w:r>
        <w:rPr>
          <w:rFonts w:ascii="Calibri" w:cs="Calibri" w:eastAsia="Calibri" w:hAnsi="Calibri"/>
          <w:b/>
          <w:bCs/>
          <w:color w:val="1F3864"/>
          <w:sz w:val="25"/>
          <w:szCs w:val="25"/>
        </w:rPr>
        <w:t xml:space="preserve">7.1 Primary and foreign keys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2166"/>
        <w:gridCol w:w="4694"/>
      </w:tblGrid>
      <w:tr>
        <w:trPr>
          <w:tblHeader/>
        </w:trPr>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Relation</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Primary key</w:t>
            </w:r>
          </w:p>
        </w:tc>
        <w:tc>
          <w:tcPr>
            <w:tcW w:type="dxa" w:w="469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Foreign key(s)</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PORT</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SHIPPING_LINE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line_id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VESSEL</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vessel_id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line_id → SHIPPING_LINE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VOYAGE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voyage_id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vessel_id → VESSEL; port_id → PORT</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consignee_id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pincode → PINCODE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PINCODE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pincode</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CONSIGNEE_PHONE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(consignee_id, phone)</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consignee_id → CONSIGNEE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CONTAINER</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voyage_id → VOYAGE; line_id → SHIPPING_LINE; consignee_id → CONSIGNEE; cur_port_id → PORT</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YARD_BLOCK</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block)</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 PORT</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YARD_SLOT</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block, bay, row, tier)</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block) → YARD_BLOCK; cont_id → CONTAINER (UNIQUE)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GATE_MOVE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move_id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 → CONTAINER (logical reference, not enforced); port_id → PORT</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CUSTOMS_DECL</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decl_id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 → CONTAINER (UNIQUE); hs_code → HS_CODE_MASTER</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HS_CODE_MASTER</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hs_code</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BILL_OF_LADING</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bl_no</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voyage_id → VOYAGE; consignee_id → CONSIGNEE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SERVICE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service_code</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TARIFF</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service_code)</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 PORT; service_code → SERVICE</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CONTAINER_REEFER / _TANK / _OPEN_TOP</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w:t>
            </w:r>
          </w:p>
        </w:tc>
        <w:tc>
          <w:tcPr>
            <w:tcW w:type="dxa" w:w="469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 → CONTAINER</w:t>
            </w:r>
          </w:p>
        </w:tc>
      </w:tr>
    </w:tbl>
    <w:p>
      <w:pPr>
        <w:spacing w:after="220" w:before="80"/>
        <w:jc w:val="center"/>
      </w:pPr>
      <w:r>
        <w:rPr>
          <w:rFonts w:ascii="Calibri" w:cs="Calibri" w:eastAsia="Calibri" w:hAnsi="Calibri"/>
          <w:i/>
          <w:iCs/>
          <w:color w:val="595959"/>
          <w:sz w:val="18"/>
          <w:szCs w:val="18"/>
        </w:rPr>
        <w:t xml:space="preserve">Table 7.2 — Primary and foreign keys</w:t>
      </w:r>
    </w:p>
    <w:p>
      <w:pPr>
        <w:spacing w:after="120" w:line="276"/>
      </w:pPr>
      <w:r>
        <w:rPr>
          <w:rFonts w:ascii="Calibri" w:cs="Calibri" w:eastAsia="Calibri" w:hAnsi="Calibri"/>
          <w:b/>
          <w:bCs/>
          <w:sz w:val="21"/>
          <w:szCs w:val="21"/>
        </w:rPr>
        <w:t xml:space="preserve">Why GATE_MOVE.cont_id is a logical reference. </w:t>
      </w:r>
      <w:r>
        <w:rPr>
          <w:rFonts w:ascii="Calibri" w:cs="Calibri" w:eastAsia="Calibri" w:hAnsi="Calibri"/>
          <w:sz w:val="21"/>
          <w:szCs w:val="21"/>
        </w:rPr>
        <w:t xml:space="preserve">GATE_MOVE keeps a year of history — 60 million rows — while CONTAINER holds only the containers currently in the network (Section 4.4). When a container makes its final gate-out, its CONTAINER row is deleted but its gate moves must remain. A declared foreign key would either block that delete or cascade it into the history. The reference is therefore declared logical: U1 verifies that the container exists when it inserts a move, and no constraint is enforced afterwards. The same applies to the history relations of the JNPT extension (Section 12.6). This was found during the heterogeneous-schema work and is recorded as Amendment C3.</w:t>
      </w:r>
    </w:p>
    <w:p>
      <w:r>
        <w:br w:type="page"/>
      </w:r>
    </w:p>
    <w:p>
      <w:pPr>
        <w:pStyle w:val="Heading1"/>
        <w:spacing w:after="180" w:before="360"/>
      </w:pPr>
      <w:r>
        <w:rPr>
          <w:rFonts w:ascii="Calibri" w:cs="Calibri" w:eastAsia="Calibri" w:hAnsi="Calibri"/>
          <w:b/>
          <w:bCs/>
          <w:color w:val="1F3864"/>
          <w:sz w:val="30"/>
          <w:szCs w:val="30"/>
        </w:rPr>
        <w:t xml:space="preserve">8. Normalization</w:t>
      </w:r>
    </w:p>
    <w:p>
      <w:pPr>
        <w:spacing w:after="120" w:before="0" w:line="276"/>
      </w:pPr>
      <w:r>
        <w:rPr>
          <w:rFonts w:ascii="Calibri" w:cs="Calibri" w:eastAsia="Calibri" w:hAnsi="Calibri"/>
          <w:sz w:val="21"/>
          <w:szCs w:val="21"/>
        </w:rPr>
        <w:t xml:space="preserve">This section normalizes the 19 global relations; the ten site-only relations go through the same procedure in Section 12.6. For each relation: state the functional dependencies, compute the closures that matter, identify candidate keys, then test 1NF → 2NF → 3NF in order. Only relations with a composite candidate key can violate 2NF — in this schema exactly three: YARD_SLOT, TARIFF and CONSIGNEE_PHONE. Every other relation reaches 2NF the moment it reaches 1NF.</w:t>
      </w:r>
    </w:p>
    <w:p>
      <w:pPr>
        <w:pStyle w:val="Heading2"/>
        <w:spacing w:after="120" w:before="260"/>
      </w:pPr>
      <w:r>
        <w:rPr>
          <w:rFonts w:ascii="Calibri" w:cs="Calibri" w:eastAsia="Calibri" w:hAnsi="Calibri"/>
          <w:b/>
          <w:bCs/>
          <w:color w:val="1F3864"/>
          <w:sz w:val="25"/>
          <w:szCs w:val="25"/>
        </w:rPr>
        <w:t xml:space="preserve">8.1 Violations found and resolved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1173"/>
        <w:gridCol w:w="3430"/>
        <w:gridCol w:w="2618"/>
      </w:tblGrid>
      <w:tr>
        <w:trPr>
          <w:tblHeader/>
        </w:trPr>
        <w:tc>
          <w:tcPr>
            <w:tcW w:type="dxa" w:w="180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Relation</w:t>
            </w:r>
          </w:p>
        </w:tc>
        <w:tc>
          <w:tcPr>
            <w:tcW w:type="dxa" w:w="1173"/>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NF violated</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Dependency</w:t>
            </w:r>
          </w:p>
        </w:tc>
        <w:tc>
          <w:tcPr>
            <w:tcW w:type="dxa" w:w="261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Resolution</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1NF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phone is multivalued</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 CONSIGNEE_PHONE</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1NF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address is composite</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flattened to street_line, area, pincode</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YARD_SLOT</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2NF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 block) → has_power, max_tier</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 YARD_BLOCK</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TARIFF</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2NF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service_code → service_name, currency</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 SERVICE</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VOYAGE</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3NF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vessel_id → vessel_name</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drop vessel_name</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3NF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pincode → city, state</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 PINCODE</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CUSTOMS_DECL</w:t>
            </w:r>
          </w:p>
        </w:tc>
        <w:tc>
          <w:tcPr>
            <w:tcW w:type="dxa" w:w="117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3NF</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hs_code → hs_description, duty_rate</w:t>
            </w:r>
          </w:p>
        </w:tc>
        <w:tc>
          <w:tcPr>
            <w:tcW w:type="dxa" w:w="26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 HS_CODE_MASTER</w:t>
            </w:r>
          </w:p>
        </w:tc>
      </w:tr>
    </w:tbl>
    <w:p>
      <w:pPr>
        <w:spacing w:after="220" w:before="80"/>
        <w:jc w:val="center"/>
      </w:pPr>
      <w:r>
        <w:rPr>
          <w:rFonts w:ascii="Calibri" w:cs="Calibri" w:eastAsia="Calibri" w:hAnsi="Calibri"/>
          <w:i/>
          <w:iCs/>
          <w:color w:val="595959"/>
          <w:sz w:val="18"/>
          <w:szCs w:val="18"/>
        </w:rPr>
        <w:t xml:space="preserve">Table 8.1 — Normalization violations</w:t>
      </w:r>
    </w:p>
    <w:p>
      <w:pPr>
        <w:pStyle w:val="Heading2"/>
        <w:spacing w:after="120" w:before="260"/>
      </w:pPr>
      <w:r>
        <w:rPr>
          <w:rFonts w:ascii="Calibri" w:cs="Calibri" w:eastAsia="Calibri" w:hAnsi="Calibri"/>
          <w:b/>
          <w:bCs/>
          <w:color w:val="1F3864"/>
          <w:sz w:val="25"/>
          <w:szCs w:val="25"/>
        </w:rPr>
        <w:t xml:space="preserve">8.2 Worked example — YARD_SLOT (2NF)</w:t>
      </w:r>
    </w:p>
    <w:p>
      <w:pPr>
        <w:spacing w:after="120" w:before="0" w:line="276"/>
      </w:pPr>
      <w:r>
        <w:rPr>
          <w:rFonts w:ascii="Calibri" w:cs="Calibri" w:eastAsia="Calibri" w:hAnsi="Calibri"/>
          <w:sz w:val="21"/>
          <w:szCs w:val="21"/>
        </w:rPr>
        <w:t xml:space="preserve">Whether a slot has a power connection, and how high containers may be stacked in it, are properties of the block, not of the individual slot. As first drafted:</w:t>
      </w:r>
    </w:p>
    <w:p>
      <w:pPr>
        <w:spacing w:after="0" w:before="80"/>
        <w:ind w:left="340"/>
      </w:pPr>
      <w:r>
        <w:rPr>
          <w:rFonts w:ascii="Consolas" w:cs="Consolas" w:eastAsia="Consolas" w:hAnsi="Consolas"/>
          <w:color w:val="333333"/>
          <w:sz w:val="17"/>
          <w:szCs w:val="17"/>
        </w:rPr>
        <w:t xml:space="preserve">YARD_SLOT(port_id, block, bay, row, tier, has_power, max_tier, cont_id, occupied_since)</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(port_id, block, bay, row, tier) -&gt; cont_id, occupied_since, has_power, max_tier</w:t>
      </w:r>
    </w:p>
    <w:p>
      <w:pPr>
        <w:spacing w:after="140" w:before="0"/>
        <w:ind w:left="340"/>
      </w:pPr>
      <w:r>
        <w:rPr>
          <w:rFonts w:ascii="Consolas" w:cs="Consolas" w:eastAsia="Consolas" w:hAnsi="Consolas"/>
          <w:color w:val="333333"/>
          <w:sz w:val="17"/>
          <w:szCs w:val="17"/>
        </w:rPr>
        <w:t xml:space="preserve">(port_id, block)                 -&gt; has_power, max_tier</w:t>
      </w:r>
    </w:p>
    <w:p>
      <w:pPr>
        <w:spacing w:after="120" w:before="0" w:line="276"/>
      </w:pPr>
      <w:r>
        <w:rPr>
          <w:rFonts w:ascii="Calibri" w:cs="Calibri" w:eastAsia="Calibri" w:hAnsi="Calibri"/>
          <w:sz w:val="21"/>
          <w:szCs w:val="21"/>
        </w:rPr>
        <w:t xml:space="preserve">{port_id, block, bay, row, tier}⁺ = all attributes, so it is the candidate key. (port_id, block) is a proper subset of that key and determines the non-prime attributes has_power and max_tier — a partial dependency, violating 2NF.</w:t>
      </w:r>
    </w:p>
    <w:p>
      <w:pPr>
        <w:spacing w:after="0" w:before="80"/>
        <w:ind w:left="340"/>
      </w:pPr>
      <w:r>
        <w:rPr>
          <w:rFonts w:ascii="Consolas" w:cs="Consolas" w:eastAsia="Consolas" w:hAnsi="Consolas"/>
          <w:color w:val="333333"/>
          <w:sz w:val="17"/>
          <w:szCs w:val="17"/>
        </w:rPr>
        <w:t xml:space="preserve">YARD_BLOCK(port_id, block, has_power, max_tier)                    &lt;- 3NF</w:t>
      </w:r>
    </w:p>
    <w:p>
      <w:pPr>
        <w:spacing w:after="140" w:before="0"/>
        <w:ind w:left="340"/>
      </w:pPr>
      <w:r>
        <w:rPr>
          <w:rFonts w:ascii="Consolas" w:cs="Consolas" w:eastAsia="Consolas" w:hAnsi="Consolas"/>
          <w:color w:val="333333"/>
          <w:sz w:val="17"/>
          <w:szCs w:val="17"/>
        </w:rPr>
        <w:t xml:space="preserve">YARD_SLOT(port_id, block, bay, row, tier, cont_id, occupied_since) &lt;- 3NF</w:t>
      </w:r>
    </w:p>
    <w:p>
      <w:pPr>
        <w:spacing w:after="120" w:before="0" w:line="276"/>
      </w:pPr>
      <w:r>
        <w:rPr>
          <w:rFonts w:ascii="Calibri" w:cs="Calibri" w:eastAsia="Calibri" w:hAnsi="Calibri"/>
          <w:sz w:val="21"/>
          <w:szCs w:val="21"/>
        </w:rPr>
        <w:t xml:space="preserve">This decomposition is where two of the constraints in Section 1.5 become enforceable: has_power backs the reefer-slot rule, and max_tier backs the hazmat stacking limit that Q2 checks.</w:t>
      </w:r>
    </w:p>
    <w:p>
      <w:pPr>
        <w:spacing w:after="120" w:line="276"/>
      </w:pPr>
      <w:r>
        <w:rPr>
          <w:rFonts w:ascii="Calibri" w:cs="Calibri" w:eastAsia="Calibri" w:hAnsi="Calibri"/>
          <w:b/>
          <w:bCs/>
          <w:sz w:val="21"/>
          <w:szCs w:val="21"/>
        </w:rPr>
        <w:t xml:space="preserve">On cont_id: </w:t>
      </w:r>
      <w:r>
        <w:rPr>
          <w:rFonts w:ascii="Calibri" w:cs="Calibri" w:eastAsia="Calibri" w:hAnsi="Calibri"/>
          <w:sz w:val="21"/>
          <w:szCs w:val="21"/>
        </w:rPr>
        <w:t xml:space="preserve">because "occupies" is 1:1, cont_id is unique across occupied slots. It is not a candidate key, because an empty slot has cont_id NULL and a candidate key cannot be null. It is implemented as a UNIQUE constraint.</w:t>
      </w:r>
    </w:p>
    <w:p>
      <w:pPr>
        <w:pStyle w:val="Heading2"/>
        <w:spacing w:after="120" w:before="260"/>
      </w:pPr>
      <w:r>
        <w:rPr>
          <w:rFonts w:ascii="Calibri" w:cs="Calibri" w:eastAsia="Calibri" w:hAnsi="Calibri"/>
          <w:b/>
          <w:bCs/>
          <w:color w:val="1F3864"/>
          <w:sz w:val="25"/>
          <w:szCs w:val="25"/>
        </w:rPr>
        <w:t xml:space="preserve">8.3 Worked example — CUSTOMS_DECL (3NF)</w:t>
      </w:r>
    </w:p>
    <w:p>
      <w:pPr>
        <w:spacing w:after="0" w:before="80"/>
        <w:ind w:left="340"/>
      </w:pPr>
      <w:r>
        <w:rPr>
          <w:rFonts w:ascii="Consolas" w:cs="Consolas" w:eastAsia="Consolas" w:hAnsi="Consolas"/>
          <w:color w:val="333333"/>
          <w:sz w:val="17"/>
          <w:szCs w:val="17"/>
        </w:rPr>
        <w:t xml:space="preserve">CUSTOMS_DECL(decl_id, cont_id, hs_code, hs_description, duty_rate, duty_amt,</w:t>
      </w:r>
    </w:p>
    <w:p>
      <w:pPr>
        <w:spacing w:after="0" w:before="0"/>
        <w:ind w:left="340"/>
      </w:pPr>
      <w:r>
        <w:rPr>
          <w:rFonts w:ascii="Consolas" w:cs="Consolas" w:eastAsia="Consolas" w:hAnsi="Consolas"/>
          <w:color w:val="333333"/>
          <w:sz w:val="17"/>
          <w:szCs w:val="17"/>
        </w:rPr>
        <w:t xml:space="preserve">             filed_on, cleared_on, officer_id)</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decl_id -&gt; cont_id, hs_code, hs_description, duty_rate, duty_amt, filed_on, ...</w:t>
      </w:r>
    </w:p>
    <w:p>
      <w:pPr>
        <w:spacing w:after="0" w:before="0"/>
        <w:ind w:left="340"/>
      </w:pPr>
      <w:r>
        <w:rPr>
          <w:rFonts w:ascii="Consolas" w:cs="Consolas" w:eastAsia="Consolas" w:hAnsi="Consolas"/>
          <w:color w:val="333333"/>
          <w:sz w:val="17"/>
          <w:szCs w:val="17"/>
        </w:rPr>
        <w:t xml:space="preserve">cont_id -&gt; decl_id                      (declared in is 1:1)</w:t>
      </w:r>
    </w:p>
    <w:p>
      <w:pPr>
        <w:spacing w:after="0" w:before="0"/>
        <w:ind w:left="340"/>
      </w:pPr>
      <w:r>
        <w:rPr>
          <w:rFonts w:ascii="Consolas" w:cs="Consolas" w:eastAsia="Consolas" w:hAnsi="Consolas"/>
          <w:color w:val="333333"/>
          <w:sz w:val="17"/>
          <w:szCs w:val="17"/>
        </w:rPr>
        <w:t xml:space="preserve">hs_code -&gt; hs_description, duty_rate    (the HS tariff schedule)</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{decl_id}+ = all  -&gt; candidate key</w:t>
      </w:r>
    </w:p>
    <w:p>
      <w:pPr>
        <w:spacing w:after="0" w:before="0"/>
        <w:ind w:left="340"/>
      </w:pPr>
      <w:r>
        <w:rPr>
          <w:rFonts w:ascii="Consolas" w:cs="Consolas" w:eastAsia="Consolas" w:hAnsi="Consolas"/>
          <w:color w:val="333333"/>
          <w:sz w:val="17"/>
          <w:szCs w:val="17"/>
        </w:rPr>
        <w:t xml:space="preserve">{cont_id}+ = all  -&gt; alternate key</w:t>
      </w:r>
    </w:p>
    <w:p>
      <w:pPr>
        <w:spacing w:after="140" w:before="0"/>
        <w:ind w:left="340"/>
      </w:pPr>
      <w:r>
        <w:rPr>
          <w:rFonts w:ascii="Consolas" w:cs="Consolas" w:eastAsia="Consolas" w:hAnsi="Consolas"/>
          <w:color w:val="333333"/>
          <w:sz w:val="17"/>
          <w:szCs w:val="17"/>
        </w:rPr>
        <w:t xml:space="preserve">{hs_code}+ = hs_code, hs_description, duty_rate  -&gt; NOT a superkey</w:t>
      </w:r>
    </w:p>
    <w:p>
      <w:pPr>
        <w:spacing w:after="120" w:before="0" w:line="276"/>
      </w:pPr>
      <w:r>
        <w:rPr>
          <w:rFonts w:ascii="Calibri" w:cs="Calibri" w:eastAsia="Calibri" w:hAnsi="Calibri"/>
          <w:sz w:val="21"/>
          <w:szCs w:val="21"/>
        </w:rPr>
        <w:t xml:space="preserve">decl_id → hs_code → hs_description, duty_rate is transitive, so the relation violates 3NF. The anomalies are real: a tariff revision would otherwise require updating every declaration carrying that heading, and a new HS code could not be recorded until a container was declared under it. HS_CODE_MASTER is extracted. duty_amt stays, because it is the assessed amount on that consignment, not a copy of the rate.</w:t>
      </w:r>
    </w:p>
    <w:p>
      <w:pPr>
        <w:pStyle w:val="Heading2"/>
        <w:spacing w:after="120" w:before="260"/>
      </w:pPr>
      <w:r>
        <w:rPr>
          <w:rFonts w:ascii="Calibri" w:cs="Calibri" w:eastAsia="Calibri" w:hAnsi="Calibri"/>
          <w:b/>
          <w:bCs/>
          <w:color w:val="1F3864"/>
          <w:sz w:val="25"/>
          <w:szCs w:val="25"/>
        </w:rPr>
        <w:t xml:space="preserve">8.4 Dependencies tested and rejected</w:t>
      </w:r>
    </w:p>
    <w:p>
      <w:pPr>
        <w:spacing w:after="120" w:before="0" w:line="276"/>
      </w:pPr>
      <w:r>
        <w:rPr>
          <w:rFonts w:ascii="Calibri" w:cs="Calibri" w:eastAsia="Calibri" w:hAnsi="Calibri"/>
          <w:sz w:val="21"/>
          <w:szCs w:val="21"/>
        </w:rPr>
        <w:t xml:space="preserve">Three candidate dependencies were tested and found not to hold. Rejecting a plausible FD with a domain reason is stronger evidence of understanding than decomposing on one that merely looks true.</w:t>
      </w:r>
    </w:p>
    <w:p>
      <w:pPr>
        <w:spacing w:after="120" w:line="276"/>
      </w:pPr>
      <w:r>
        <w:rPr>
          <w:rFonts w:ascii="Calibri" w:cs="Calibri" w:eastAsia="Calibri" w:hAnsi="Calibri"/>
          <w:b/>
          <w:bCs/>
          <w:sz w:val="21"/>
          <w:szCs w:val="21"/>
        </w:rPr>
        <w:t xml:space="preserve">(size_ft, cont_type) → tare_wt in CONTAINER. </w:t>
      </w:r>
      <w:r>
        <w:rPr>
          <w:rFonts w:ascii="Calibri" w:cs="Calibri" w:eastAsia="Calibri" w:hAnsi="Calibri"/>
          <w:sz w:val="21"/>
          <w:szCs w:val="21"/>
        </w:rPr>
        <w:t xml:space="preserve">Tempting, since ISO 6346 defines standard container classes. But tare weight is a measured per-unit value stencilled on each container, varying by manufacturer, repair history and flooring. Two 20-ft dry boxes routinely differ by 50–100 kg, and the difference is billable because net cargo weight is gross_wt − tare_wt. The dependency does not hold, so tare_wt stays in CONTAINER — which keeps the relation at 13 attributes for the fragmentation analysis.</w:t>
      </w:r>
    </w:p>
    <w:p>
      <w:pPr>
        <w:spacing w:after="120" w:line="276"/>
      </w:pPr>
      <w:r>
        <w:rPr>
          <w:rFonts w:ascii="Calibri" w:cs="Calibri" w:eastAsia="Calibri" w:hAnsi="Calibri"/>
          <w:b/>
          <w:bCs/>
          <w:sz w:val="21"/>
          <w:szCs w:val="21"/>
        </w:rPr>
        <w:t xml:space="preserve">gate_no → port_id in GATE_MOVE. </w:t>
      </w:r>
      <w:r>
        <w:rPr>
          <w:rFonts w:ascii="Calibri" w:cs="Calibri" w:eastAsia="Calibri" w:hAnsi="Calibri"/>
          <w:sz w:val="21"/>
          <w:szCs w:val="21"/>
        </w:rPr>
        <w:t xml:space="preserve">Gates are numbered locally — every port has a Gate 1 — so gate_no alone does not determine the port. This is load-bearing rather than a technicality: port_id is the attribute used to fragment the largest relation in the schema. Had the FD held, fragmenting GATE_MOVE would have required a join on every access.</w:t>
      </w:r>
    </w:p>
    <w:p>
      <w:pPr>
        <w:spacing w:after="120" w:line="276"/>
      </w:pPr>
      <w:r>
        <w:rPr>
          <w:rFonts w:ascii="Calibri" w:cs="Calibri" w:eastAsia="Calibri" w:hAnsi="Calibri"/>
          <w:b/>
          <w:bCs/>
          <w:sz w:val="21"/>
          <w:szCs w:val="21"/>
        </w:rPr>
        <w:t xml:space="preserve">city → country in PORT. </w:t>
      </w:r>
      <w:r>
        <w:rPr>
          <w:rFonts w:ascii="Calibri" w:cs="Calibri" w:eastAsia="Calibri" w:hAnsi="Calibri"/>
          <w:sz w:val="21"/>
          <w:szCs w:val="21"/>
        </w:rPr>
        <w:t xml:space="preserve">City names are not globally unique (Hyderabad exists in both India and Pakistan), so PORT is not decomposed on it.</w:t>
      </w:r>
    </w:p>
    <w:p>
      <w:pPr>
        <w:pStyle w:val="Heading2"/>
        <w:spacing w:after="120" w:before="260"/>
      </w:pPr>
      <w:r>
        <w:rPr>
          <w:rFonts w:ascii="Calibri" w:cs="Calibri" w:eastAsia="Calibri" w:hAnsi="Calibri"/>
          <w:b/>
          <w:bCs/>
          <w:color w:val="1F3864"/>
          <w:sz w:val="25"/>
          <w:szCs w:val="25"/>
        </w:rPr>
        <w:t xml:space="preserve">8.5 Controlled redundancy</w:t>
      </w:r>
    </w:p>
    <w:p>
      <w:pPr>
        <w:spacing w:after="120" w:before="0" w:line="276"/>
      </w:pPr>
      <w:r>
        <w:rPr>
          <w:rFonts w:ascii="Calibri" w:cs="Calibri" w:eastAsia="Calibri" w:hAnsi="Calibri"/>
          <w:sz w:val="21"/>
          <w:szCs w:val="21"/>
        </w:rPr>
        <w:t xml:space="preserve">CONTAINER.customs_status duplicates information derivable from CUSTOMS_DECL.cleared_on. This is deliberate denormalization, not an oversight. U1 runs 11,000 times a day at S2 and must check clearance before releasing a container; storing the status on CONTAINER turns that check into a single-relation read. The cost is an extra write in U3, which runs 1,300 times a day — an order of magnitude less frequent. The trade is paid for by the frequency table.</w:t>
      </w:r>
    </w:p>
    <w:p>
      <w:pPr>
        <w:pStyle w:val="Heading2"/>
        <w:spacing w:after="120" w:before="260"/>
      </w:pPr>
      <w:r>
        <w:rPr>
          <w:rFonts w:ascii="Calibri" w:cs="Calibri" w:eastAsia="Calibri" w:hAnsi="Calibri"/>
          <w:b/>
          <w:bCs/>
          <w:color w:val="1F3864"/>
          <w:sz w:val="25"/>
          <w:szCs w:val="25"/>
        </w:rPr>
        <w:t xml:space="preserve">8.6 Why stop at 3NF</w:t>
      </w:r>
    </w:p>
    <w:p>
      <w:pPr>
        <w:spacing w:after="120" w:before="0" w:line="276"/>
      </w:pPr>
      <w:r>
        <w:rPr>
          <w:rFonts w:ascii="Calibri" w:cs="Calibri" w:eastAsia="Calibri" w:hAnsi="Calibri"/>
          <w:sz w:val="21"/>
          <w:szCs w:val="21"/>
        </w:rPr>
        <w:t xml:space="preserve">The framework specifies 3NF, and the schema happens to satisfy BCNF as well. Scanning the final schema: in CONSIGNEE the determinants are consignee_id and gstin, both candidate keys; in VESSEL they are vessel_id and imo_no, both candidate keys; in PINCODE, HS_CODE_MASTER and SERVICE the only determinant is the primary key. The 3NF decomposition therefore cost nothing in lost dependency preservation. Going further would require multivalued or join dependencies, and the one multivalued fact in the design was already isolated into its own all-key relation at 1NF.</w:t>
      </w:r>
    </w:p>
    <w:p>
      <w:r>
        <w:br w:type="page"/>
      </w:r>
    </w:p>
    <w:p>
      <w:pPr>
        <w:pStyle w:val="Heading1"/>
        <w:spacing w:after="180" w:before="360"/>
      </w:pPr>
      <w:r>
        <w:rPr>
          <w:rFonts w:ascii="Calibri" w:cs="Calibri" w:eastAsia="Calibri" w:hAnsi="Calibri"/>
          <w:b/>
          <w:bCs/>
          <w:color w:val="1F3864"/>
          <w:sz w:val="30"/>
          <w:szCs w:val="30"/>
        </w:rPr>
        <w:t xml:space="preserve">9. Fragmentation</w:t>
      </w:r>
    </w:p>
    <w:p>
      <w:pPr>
        <w:pStyle w:val="Heading2"/>
        <w:spacing w:after="120" w:before="260"/>
      </w:pPr>
      <w:r>
        <w:rPr>
          <w:rFonts w:ascii="Calibri" w:cs="Calibri" w:eastAsia="Calibri" w:hAnsi="Calibri"/>
          <w:b/>
          <w:bCs/>
          <w:color w:val="1F3864"/>
          <w:sz w:val="25"/>
          <w:szCs w:val="25"/>
        </w:rPr>
        <w:t xml:space="preserve">9.1 Method, and one correction to the standard procedure</w:t>
      </w:r>
    </w:p>
    <w:p>
      <w:pPr>
        <w:spacing w:after="120" w:before="0" w:line="276"/>
      </w:pPr>
      <w:r>
        <w:rPr>
          <w:rFonts w:ascii="Calibri" w:cs="Calibri" w:eastAsia="Calibri" w:hAnsi="Calibri"/>
          <w:sz w:val="21"/>
          <w:szCs w:val="21"/>
        </w:rPr>
        <w:t xml:space="preserve">aff(Ai, Aj) is the summed frequency, over all four sites, of every transaction that accesses both Ai and Aj. All twelve global transactions are included — nine retrievals and the three updates. Q9 enters because, although it is answered through the heterogeneous export views of Section 12, each site’s branch reads gross_wt and cur_port_id of CONTAINER_C and atd of VOYAGE. The local transactions L1–L8 touch core relations only by key lookup or by whole-tuple delete (L3 closes a CONTAINER_C_2 row), so they carry no attribute-affinity information and are excluded by the rule of Section 9.1.1; L5 does enter the allocation cost model (Section 11.5). U1 and U3 between them account for 25,980 of the 31,335 daily accesses to CONTAINER, so the fragmentation that follows is driven by the gate and clearance path rather than by the analytical queries.</w:t>
      </w:r>
    </w:p>
    <w:p>
      <w:pPr>
        <w:spacing w:after="120" w:line="276"/>
      </w:pPr>
      <w:r>
        <w:rPr>
          <w:rFonts w:ascii="Calibri" w:cs="Calibri" w:eastAsia="Calibri" w:hAnsi="Calibri"/>
          <w:b/>
          <w:bCs/>
          <w:sz w:val="21"/>
          <w:szCs w:val="21"/>
        </w:rPr>
        <w:t xml:space="preserve">The primary key must be excluded from the partitioning analysis. </w:t>
      </w:r>
      <w:r>
        <w:rPr>
          <w:rFonts w:ascii="Calibri" w:cs="Calibri" w:eastAsia="Calibri" w:hAnsi="Calibri"/>
          <w:sz w:val="21"/>
          <w:szCs w:val="21"/>
        </w:rPr>
        <w:t xml:space="preserve">Running BEA on all 13 CONTAINER attributes produces Z &lt; 0 at every split point — the best available score is −22,500. The reason is structural: cont_id is accessed by all eleven transactions that touch CONTAINER, so wherever the cut falls, cont_id lies on one side and every transaction needing it plus any attribute on the other side counts as an overlap query. COQ is therefore always large and either CTQ or CBQ is always zero, forcing Z = (CTQ × CBQ) − COQ² ≤ 0.</w:t>
      </w:r>
    </w:p>
    <w:p>
      <w:pPr>
        <w:spacing w:after="120" w:before="0" w:line="276"/>
      </w:pPr>
      <w:r>
        <w:rPr>
          <w:rFonts w:ascii="Calibri" w:cs="Calibri" w:eastAsia="Calibri" w:hAnsi="Calibri"/>
          <w:sz w:val="21"/>
          <w:szCs w:val="21"/>
        </w:rPr>
        <w:t xml:space="preserve">This is an artefact of including an attribute that is replicated into every fragment by construction. Vertical fragmentation must place the key in both fragments to make reconstruction possible, so the key cannot constrain the split. All analyses below run on the non-key attributes, with the key added back to each fragment afterwards.</w:t>
      </w:r>
    </w:p>
    <w:p>
      <w:pPr>
        <w:pStyle w:val="Heading3"/>
        <w:spacing w:after="120" w:before="260"/>
      </w:pPr>
      <w:r>
        <w:rPr>
          <w:rFonts w:ascii="Calibri" w:cs="Calibri" w:eastAsia="Calibri" w:hAnsi="Calibri"/>
          <w:b/>
          <w:bCs/>
          <w:color w:val="1F3864"/>
          <w:sz w:val="22"/>
          <w:szCs w:val="22"/>
        </w:rPr>
        <w:t xml:space="preserve">9.1.1 Which transactions enter the affinity matrix</w:t>
      </w:r>
    </w:p>
    <w:p>
      <w:pPr>
        <w:spacing w:after="120" w:before="0" w:line="276"/>
      </w:pPr>
      <w:r>
        <w:rPr>
          <w:rFonts w:ascii="Calibri" w:cs="Calibri" w:eastAsia="Calibri" w:hAnsi="Calibri"/>
          <w:sz w:val="21"/>
          <w:szCs w:val="21"/>
        </w:rPr>
        <w:t xml:space="preserve">The twelve transactions above are not the only writes the database sees. Section 9.12 derives a container lifecycle load of roughly 41,000 inserts and 41,000 deletes a day network-wide, and Section 11.3 charges CONTAINER_C for it when computing replication cost. It is therefore reasonable to ask why that load does not also appear in the affinity matrix.</w:t>
      </w:r>
    </w:p>
    <w:p>
      <w:pPr>
        <w:spacing w:after="120" w:line="276"/>
      </w:pPr>
      <w:r>
        <w:rPr>
          <w:rFonts w:ascii="Calibri" w:cs="Calibri" w:eastAsia="Calibri" w:hAnsi="Calibri"/>
          <w:b/>
          <w:bCs/>
          <w:sz w:val="21"/>
          <w:szCs w:val="21"/>
        </w:rPr>
        <w:t xml:space="preserve">The rule applied here: </w:t>
      </w:r>
      <w:r>
        <w:rPr>
          <w:rFonts w:ascii="Calibri" w:cs="Calibri" w:eastAsia="Calibri" w:hAnsi="Calibri"/>
          <w:sz w:val="21"/>
          <w:szCs w:val="21"/>
        </w:rPr>
        <w:t xml:space="preserve">whole-tuple operations — inserts and deletes — are excluded from the attribute affinity matrix, but included in the allocation cost model.</w:t>
      </w:r>
    </w:p>
    <w:p>
      <w:pPr>
        <w:spacing w:after="120" w:before="0" w:line="276"/>
      </w:pPr>
      <w:r>
        <w:rPr>
          <w:rFonts w:ascii="Calibri" w:cs="Calibri" w:eastAsia="Calibri" w:hAnsi="Calibri"/>
          <w:sz w:val="21"/>
          <w:szCs w:val="21"/>
        </w:rPr>
        <w:t xml:space="preserve">The justification is that an insert accesses every attribute of the tuple by definition, so it carries no information about which attributes belong together. It contributes the same affinity to every pair, which is the numerical equivalent of saying nothing. Its effect is not neutral, though: because it spans any cut, it lands in the overlap set at every split point and drives Z negative regardless of the data.</w:t>
      </w:r>
    </w:p>
    <w:p>
      <w:pPr>
        <w:spacing w:after="120" w:before="0" w:line="276"/>
      </w:pPr>
      <w:r>
        <w:rPr>
          <w:rFonts w:ascii="Calibri" w:cs="Calibri" w:eastAsia="Calibri" w:hAnsi="Calibri"/>
          <w:sz w:val="21"/>
          <w:szCs w:val="21"/>
        </w:rPr>
        <w:t xml:space="preserve">The magnitude is worth stating, because it shows the rule is load-bearing rather than a convenience: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791"/>
        <w:gridCol w:w="1986"/>
        <w:gridCol w:w="3249"/>
      </w:tblGrid>
      <w:tr>
        <w:trPr>
          <w:tblHeader/>
        </w:trPr>
        <w:tc>
          <w:tcPr>
            <w:tcW w:type="dxa" w:w="3791"/>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Workload used for the affinity matrix</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Best Z</w:t>
            </w:r>
          </w:p>
        </w:tc>
        <w:tc>
          <w:tcPr>
            <w:tcW w:type="dxa" w:w="3249"/>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Resulting split</w:t>
            </w:r>
          </w:p>
        </w:tc>
      </w:tr>
      <w:tr>
        <w:trPr>
          <w:tblHeader w:val="false"/>
        </w:trPr>
        <w:tc>
          <w:tcPr>
            <w:tcW w:type="dxa" w:w="379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Twelve transactions (as analysed here)</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+106,932,375</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{seal_no, customs_status} vs the rest</w:t>
            </w:r>
          </w:p>
        </w:tc>
      </w:tr>
      <w:tr>
        <w:trPr>
          <w:tblHeader w:val="false"/>
        </w:trPr>
        <w:tc>
          <w:tcPr>
            <w:tcW w:type="dxa" w:w="379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Plus container lifecycle (82,000/day, all attributes)</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−6,748,622,500</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none — every split negative</w:t>
            </w:r>
          </w:p>
        </w:tc>
      </w:tr>
    </w:tbl>
    <w:p>
      <w:pPr>
        <w:spacing w:after="220" w:before="80"/>
        <w:jc w:val="center"/>
      </w:pPr>
      <w:r>
        <w:rPr>
          <w:rFonts w:ascii="Calibri" w:cs="Calibri" w:eastAsia="Calibri" w:hAnsi="Calibri"/>
          <w:i/>
          <w:iCs/>
          <w:color w:val="595959"/>
          <w:sz w:val="18"/>
          <w:szCs w:val="18"/>
        </w:rPr>
        <w:t xml:space="preserve">Table 9.0 — Effect of admitting whole-tuple operations into the affinity matrix</w:t>
      </w:r>
    </w:p>
    <w:p>
      <w:pPr>
        <w:spacing w:after="120" w:before="0" w:line="276"/>
      </w:pPr>
      <w:r>
        <w:rPr>
          <w:rFonts w:ascii="Calibri" w:cs="Calibri" w:eastAsia="Calibri" w:hAnsi="Calibri"/>
          <w:sz w:val="21"/>
          <w:szCs w:val="21"/>
        </w:rPr>
        <w:t xml:space="preserve">Admitting them would make vertical fragmentation impossible for every relation in every design, not merely this one — which is the clearest evidence that the metric is being asked the wrong question. The cost model in Section 11 has no such problem: a replica genuinely must absorb every insert and delete, so they belong there in full.</w:t>
      </w:r>
    </w:p>
    <w:p>
      <w:pPr>
        <w:spacing w:after="120" w:before="0" w:line="276"/>
      </w:pPr>
      <w:r>
        <w:rPr>
          <w:rFonts w:ascii="Calibri" w:cs="Calibri" w:eastAsia="Calibri" w:hAnsi="Calibri"/>
          <w:sz w:val="21"/>
          <w:szCs w:val="21"/>
        </w:rPr>
        <w:t xml:space="preserve">State the rule before the matrices rather than after, and the two sections are consistent by construction.</w:t>
      </w:r>
    </w:p>
    <w:p>
      <w:pPr>
        <w:pStyle w:val="Heading2"/>
        <w:spacing w:after="120" w:before="260"/>
      </w:pPr>
      <w:r>
        <w:rPr>
          <w:rFonts w:ascii="Calibri" w:cs="Calibri" w:eastAsia="Calibri" w:hAnsi="Calibri"/>
          <w:b/>
          <w:bCs/>
          <w:color w:val="1F3864"/>
          <w:sz w:val="25"/>
          <w:szCs w:val="25"/>
        </w:rPr>
        <w:t xml:space="preserve">9.2 Attribute usage matrix — CONTAINER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52"/>
        <w:gridCol w:w="564"/>
        <w:gridCol w:w="564"/>
        <w:gridCol w:w="564"/>
        <w:gridCol w:w="564"/>
        <w:gridCol w:w="564"/>
        <w:gridCol w:w="564"/>
        <w:gridCol w:w="564"/>
        <w:gridCol w:w="564"/>
        <w:gridCol w:w="658"/>
        <w:gridCol w:w="658"/>
        <w:gridCol w:w="658"/>
        <w:gridCol w:w="658"/>
        <w:gridCol w:w="1128"/>
      </w:tblGrid>
      <w:tr>
        <w:trPr>
          <w:tblHeader/>
        </w:trPr>
        <w:tc>
          <w:tcPr>
            <w:tcW w:type="dxa" w:w="752"/>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A2</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A3</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A4</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A5</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A6</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A7</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A8</w:t>
            </w:r>
          </w:p>
        </w:tc>
        <w:tc>
          <w:tcPr>
            <w:tcW w:type="dxa" w:w="5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A9</w:t>
            </w:r>
          </w:p>
        </w:tc>
        <w:tc>
          <w:tcPr>
            <w:tcW w:type="dxa" w:w="65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A10</w:t>
            </w:r>
          </w:p>
        </w:tc>
        <w:tc>
          <w:tcPr>
            <w:tcW w:type="dxa" w:w="65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A11</w:t>
            </w:r>
          </w:p>
        </w:tc>
        <w:tc>
          <w:tcPr>
            <w:tcW w:type="dxa" w:w="65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A12</w:t>
            </w:r>
          </w:p>
        </w:tc>
        <w:tc>
          <w:tcPr>
            <w:tcW w:type="dxa" w:w="65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A13</w:t>
            </w:r>
          </w:p>
        </w:tc>
        <w:tc>
          <w:tcPr>
            <w:tcW w:type="dxa" w:w="1128"/>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freq</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860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Q2</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200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Q3</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325</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Q5</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410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Q6</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105</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Q7</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150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Q8</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Q9</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25</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U1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23,200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U2</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3,100</w:t>
            </w:r>
          </w:p>
        </w:tc>
      </w:tr>
      <w:tr>
        <w:trPr>
          <w:tblHeader w:val="false"/>
        </w:trPr>
        <w:tc>
          <w:tcPr>
            <w:tcW w:type="dxa" w:w="75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U3</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5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1</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658"/>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0</w:t>
            </w:r>
          </w:p>
        </w:tc>
        <w:tc>
          <w:tcPr>
            <w:tcW w:type="dxa" w:w="1128"/>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2,780</w:t>
            </w:r>
          </w:p>
        </w:tc>
      </w:tr>
    </w:tbl>
    <w:p>
      <w:pPr>
        <w:spacing w:after="220" w:before="80"/>
        <w:jc w:val="center"/>
      </w:pPr>
      <w:r>
        <w:rPr>
          <w:rFonts w:ascii="Calibri" w:cs="Calibri" w:eastAsia="Calibri" w:hAnsi="Calibri"/>
          <w:i/>
          <w:iCs/>
          <w:color w:val="595959"/>
          <w:sz w:val="18"/>
          <w:szCs w:val="18"/>
        </w:rPr>
        <w:t xml:space="preserve">Table 9.1 — Attribute usage matrix. A2 size_ft · A3 cont_type · A4 tare_wt · A5 gross_wt · A6 seal_no · A7 hazmat_class · A8 line_id · A9 consignee_id · A10 invoice_value · A11 customs_status · A12 cur_port_id · A13 voyage_id</w:t>
      </w:r>
    </w:p>
    <w:p>
      <w:pPr>
        <w:pStyle w:val="Heading2"/>
        <w:spacing w:after="120" w:before="260"/>
      </w:pPr>
      <w:r>
        <w:rPr>
          <w:rFonts w:ascii="Calibri" w:cs="Calibri" w:eastAsia="Calibri" w:hAnsi="Calibri"/>
          <w:b/>
          <w:bCs/>
          <w:color w:val="1F3864"/>
          <w:sz w:val="25"/>
          <w:szCs w:val="25"/>
        </w:rPr>
        <w:t xml:space="preserve">9.3 Attribute affinity matrix</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722"/>
        <w:gridCol w:w="632"/>
        <w:gridCol w:w="632"/>
        <w:gridCol w:w="722"/>
        <w:gridCol w:w="812"/>
        <w:gridCol w:w="722"/>
        <w:gridCol w:w="632"/>
        <w:gridCol w:w="632"/>
        <w:gridCol w:w="632"/>
        <w:gridCol w:w="812"/>
        <w:gridCol w:w="722"/>
        <w:gridCol w:w="632"/>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4"/>
                <w:szCs w:val="14"/>
              </w:rPr>
              <w:t xml:space="preserve"/>
            </w:r>
          </w:p>
        </w:tc>
        <w:tc>
          <w:tcPr>
            <w:tcW w:type="dxa" w:w="72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A2</w:t>
            </w:r>
          </w:p>
        </w:tc>
        <w:tc>
          <w:tcPr>
            <w:tcW w:type="dxa" w:w="63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A3</w:t>
            </w:r>
          </w:p>
        </w:tc>
        <w:tc>
          <w:tcPr>
            <w:tcW w:type="dxa" w:w="63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A4</w:t>
            </w:r>
          </w:p>
        </w:tc>
        <w:tc>
          <w:tcPr>
            <w:tcW w:type="dxa" w:w="72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A5</w:t>
            </w:r>
          </w:p>
        </w:tc>
        <w:tc>
          <w:tcPr>
            <w:tcW w:type="dxa" w:w="81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A6</w:t>
            </w:r>
          </w:p>
        </w:tc>
        <w:tc>
          <w:tcPr>
            <w:tcW w:type="dxa" w:w="72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A7</w:t>
            </w:r>
          </w:p>
        </w:tc>
        <w:tc>
          <w:tcPr>
            <w:tcW w:type="dxa" w:w="63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A8</w:t>
            </w:r>
          </w:p>
        </w:tc>
        <w:tc>
          <w:tcPr>
            <w:tcW w:type="dxa" w:w="63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A9</w:t>
            </w:r>
          </w:p>
        </w:tc>
        <w:tc>
          <w:tcPr>
            <w:tcW w:type="dxa" w:w="63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A10</w:t>
            </w:r>
          </w:p>
        </w:tc>
        <w:tc>
          <w:tcPr>
            <w:tcW w:type="dxa" w:w="81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A11</w:t>
            </w:r>
          </w:p>
        </w:tc>
        <w:tc>
          <w:tcPr>
            <w:tcW w:type="dxa" w:w="72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A12</w:t>
            </w:r>
          </w:p>
        </w:tc>
        <w:tc>
          <w:tcPr>
            <w:tcW w:type="dxa" w:w="63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A13</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A2</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4520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1270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3100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1420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A3</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A4</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A5</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1270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1295</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1295</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A6</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24060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23200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A7</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3100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3300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200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A8</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A9</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285</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180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285</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A10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180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180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180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A11</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23200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26305</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325</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A12</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1420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410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1295</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860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200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285</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180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325</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2255</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A13</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0</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c>
          <w:tcPr>
            <w:tcW w:type="dxa" w:w="63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150</w:t>
            </w:r>
          </w:p>
        </w:tc>
      </w:tr>
    </w:tbl>
    <w:p>
      <w:pPr>
        <w:spacing w:after="220" w:before="80"/>
        <w:jc w:val="center"/>
      </w:pPr>
      <w:r>
        <w:rPr>
          <w:rFonts w:ascii="Calibri" w:cs="Calibri" w:eastAsia="Calibri" w:hAnsi="Calibri"/>
          <w:i/>
          <w:iCs/>
          <w:color w:val="595959"/>
          <w:sz w:val="18"/>
          <w:szCs w:val="18"/>
        </w:rPr>
        <w:t xml:space="preserve">Table 9.2 — Attribute affinity matrix</w:t>
      </w:r>
    </w:p>
    <w:p>
      <w:pPr>
        <w:spacing w:after="120" w:before="0" w:line="276"/>
      </w:pPr>
      <w:r>
        <w:rPr>
          <w:rFonts w:ascii="Calibri" w:cs="Calibri" w:eastAsia="Calibri" w:hAnsi="Calibri"/>
          <w:sz w:val="21"/>
          <w:szCs w:val="21"/>
        </w:rPr>
        <w:t xml:space="preserve">The aff(A6, A11) = 23,200 cell dominates everything else by an order of magnitude. That single number is the whole story of this fragmentation: the gate check reads seal_no and customs_status together, 23,200 times a day.</w:t>
      </w:r>
    </w:p>
    <w:p>
      <w:pPr>
        <w:pStyle w:val="Heading2"/>
        <w:spacing w:after="120" w:before="260"/>
      </w:pPr>
      <w:r>
        <w:rPr>
          <w:rFonts w:ascii="Calibri" w:cs="Calibri" w:eastAsia="Calibri" w:hAnsi="Calibri"/>
          <w:b/>
          <w:bCs/>
          <w:color w:val="1F3864"/>
          <w:sz w:val="25"/>
          <w:szCs w:val="25"/>
        </w:rPr>
        <w:t xml:space="preserve">9.4 BEA clustering and split quality</w:t>
      </w:r>
    </w:p>
    <w:p>
      <w:pPr>
        <w:spacing w:after="120" w:before="0" w:line="276"/>
      </w:pPr>
      <w:r>
        <w:rPr>
          <w:rFonts w:ascii="Calibri" w:cs="Calibri" w:eastAsia="Calibri" w:hAnsi="Calibri"/>
          <w:sz w:val="21"/>
          <w:szCs w:val="21"/>
        </w:rPr>
        <w:t xml:space="preserve">Applying cont(Ai, Ak, Aj) = 2·bond(Ai,Ak) + 2·bond(Ak,Aj) − 2·bond(Ai,Aj), placing one column at a time at its position of maximum contribution, yields the clustered order:</w:t>
      </w:r>
    </w:p>
    <w:p>
      <w:pPr>
        <w:spacing w:after="140" w:before="80"/>
        <w:ind w:left="340"/>
      </w:pPr>
      <w:r>
        <w:rPr>
          <w:rFonts w:ascii="Consolas" w:cs="Consolas" w:eastAsia="Consolas" w:hAnsi="Consolas"/>
          <w:color w:val="333333"/>
          <w:sz w:val="17"/>
          <w:szCs w:val="17"/>
        </w:rPr>
        <w:t xml:space="preserve">A10  A9  A4  A5  A7  A2  A12  A6  A11  A3  A13  A8</w:t>
      </w:r>
    </w:p>
    <w:p>
      <w:pPr>
        <w:spacing w:after="120" w:before="0" w:line="276"/>
      </w:pPr>
      <w:r>
        <w:rPr>
          <w:rFonts w:ascii="Calibri" w:cs="Calibri" w:eastAsia="Calibri" w:hAnsi="Calibri"/>
          <w:sz w:val="21"/>
          <w:szCs w:val="21"/>
        </w:rPr>
        <w:t xml:space="preserve">A11 placing next to A6 with a contribution of 2,330,658,000 — three orders of magnitude above any other placement — is the algorithm recovering the gate-check pair. Evaluating Z = (CTQ × CBQ) − COQ² at each cut point: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2527"/>
        <w:gridCol w:w="1264"/>
        <w:gridCol w:w="1264"/>
        <w:gridCol w:w="1264"/>
        <w:gridCol w:w="1986"/>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Cut</w:t>
            </w:r>
          </w:p>
        </w:tc>
        <w:tc>
          <w:tcPr>
            <w:tcW w:type="dxa" w:w="2527"/>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TA (left of cut)</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CTQ</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CBQ</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COQ</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Z</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1</w:t>
            </w:r>
          </w:p>
        </w:tc>
        <w:tc>
          <w:tcPr>
            <w:tcW w:type="dxa" w:w="252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A10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31,155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180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−32,400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2</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A10,A9</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31,050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285</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−81,225</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3</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+A4</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30,640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695</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−483,025</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4</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29,755</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1,580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−2,496,400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5</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+A7</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26,455</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4,880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−23,814,400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6</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3,100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26,305</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1,930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77,820,600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bCs/>
                <w:sz w:val="16"/>
                <w:szCs w:val="16"/>
              </w:rPr>
              <w:t xml:space="preserve">7</w:t>
            </w:r>
          </w:p>
        </w:tc>
        <w:tc>
          <w:tcPr>
            <w:tcW w:type="dxa" w:w="2527"/>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+A12</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4,020</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25,980</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1,335</w:t>
            </w:r>
          </w:p>
        </w:tc>
        <w:tc>
          <w:tcPr>
            <w:tcW w:type="dxa" w:w="198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102,657,375</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8</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+A6</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4,020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2,780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24,535</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−590,790,625</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9</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+A11</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30,325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1,010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−1,020,100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10</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+A3</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31,185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150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−22,500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11</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+A13</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31,185</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150</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−22,500</w:t>
            </w:r>
          </w:p>
        </w:tc>
      </w:tr>
    </w:tbl>
    <w:p>
      <w:pPr>
        <w:spacing w:after="220" w:before="80"/>
        <w:jc w:val="center"/>
      </w:pPr>
      <w:r>
        <w:rPr>
          <w:rFonts w:ascii="Calibri" w:cs="Calibri" w:eastAsia="Calibri" w:hAnsi="Calibri"/>
          <w:i/>
          <w:iCs/>
          <w:color w:val="595959"/>
          <w:sz w:val="18"/>
          <w:szCs w:val="18"/>
        </w:rPr>
        <w:t xml:space="preserve">Table 9.3 — Split quality at each cut point. BEA result: cut 7, Z = 102,657,375</w:t>
      </w:r>
    </w:p>
    <w:p>
      <w:pPr>
        <w:spacing w:after="120" w:before="0" w:line="276"/>
      </w:pPr>
      <w:r>
        <w:rPr>
          <w:rFonts w:ascii="Calibri" w:cs="Calibri" w:eastAsia="Calibri" w:hAnsi="Calibri"/>
          <w:sz w:val="21"/>
          <w:szCs w:val="21"/>
        </w:rPr>
        <w:t xml:space="preserve">The collapse at cut 8 is instructive — it separates A6 from A11, which puts U1 into the overlap set and costs roughly 690 million in Z.</w:t>
      </w:r>
    </w:p>
    <w:p>
      <w:pPr>
        <w:pStyle w:val="Heading2"/>
        <w:spacing w:after="120" w:before="260"/>
      </w:pPr>
      <w:r>
        <w:rPr>
          <w:rFonts w:ascii="Calibri" w:cs="Calibri" w:eastAsia="Calibri" w:hAnsi="Calibri"/>
          <w:b/>
          <w:bCs/>
          <w:color w:val="1F3864"/>
          <w:sz w:val="25"/>
          <w:szCs w:val="25"/>
        </w:rPr>
        <w:t xml:space="preserve">9.5 Exhaustive verification</w:t>
      </w:r>
    </w:p>
    <w:p>
      <w:pPr>
        <w:spacing w:after="120" w:before="0" w:line="276"/>
      </w:pPr>
      <w:r>
        <w:rPr>
          <w:rFonts w:ascii="Calibri" w:cs="Calibri" w:eastAsia="Calibri" w:hAnsi="Calibri"/>
          <w:sz w:val="21"/>
          <w:szCs w:val="21"/>
        </w:rPr>
        <w:t xml:space="preserve">BEA evaluates only contiguous cuts of the clustered order, so it searches 11 of the 4,094 possible binary partitions. Evaluating all of them shows BEA’s answer ranks 5th, 4.0% below optimum:</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264"/>
        <w:gridCol w:w="5596"/>
        <w:gridCol w:w="2166"/>
      </w:tblGrid>
      <w:tr>
        <w:trPr>
          <w:tblHeader/>
        </w:trPr>
        <w:tc>
          <w:tcPr>
            <w:tcW w:type="dxa" w:w="126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
            </w:r>
          </w:p>
        </w:tc>
        <w:tc>
          <w:tcPr>
            <w:tcW w:type="dxa" w:w="559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Partition</w:t>
            </w:r>
          </w:p>
        </w:tc>
        <w:tc>
          <w:tcPr>
            <w:tcW w:type="dxa" w:w="216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Z</w:t>
            </w:r>
          </w:p>
        </w:tc>
      </w:tr>
      <w:tr>
        <w:trPr>
          <w:tblHeader w:val="false"/>
        </w:trPr>
        <w:tc>
          <w:tcPr>
            <w:tcW w:type="dxa" w:w="1264"/>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Optimum</w:t>
            </w:r>
          </w:p>
        </w:tc>
        <w:tc>
          <w:tcPr>
            <w:tcW w:type="dxa" w:w="5596"/>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F_a = {seal_no, customs_status} · F_b = the other ten</w:t>
            </w:r>
          </w:p>
        </w:tc>
        <w:tc>
          <w:tcPr>
            <w:tcW w:type="dxa" w:w="216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106,932,375</w:t>
            </w:r>
          </w:p>
        </w:tc>
      </w:tr>
      <w:tr>
        <w:trPr>
          <w:tblHeader w:val="false"/>
        </w:trPr>
        <w:tc>
          <w:tcPr>
            <w:tcW w:type="dxa" w:w="1264"/>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BEA</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F_a = {size_ft, tare_wt, gross_wt, hazmat_class, consignee_id, invoice_value, cur_port_id}</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102,657,375</w:t>
            </w:r>
          </w:p>
        </w:tc>
      </w:tr>
    </w:tbl>
    <w:p>
      <w:pPr>
        <w:spacing w:after="220" w:before="80"/>
        <w:jc w:val="center"/>
      </w:pPr>
      <w:r>
        <w:rPr>
          <w:rFonts w:ascii="Calibri" w:cs="Calibri" w:eastAsia="Calibri" w:hAnsi="Calibri"/>
          <w:i/>
          <w:iCs/>
          <w:color w:val="595959"/>
          <w:sz w:val="18"/>
          <w:szCs w:val="18"/>
        </w:rPr>
        <w:t xml:space="preserve">Table 9.4 — BEA result against the exhaustive optimum</w:t>
      </w:r>
    </w:p>
    <w:p>
      <w:pPr>
        <w:spacing w:after="120" w:before="0" w:line="276"/>
      </w:pPr>
      <w:r>
        <w:rPr>
          <w:rFonts w:ascii="Calibri" w:cs="Calibri" w:eastAsia="Calibri" w:hAnsi="Calibri"/>
          <w:sz w:val="21"/>
          <w:szCs w:val="21"/>
        </w:rPr>
        <w:t xml:space="preserve">The optimum is also far more interpretable: it isolates exactly the two attributes the gate check reads. Three other partitions tie for it, differing only in where the low-affinity attributes land; among the tied optima the one with the smallest hot fragment is chosen, since that fragment is read 25,980 times a day.</w:t>
      </w:r>
    </w:p>
    <w:p>
      <w:pPr>
        <w:pStyle w:val="Heading2"/>
        <w:spacing w:after="120" w:before="260"/>
      </w:pPr>
      <w:r>
        <w:rPr>
          <w:rFonts w:ascii="Calibri" w:cs="Calibri" w:eastAsia="Calibri" w:hAnsi="Calibri"/>
          <w:b/>
          <w:bCs/>
          <w:color w:val="1F3864"/>
          <w:sz w:val="25"/>
          <w:szCs w:val="25"/>
        </w:rPr>
        <w:t xml:space="preserve">9.6 Adopted vertical fragmentation of CONTAINER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3610"/>
        <w:gridCol w:w="903"/>
        <w:gridCol w:w="1354"/>
        <w:gridCol w:w="993"/>
      </w:tblGrid>
      <w:tr>
        <w:trPr>
          <w:tblHeader/>
        </w:trPr>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Fragment</w:t>
            </w:r>
          </w:p>
        </w:tc>
        <w:tc>
          <w:tcPr>
            <w:tcW w:type="dxa" w:w="361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Attributes</w:t>
            </w:r>
          </w:p>
        </w:tc>
        <w:tc>
          <w:tcPr>
            <w:tcW w:type="dxa" w:w="903"/>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Record</w:t>
            </w:r>
          </w:p>
        </w:tc>
        <w:tc>
          <w:tcPr>
            <w:tcW w:type="dxa" w:w="135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Read by</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Freq/day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CONTAINER_G (gate &amp; clearance)</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 seal_no, customs_status</w:t>
            </w:r>
          </w:p>
        </w:tc>
        <w:tc>
          <w:tcPr>
            <w:tcW w:type="dxa" w:w="903"/>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33 B</w:t>
            </w:r>
          </w:p>
        </w:tc>
        <w:tc>
          <w:tcPr>
            <w:tcW w:type="dxa" w:w="135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U1, U3</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25,980</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 (cargo, yard &amp; commercial)</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cont_id, size_ft, cont_type, tare_wt, gross_wt, hazmat_class, line_id, consignee_id, invoice_value, cur_port_id, voyage_id</w:t>
            </w:r>
          </w:p>
        </w:tc>
        <w:tc>
          <w:tcPr>
            <w:tcW w:type="dxa" w:w="903"/>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54 B</w:t>
            </w:r>
          </w:p>
        </w:tc>
        <w:tc>
          <w:tcPr>
            <w:tcW w:type="dxa" w:w="135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Q2, Q5–Q9, U2</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4,170</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both</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c>
          <w:tcPr>
            <w:tcW w:type="dxa" w:w="903"/>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c>
          <w:tcPr>
            <w:tcW w:type="dxa" w:w="135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Q1, Q3</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1,185</w:t>
            </w:r>
          </w:p>
        </w:tc>
      </w:tr>
    </w:tbl>
    <w:p>
      <w:pPr>
        <w:spacing w:after="220" w:before="80"/>
        <w:jc w:val="center"/>
      </w:pPr>
      <w:r>
        <w:rPr>
          <w:rFonts w:ascii="Calibri" w:cs="Calibri" w:eastAsia="Calibri" w:hAnsi="Calibri"/>
          <w:i/>
          <w:iCs/>
          <w:color w:val="595959"/>
          <w:sz w:val="18"/>
          <w:szCs w:val="18"/>
        </w:rPr>
        <w:t xml:space="preserve">Table 9.5 — Adopted vertical fragmentation</w:t>
      </w:r>
    </w:p>
    <w:p>
      <w:pPr>
        <w:spacing w:after="140" w:before="80"/>
        <w:ind w:left="340"/>
      </w:pPr>
      <w:r>
        <w:rPr>
          <w:rFonts w:ascii="Consolas" w:cs="Consolas" w:eastAsia="Consolas" w:hAnsi="Consolas"/>
          <w:color w:val="333333"/>
          <w:sz w:val="17"/>
          <w:szCs w:val="17"/>
        </w:rPr>
        <w:t xml:space="preserve">Z = 25,980 x 4,170 - 1,185^2 = 108,336,600 - 1,404,225 = 106,932,375</w:t>
      </w:r>
    </w:p>
    <w:p>
      <w:pPr>
        <w:spacing w:after="120" w:before="0" w:line="276"/>
      </w:pPr>
      <w:r>
        <w:rPr>
          <w:rFonts w:ascii="Calibri" w:cs="Calibri" w:eastAsia="Calibri" w:hAnsi="Calibri"/>
          <w:sz w:val="21"/>
          <w:szCs w:val="21"/>
        </w:rPr>
        <w:t xml:space="preserve">Storage: 33 + 54 = 87 B against 76 B unfragmented — 11 B (14.5%) of key-replication overhead, the price of reconstruction. The payoff: the highest-frequency transaction in the entire workload now reads a 33-byte fragment instead of a 76-byte record — 57% less data per access, 23,200 times a day.</w:t>
      </w:r>
    </w:p>
    <w:p>
      <w:pPr>
        <w:pStyle w:val="Heading2"/>
        <w:spacing w:after="120" w:before="260"/>
      </w:pPr>
      <w:r>
        <w:rPr>
          <w:rFonts w:ascii="Calibri" w:cs="Calibri" w:eastAsia="Calibri" w:hAnsi="Calibri"/>
          <w:b/>
          <w:bCs/>
          <w:color w:val="1F3864"/>
          <w:sz w:val="25"/>
          <w:szCs w:val="25"/>
        </w:rPr>
        <w:t xml:space="preserve">9.7 The other relations — computed, then excluded</w:t>
      </w:r>
    </w:p>
    <w:p>
      <w:pPr>
        <w:spacing w:after="120" w:before="0" w:line="276"/>
      </w:pPr>
      <w:r>
        <w:rPr>
          <w:rFonts w:ascii="Calibri" w:cs="Calibri" w:eastAsia="Calibri" w:hAnsi="Calibri"/>
          <w:sz w:val="21"/>
          <w:szCs w:val="21"/>
        </w:rPr>
        <w:t xml:space="preserve">Every candidate relation was put through the same procedure. Only CONTAINER yields a beneficial split.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1986"/>
        <w:gridCol w:w="5235"/>
      </w:tblGrid>
      <w:tr>
        <w:trPr>
          <w:tblHeader/>
        </w:trPr>
        <w:tc>
          <w:tcPr>
            <w:tcW w:type="dxa" w:w="180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Relation</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Best Z</w:t>
            </w:r>
          </w:p>
        </w:tc>
        <w:tc>
          <w:tcPr>
            <w:tcW w:type="dxa" w:w="523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Verdict</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CONTAINER</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+106,932,375</w:t>
            </w:r>
          </w:p>
        </w:tc>
        <w:tc>
          <w:tcPr>
            <w:tcW w:type="dxa" w:w="523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Fragment</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CUSTOMS_DECL</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523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Do not fragment — hs_code and officer_id are cold</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VOYAGE</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7,500</w:t>
            </w:r>
          </w:p>
        </w:tc>
        <w:tc>
          <w:tcPr>
            <w:tcW w:type="dxa" w:w="523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Do not fragment — the only positive split isolates atd for Q9 (25/day) and saves about 11 ms a day</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523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Fragment anyway, on replication grounds (below)</w:t>
            </w:r>
          </w:p>
        </w:tc>
      </w:tr>
      <w:tr>
        <w:trPr>
          <w:tblHeader w:val="false"/>
        </w:trPr>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GATE_MOVE</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−538,240,000</w:t>
            </w:r>
          </w:p>
        </w:tc>
        <w:tc>
          <w:tcPr>
            <w:tcW w:type="dxa" w:w="523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Do not fragment</w:t>
            </w:r>
          </w:p>
        </w:tc>
      </w:tr>
    </w:tbl>
    <w:p>
      <w:pPr>
        <w:spacing w:after="220" w:before="80"/>
        <w:jc w:val="center"/>
      </w:pPr>
      <w:r>
        <w:rPr>
          <w:rFonts w:ascii="Calibri" w:cs="Calibri" w:eastAsia="Calibri" w:hAnsi="Calibri"/>
          <w:i/>
          <w:iCs/>
          <w:color w:val="595959"/>
          <w:sz w:val="18"/>
          <w:szCs w:val="18"/>
        </w:rPr>
        <w:t xml:space="preserve">Table 9.6 — Vertical fragmentation candidates</w:t>
      </w:r>
    </w:p>
    <w:p>
      <w:pPr>
        <w:spacing w:after="120" w:line="276"/>
      </w:pPr>
      <w:r>
        <w:rPr>
          <w:rFonts w:ascii="Calibri" w:cs="Calibri" w:eastAsia="Calibri" w:hAnsi="Calibri"/>
          <w:b/>
          <w:bCs/>
          <w:sz w:val="21"/>
          <w:szCs w:val="21"/>
        </w:rPr>
        <w:t xml:space="preserve">GATE_MOVE is the strongest exclusion. </w:t>
      </w:r>
      <w:r>
        <w:rPr>
          <w:rFonts w:ascii="Calibri" w:cs="Calibri" w:eastAsia="Calibri" w:hAnsi="Calibri"/>
          <w:sz w:val="21"/>
          <w:szCs w:val="21"/>
        </w:rPr>
        <w:t xml:space="preserve">Every split scores between −538 and −547 million. The affinity matrix is almost uniform — every cell lies between 23,200 and 23,380, because U1 writes all eight attributes together. There is no attribute grouping to discover. Splitting the largest relation in the schema would add a reconstruction join to the highest-frequency write in the workload and buy nothing.</w:t>
      </w:r>
    </w:p>
    <w:p>
      <w:pPr>
        <w:spacing w:after="120" w:line="276"/>
      </w:pPr>
      <w:r>
        <w:rPr>
          <w:rFonts w:ascii="Calibri" w:cs="Calibri" w:eastAsia="Calibri" w:hAnsi="Calibri"/>
          <w:b/>
          <w:bCs/>
          <w:sz w:val="21"/>
          <w:szCs w:val="21"/>
        </w:rPr>
        <w:t xml:space="preserve">CONSIGNEE: Z = 0 does not mean "do not fragment". </w:t>
      </w:r>
      <w:r>
        <w:rPr>
          <w:rFonts w:ascii="Calibri" w:cs="Calibri" w:eastAsia="Calibri" w:hAnsi="Calibri"/>
          <w:sz w:val="21"/>
          <w:szCs w:val="21"/>
        </w:rPr>
        <w:t xml:space="preserve">It means the metric cannot see the benefit here, because Z measures the cost of queries spanning fragments and no query reads the cold attributes at all. CONSIGNEE has no port_id, so it cannot be fragmented horizontally, yet Q6 and Q8 read it from all four sites. Replicating a 44-byte hot fragment (consignee_id, name) instead of the whole 125-byte relation cuts replicated volume by 65%.</w:t>
      </w:r>
    </w:p>
    <w:p>
      <w:pPr>
        <w:pStyle w:val="Heading2"/>
        <w:spacing w:after="120" w:before="260"/>
      </w:pPr>
      <w:r>
        <w:rPr>
          <w:rFonts w:ascii="Calibri" w:cs="Calibri" w:eastAsia="Calibri" w:hAnsi="Calibri"/>
          <w:b/>
          <w:bCs/>
          <w:color w:val="1F3864"/>
          <w:sz w:val="25"/>
          <w:szCs w:val="25"/>
        </w:rPr>
        <w:t xml:space="preserve">9.8 Horizontal fragmentation</w:t>
      </w:r>
    </w:p>
    <w:p>
      <w:pPr>
        <w:spacing w:after="120" w:before="0" w:line="276"/>
      </w:pPr>
      <w:r>
        <w:rPr>
          <w:rFonts w:ascii="Calibri" w:cs="Calibri" w:eastAsia="Calibri" w:hAnsi="Calibri"/>
          <w:sz w:val="21"/>
          <w:szCs w:val="21"/>
        </w:rPr>
        <w:t xml:space="preserve">The simple predicates are the four port memberships. Since a tuple belongs to exactly one port, the minterm predicates reduce to the four simple ones and the fragmentation is complete and disjoint by construction.</w:t>
      </w:r>
    </w:p>
    <w:p>
      <w:pPr>
        <w:spacing w:after="0" w:before="80"/>
        <w:ind w:left="340"/>
      </w:pPr>
      <w:r>
        <w:rPr>
          <w:rFonts w:ascii="Consolas" w:cs="Consolas" w:eastAsia="Consolas" w:hAnsi="Consolas"/>
          <w:color w:val="333333"/>
          <w:sz w:val="17"/>
          <w:szCs w:val="17"/>
        </w:rPr>
        <w:t xml:space="preserve">p1: port = S1 (New Mangalore)    p3: port = S3 (Chennai)</w:t>
      </w:r>
    </w:p>
    <w:p>
      <w:pPr>
        <w:spacing w:after="140" w:before="0"/>
        <w:ind w:left="340"/>
      </w:pPr>
      <w:r>
        <w:rPr>
          <w:rFonts w:ascii="Consolas" w:cs="Consolas" w:eastAsia="Consolas" w:hAnsi="Consolas"/>
          <w:color w:val="333333"/>
          <w:sz w:val="17"/>
          <w:szCs w:val="17"/>
        </w:rPr>
        <w:t xml:space="preserve">p2: port = S2 (JNPT)             p4: port = S4 (Kolkata/Haldia)</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986"/>
        <w:gridCol w:w="2166"/>
        <w:gridCol w:w="4874"/>
      </w:tblGrid>
      <w:tr>
        <w:trPr>
          <w:tblHeader/>
        </w:trPr>
        <w:tc>
          <w:tcPr>
            <w:tcW w:type="dxa" w:w="198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Relation</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Predicate attribute</w:t>
            </w:r>
          </w:p>
        </w:tc>
        <w:tc>
          <w:tcPr>
            <w:tcW w:type="dxa" w:w="487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Fragments</w:t>
            </w:r>
          </w:p>
        </w:tc>
      </w:tr>
      <w:tr>
        <w:trPr>
          <w:tblHeader w:val="false"/>
        </w:trPr>
        <w:tc>
          <w:tcPr>
            <w:tcW w:type="dxa" w:w="198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CONTAINER_C</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cur_port_id</w:t>
            </w:r>
          </w:p>
        </w:tc>
        <w:tc>
          <w:tcPr>
            <w:tcW w:type="dxa" w:w="487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CONTAINER_C_k = σ(cur_port_id = k)(CONTAINER_C)</w:t>
            </w:r>
          </w:p>
        </w:tc>
      </w:tr>
      <w:tr>
        <w:trPr>
          <w:tblHeader w:val="false"/>
        </w:trPr>
        <w:tc>
          <w:tcPr>
            <w:tcW w:type="dxa" w:w="198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VOYAGE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w:t>
            </w:r>
          </w:p>
        </w:tc>
        <w:tc>
          <w:tcPr>
            <w:tcW w:type="dxa" w:w="487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VOYAGE_k = σ(port_id = k)(VOYAGE)</w:t>
            </w:r>
          </w:p>
        </w:tc>
      </w:tr>
      <w:tr>
        <w:trPr>
          <w:tblHeader w:val="false"/>
        </w:trPr>
        <w:tc>
          <w:tcPr>
            <w:tcW w:type="dxa" w:w="198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YARD_SLOT</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w:t>
            </w:r>
          </w:p>
        </w:tc>
        <w:tc>
          <w:tcPr>
            <w:tcW w:type="dxa" w:w="487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YARD_SLOT_k = σ(port_id = k)(YARD_SLOT)</w:t>
            </w:r>
          </w:p>
        </w:tc>
      </w:tr>
      <w:tr>
        <w:trPr>
          <w:tblHeader w:val="false"/>
        </w:trPr>
        <w:tc>
          <w:tcPr>
            <w:tcW w:type="dxa" w:w="198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YARD_BLOCK</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w:t>
            </w:r>
          </w:p>
        </w:tc>
        <w:tc>
          <w:tcPr>
            <w:tcW w:type="dxa" w:w="487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YARD_BLOCK_k = σ(port_id = k)(YARD_BLOCK)</w:t>
            </w:r>
          </w:p>
        </w:tc>
      </w:tr>
      <w:tr>
        <w:trPr>
          <w:tblHeader w:val="false"/>
        </w:trPr>
        <w:tc>
          <w:tcPr>
            <w:tcW w:type="dxa" w:w="198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GATE_MOVE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w:t>
            </w:r>
          </w:p>
        </w:tc>
        <w:tc>
          <w:tcPr>
            <w:tcW w:type="dxa" w:w="487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GATE_MOVE_k = σ(port_id = k)(GATE_MOVE)</w:t>
            </w:r>
          </w:p>
        </w:tc>
      </w:tr>
      <w:tr>
        <w:trPr>
          <w:tblHeader w:val="false"/>
        </w:trPr>
        <w:tc>
          <w:tcPr>
            <w:tcW w:type="dxa" w:w="198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TARIFF</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port_id</w:t>
            </w:r>
          </w:p>
        </w:tc>
        <w:tc>
          <w:tcPr>
            <w:tcW w:type="dxa" w:w="487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TARIFF_k = σ(port_id = k)(TARIFF)</w:t>
            </w:r>
          </w:p>
        </w:tc>
      </w:tr>
    </w:tbl>
    <w:p>
      <w:pPr>
        <w:spacing w:after="220" w:before="80"/>
        <w:jc w:val="center"/>
      </w:pPr>
      <w:r>
        <w:rPr>
          <w:rFonts w:ascii="Calibri" w:cs="Calibri" w:eastAsia="Calibri" w:hAnsi="Calibri"/>
          <w:i/>
          <w:iCs/>
          <w:color w:val="595959"/>
          <w:sz w:val="18"/>
          <w:szCs w:val="18"/>
        </w:rPr>
        <w:t xml:space="preserve">Table 9.7 — Primary horizontal fragmentation</w:t>
      </w:r>
    </w:p>
    <w:p>
      <w:pPr>
        <w:spacing w:after="120" w:line="276"/>
      </w:pPr>
      <w:r>
        <w:rPr>
          <w:rFonts w:ascii="Calibri" w:cs="Calibri" w:eastAsia="Calibri" w:hAnsi="Calibri"/>
          <w:b/>
          <w:bCs/>
          <w:sz w:val="21"/>
          <w:szCs w:val="21"/>
        </w:rPr>
        <w:t xml:space="preserve">Why GATE_MOVE fragments on its own port_id rather than derivedly from CONTAINER. </w:t>
      </w:r>
      <w:r>
        <w:rPr>
          <w:rFonts w:ascii="Calibri" w:cs="Calibri" w:eastAsia="Calibri" w:hAnsi="Calibri"/>
          <w:sz w:val="21"/>
          <w:szCs w:val="21"/>
        </w:rPr>
        <w:t xml:space="preserve">Both are available and they differ: a transshipped container’s moves are spread across ports, so fragmenting by GATE_MOVE.port_id keeps each move where it physically happened, while deriving from CONTAINER would gather a container’s whole history at its current port. Deriving would help Q8 (180/day) and hurt U1 (23,200/day), which must write locally at the gate. U1 outweighs Q8 by 129:1, so primary fragmentation on port_id wins.</w:t>
      </w:r>
    </w:p>
    <w:p>
      <w:pPr>
        <w:pStyle w:val="Heading2"/>
        <w:spacing w:after="120" w:before="260"/>
      </w:pPr>
      <w:r>
        <w:rPr>
          <w:rFonts w:ascii="Calibri" w:cs="Calibri" w:eastAsia="Calibri" w:hAnsi="Calibri"/>
          <w:b/>
          <w:bCs/>
          <w:color w:val="1F3864"/>
          <w:sz w:val="25"/>
          <w:szCs w:val="25"/>
        </w:rPr>
        <w:t xml:space="preserve">9.9 Derived horizontal fragmentation</w:t>
      </w:r>
    </w:p>
    <w:p>
      <w:pPr>
        <w:spacing w:after="120" w:before="0" w:line="276"/>
      </w:pPr>
      <w:r>
        <w:rPr>
          <w:rFonts w:ascii="Calibri" w:cs="Calibri" w:eastAsia="Calibri" w:hAnsi="Calibri"/>
          <w:sz w:val="21"/>
          <w:szCs w:val="21"/>
        </w:rPr>
        <w:t xml:space="preserve">Six relations carry no port attribute and are fragmented by semijoin with an already-fragmented parent:</w:t>
      </w:r>
    </w:p>
    <w:p>
      <w:pPr>
        <w:spacing w:after="0" w:before="80"/>
        <w:ind w:left="340"/>
      </w:pPr>
      <w:r>
        <w:rPr>
          <w:rFonts w:ascii="Consolas" w:cs="Consolas" w:eastAsia="Consolas" w:hAnsi="Consolas"/>
          <w:color w:val="333333"/>
          <w:sz w:val="17"/>
          <w:szCs w:val="17"/>
        </w:rPr>
        <w:t xml:space="preserve">CONTAINER_G_k        = CONTAINER_G        |x CONTAINER_C_k   (on cont_id)</w:t>
      </w:r>
    </w:p>
    <w:p>
      <w:pPr>
        <w:spacing w:after="0" w:before="0"/>
        <w:ind w:left="340"/>
      </w:pPr>
      <w:r>
        <w:rPr>
          <w:rFonts w:ascii="Consolas" w:cs="Consolas" w:eastAsia="Consolas" w:hAnsi="Consolas"/>
          <w:color w:val="333333"/>
          <w:sz w:val="17"/>
          <w:szCs w:val="17"/>
        </w:rPr>
        <w:t xml:space="preserve">CUSTOMS_DECL_k       = CUSTOMS_DECL       |x CONTAINER_C_k   (on cont_id)</w:t>
      </w:r>
    </w:p>
    <w:p>
      <w:pPr>
        <w:spacing w:after="0" w:before="0"/>
        <w:ind w:left="340"/>
      </w:pPr>
      <w:r>
        <w:rPr>
          <w:rFonts w:ascii="Consolas" w:cs="Consolas" w:eastAsia="Consolas" w:hAnsi="Consolas"/>
          <w:color w:val="333333"/>
          <w:sz w:val="17"/>
          <w:szCs w:val="17"/>
        </w:rPr>
        <w:t xml:space="preserve">CONTAINER_REEFER_k   = CONTAINER_REEFER   |x CONTAINER_C_k   (on cont_id)</w:t>
      </w:r>
    </w:p>
    <w:p>
      <w:pPr>
        <w:spacing w:after="0" w:before="0"/>
        <w:ind w:left="340"/>
      </w:pPr>
      <w:r>
        <w:rPr>
          <w:rFonts w:ascii="Consolas" w:cs="Consolas" w:eastAsia="Consolas" w:hAnsi="Consolas"/>
          <w:color w:val="333333"/>
          <w:sz w:val="17"/>
          <w:szCs w:val="17"/>
        </w:rPr>
        <w:t xml:space="preserve">CONTAINER_TANK_k     = CONTAINER_TANK     |x CONTAINER_C_k   (on cont_id)</w:t>
      </w:r>
    </w:p>
    <w:p>
      <w:pPr>
        <w:spacing w:after="0" w:before="0"/>
        <w:ind w:left="340"/>
      </w:pPr>
      <w:r>
        <w:rPr>
          <w:rFonts w:ascii="Consolas" w:cs="Consolas" w:eastAsia="Consolas" w:hAnsi="Consolas"/>
          <w:color w:val="333333"/>
          <w:sz w:val="17"/>
          <w:szCs w:val="17"/>
        </w:rPr>
        <w:t xml:space="preserve">CONTAINER_OPEN_TOP_k = CONTAINER_OPEN_TOP |x CONTAINER_C_k   (on cont_id)</w:t>
      </w:r>
    </w:p>
    <w:p>
      <w:pPr>
        <w:spacing w:after="140" w:before="0"/>
        <w:ind w:left="340"/>
      </w:pPr>
      <w:r>
        <w:rPr>
          <w:rFonts w:ascii="Consolas" w:cs="Consolas" w:eastAsia="Consolas" w:hAnsi="Consolas"/>
          <w:color w:val="333333"/>
          <w:sz w:val="17"/>
          <w:szCs w:val="17"/>
        </w:rPr>
        <w:t xml:space="preserve">BILL_OF_LADING_k     = BILL_OF_LADING     |x VOYAGE_k        (on voyage_id)</w:t>
      </w:r>
    </w:p>
    <w:p>
      <w:pPr>
        <w:spacing w:after="120" w:before="0" w:line="276"/>
      </w:pPr>
      <w:r>
        <w:rPr>
          <w:rFonts w:ascii="Calibri" w:cs="Calibri" w:eastAsia="Calibri" w:hAnsi="Calibri"/>
          <w:sz w:val="21"/>
          <w:szCs w:val="21"/>
        </w:rPr>
        <w:t xml:space="preserve">Note the first line: the vertical split put cur_port_id in CONTAINER_C, so CONTAINER_G has no port attribute of its own and must be derived from its sibling. The vertical and horizontal decisions interact — that is what makes this mixed fragmentation rather than two independent steps.</w:t>
      </w:r>
    </w:p>
    <w:p>
      <w:pPr>
        <w:pStyle w:val="Heading2"/>
        <w:spacing w:after="120" w:before="260"/>
      </w:pPr>
      <w:r>
        <w:rPr>
          <w:rFonts w:ascii="Calibri" w:cs="Calibri" w:eastAsia="Calibri" w:hAnsi="Calibri"/>
          <w:b/>
          <w:bCs/>
          <w:color w:val="1F3864"/>
          <w:sz w:val="25"/>
          <w:szCs w:val="25"/>
        </w:rPr>
        <w:t xml:space="preserve">9.10 Mixed fragmentation tree</w:t>
      </w:r>
    </w:p>
    <w:p>
      <w:pPr>
        <w:spacing w:after="40" w:before="1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4 — Mixed fragmentation tree for CONTAINER</w:t>
      </w:r>
    </w:p>
    <w:p>
      <w:pPr>
        <w:pStyle w:val="Heading2"/>
        <w:spacing w:after="120" w:before="260"/>
      </w:pPr>
      <w:r>
        <w:rPr>
          <w:rFonts w:ascii="Calibri" w:cs="Calibri" w:eastAsia="Calibri" w:hAnsi="Calibri"/>
          <w:b/>
          <w:bCs/>
          <w:color w:val="1F3864"/>
          <w:sz w:val="25"/>
          <w:szCs w:val="25"/>
        </w:rPr>
        <w:t xml:space="preserve">9.11 Correctness of the fragmentation</w:t>
      </w:r>
    </w:p>
    <w:p>
      <w:pPr>
        <w:spacing w:after="120" w:line="276"/>
      </w:pPr>
      <w:r>
        <w:rPr>
          <w:rFonts w:ascii="Calibri" w:cs="Calibri" w:eastAsia="Calibri" w:hAnsi="Calibri"/>
          <w:b/>
          <w:bCs/>
          <w:sz w:val="21"/>
          <w:szCs w:val="21"/>
        </w:rPr>
        <w:t xml:space="preserve">Completeness. </w:t>
      </w:r>
      <w:r>
        <w:rPr>
          <w:rFonts w:ascii="Calibri" w:cs="Calibri" w:eastAsia="Calibri" w:hAnsi="Calibri"/>
          <w:sz w:val="21"/>
          <w:szCs w:val="21"/>
        </w:rPr>
        <w:t xml:space="preserve">The two vertical fragments’ attribute sets union to all 13 attributes. The four horizontal predicates are exhaustive because cur_port_id and port_id are NOT NULL foreign keys to PORT, which has exactly four rows. Every CUSTOMS_DECL row has a non-null cont_id (1:1 with CONTAINER) and every container sits in exactly one CONTAINER_C_k, so every declaration lands in exactly one fragment.</w:t>
      </w:r>
    </w:p>
    <w:p>
      <w:pPr>
        <w:spacing w:after="120" w:before="0" w:line="276"/>
      </w:pPr>
      <w:r>
        <w:rPr>
          <w:rFonts w:ascii="Calibri" w:cs="Calibri" w:eastAsia="Calibri" w:hAnsi="Calibri"/>
          <w:sz w:val="21"/>
          <w:szCs w:val="21"/>
        </w:rPr>
        <w:t xml:space="preserve">The completeness of derived fragmentation depends on referential integrity: if a CUSTOMS_DECL row could carry a cont_id with no matching container, it would vanish from every fragment. The foreign-key constraint is what makes the fragmentation correct.</w:t>
      </w:r>
    </w:p>
    <w:p>
      <w:pPr>
        <w:spacing w:after="120" w:line="276"/>
      </w:pPr>
      <w:r>
        <w:rPr>
          <w:rFonts w:ascii="Calibri" w:cs="Calibri" w:eastAsia="Calibri" w:hAnsi="Calibri"/>
          <w:b/>
          <w:bCs/>
          <w:sz w:val="21"/>
          <w:szCs w:val="21"/>
        </w:rPr>
        <w:t xml:space="preserve">Reconstruction. </w:t>
      </w:r>
    </w:p>
    <w:p>
      <w:pPr>
        <w:spacing w:after="0" w:before="80"/>
        <w:ind w:left="340"/>
      </w:pPr>
      <w:r>
        <w:rPr>
          <w:rFonts w:ascii="Consolas" w:cs="Consolas" w:eastAsia="Consolas" w:hAnsi="Consolas"/>
          <w:color w:val="333333"/>
          <w:sz w:val="17"/>
          <w:szCs w:val="17"/>
        </w:rPr>
        <w:t xml:space="preserve">CONTAINER_C = CONTAINER_C_1 U CONTAINER_C_2 U CONTAINER_C_3 U CONTAINER_C_4</w:t>
      </w:r>
    </w:p>
    <w:p>
      <w:pPr>
        <w:spacing w:after="0" w:before="0"/>
        <w:ind w:left="340"/>
      </w:pPr>
      <w:r>
        <w:rPr>
          <w:rFonts w:ascii="Consolas" w:cs="Consolas" w:eastAsia="Consolas" w:hAnsi="Consolas"/>
          <w:color w:val="333333"/>
          <w:sz w:val="17"/>
          <w:szCs w:val="17"/>
        </w:rPr>
        <w:t xml:space="preserve">CONTAINER_G = CONTAINER_G_1 U CONTAINER_G_2 U CONTAINER_G_3 U CONTAINER_G_4</w:t>
      </w:r>
    </w:p>
    <w:p>
      <w:pPr>
        <w:spacing w:after="0" w:before="0"/>
        <w:ind w:left="340"/>
      </w:pPr>
      <w:r>
        <w:rPr>
          <w:rFonts w:ascii="Consolas" w:cs="Consolas" w:eastAsia="Consolas" w:hAnsi="Consolas"/>
          <w:color w:val="333333"/>
          <w:sz w:val="17"/>
          <w:szCs w:val="17"/>
        </w:rPr>
        <w:t xml:space="preserve">CONTAINER   = CONTAINER_C |&gt;&lt;| (cont_id) CONTAINER_G</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GATE_MOVE   = U_k GATE_MOVE_k        CUSTOMS_DECL = U_k CUSTOMS_DECL_k</w:t>
      </w:r>
    </w:p>
    <w:p>
      <w:pPr>
        <w:spacing w:after="140" w:before="0"/>
        <w:ind w:left="340"/>
      </w:pPr>
      <w:r>
        <w:rPr>
          <w:rFonts w:ascii="Consolas" w:cs="Consolas" w:eastAsia="Consolas" w:hAnsi="Consolas"/>
          <w:color w:val="333333"/>
          <w:sz w:val="17"/>
          <w:szCs w:val="17"/>
        </w:rPr>
        <w:t xml:space="preserve">YARD_SLOT   = U_k YARD_SLOT_k        CONSIGNEE    = CONSIGNEE_H |&gt;&lt;| CONSIGNEE_R</w:t>
      </w:r>
    </w:p>
    <w:p>
      <w:pPr>
        <w:spacing w:after="120" w:before="0" w:line="276"/>
      </w:pPr>
      <w:r>
        <w:rPr>
          <w:rFonts w:ascii="Calibri" w:cs="Calibri" w:eastAsia="Calibri" w:hAnsi="Calibri"/>
          <w:sz w:val="21"/>
          <w:szCs w:val="21"/>
        </w:rPr>
        <w:t xml:space="preserve">The vertical join is lossless because cont_id is a candidate key of CONTAINER and is carried in both fragments: the decomposition satisfies F_a ∩ F_b = {cont_id} and {cont_id} → F_a. That condition is what makes the key replication necessary rather than merely convenient.</w:t>
      </w:r>
    </w:p>
    <w:p>
      <w:pPr>
        <w:spacing w:after="120" w:line="276"/>
      </w:pPr>
      <w:r>
        <w:rPr>
          <w:rFonts w:ascii="Calibri" w:cs="Calibri" w:eastAsia="Calibri" w:hAnsi="Calibri"/>
          <w:b/>
          <w:bCs/>
          <w:sz w:val="21"/>
          <w:szCs w:val="21"/>
        </w:rPr>
        <w:t xml:space="preserve">Disjointness. </w:t>
      </w:r>
      <w:r>
        <w:rPr>
          <w:rFonts w:ascii="Calibri" w:cs="Calibri" w:eastAsia="Calibri" w:hAnsi="Calibri"/>
          <w:sz w:val="21"/>
          <w:szCs w:val="21"/>
        </w:rPr>
        <w:t xml:space="preserve">Horizontal: the four predicates are mutually exclusive — a container has exactly one cur_port_id. Derived: inherited from the parent, since the semijoin attribute is a foreign key to a single parent tuple. Vertical: disjoint except for the replicated key, the standard and necessary exception.</w:t>
      </w:r>
    </w:p>
    <w:p>
      <w:pPr>
        <w:pStyle w:val="Heading2"/>
        <w:spacing w:after="120" w:before="260"/>
      </w:pPr>
      <w:r>
        <w:rPr>
          <w:rFonts w:ascii="Calibri" w:cs="Calibri" w:eastAsia="Calibri" w:hAnsi="Calibri"/>
          <w:b/>
          <w:bCs/>
          <w:color w:val="1F3864"/>
          <w:sz w:val="25"/>
          <w:szCs w:val="25"/>
        </w:rPr>
        <w:t xml:space="preserve">9.12 Fragment migration</w:t>
      </w:r>
    </w:p>
    <w:p>
      <w:pPr>
        <w:spacing w:after="120" w:before="0" w:line="276"/>
      </w:pPr>
      <w:r>
        <w:rPr>
          <w:rFonts w:ascii="Calibri" w:cs="Calibri" w:eastAsia="Calibri" w:hAnsi="Calibri"/>
          <w:sz w:val="21"/>
          <w:szCs w:val="21"/>
        </w:rPr>
        <w:t xml:space="preserve">CONTAINER_C is fragmented on cur_port_id, which changes when a container is transshipped — so tuples migrate between fragments, taking their derived children with them. Quantifying it:</w:t>
      </w:r>
    </w:p>
    <w:p>
      <w:pPr>
        <w:spacing w:after="0" w:before="80"/>
        <w:ind w:left="340"/>
      </w:pPr>
      <w:r>
        <w:rPr>
          <w:rFonts w:ascii="Consolas" w:cs="Consolas" w:eastAsia="Consolas" w:hAnsi="Consolas"/>
          <w:color w:val="333333"/>
          <w:sz w:val="17"/>
          <w:szCs w:val="17"/>
        </w:rPr>
        <w:t xml:space="preserve">annual container transits = 60,000,000 / 4 moves  = 15,000,000</w:t>
      </w:r>
    </w:p>
    <w:p>
      <w:pPr>
        <w:spacing w:after="0" w:before="0"/>
        <w:ind w:left="340"/>
      </w:pPr>
      <w:r>
        <w:rPr>
          <w:rFonts w:ascii="Consolas" w:cs="Consolas" w:eastAsia="Consolas" w:hAnsi="Consolas"/>
          <w:color w:val="333333"/>
          <w:sz w:val="17"/>
          <w:szCs w:val="17"/>
        </w:rPr>
        <w:t xml:space="preserve">daily transits            = 15,000,000 / 365      = 41,096</w:t>
      </w:r>
    </w:p>
    <w:p>
      <w:pPr>
        <w:spacing w:after="0" w:before="0"/>
        <w:ind w:left="340"/>
      </w:pPr>
      <w:r>
        <w:rPr>
          <w:rFonts w:ascii="Consolas" w:cs="Consolas" w:eastAsia="Consolas" w:hAnsi="Consolas"/>
          <w:color w:val="333333"/>
          <w:sz w:val="17"/>
          <w:szCs w:val="17"/>
        </w:rPr>
        <w:t xml:space="preserve">cross-check: 500,000 resident / 41,096 per day    = 12.2 days average dwell</w:t>
      </w:r>
    </w:p>
    <w:p>
      <w:pPr>
        <w:spacing w:after="140" w:before="0"/>
        <w:ind w:left="340"/>
      </w:pPr>
      <w:r>
        <w:rPr>
          <w:rFonts w:ascii="Consolas" w:cs="Consolas" w:eastAsia="Consolas" w:hAnsi="Consolas"/>
          <w:color w:val="333333"/>
          <w:sz w:val="17"/>
          <w:szCs w:val="17"/>
        </w:rPr>
        <w:t xml:space="preserve">at a 15% transshipment rate                       = 6,160 migrations/day</w:t>
      </w:r>
    </w:p>
    <w:p>
      <w:pPr>
        <w:spacing w:after="120" w:before="0" w:line="276"/>
      </w:pPr>
      <w:r>
        <w:rPr>
          <w:rFonts w:ascii="Calibri" w:cs="Calibri" w:eastAsia="Calibri" w:hAnsi="Calibri"/>
          <w:sz w:val="21"/>
          <w:szCs w:val="21"/>
        </w:rPr>
        <w:t xml:space="preserve">Each migration moves one CONTAINER_C tuple (54 B), its CONTAINER_G tuple (33 B), its CUSTOMS_DECL row (43 B) and any subtype row — under 150 B, as one delete plus one insert across sites. Against 29,080 daily updates, migration adds roughly 21% to the write load. That is real and should not be described as negligible.</w:t>
      </w:r>
    </w:p>
    <w:p>
      <w:pPr>
        <w:spacing w:after="120" w:before="0" w:line="276"/>
      </w:pPr>
      <w:r>
        <w:rPr>
          <w:rFonts w:ascii="Calibri" w:cs="Calibri" w:eastAsia="Calibri" w:hAnsi="Calibri"/>
          <w:sz w:val="21"/>
          <w:szCs w:val="21"/>
        </w:rPr>
        <w:t xml:space="preserve">The alternative is to fragment on the immutable discharge port, so no migration ever occurs. The cost: a container physically at S2 but discharged at S1 would live in S1’s fragment, so every yard query (Q1, Q2, Q5 — 1,470/day) would have to union fragments from all four sites instead of reading one locally. That is 4,410 remote query executions a day, each returning a multi-tuple result set, against 6,160 fixed 150-byte migrations. Migration is adopted.</w:t>
      </w:r>
    </w:p>
    <w:p>
      <w:r>
        <w:br w:type="page"/>
      </w:r>
    </w:p>
    <w:p>
      <w:pPr>
        <w:pStyle w:val="Heading1"/>
        <w:spacing w:after="180" w:before="360"/>
      </w:pPr>
      <w:r>
        <w:rPr>
          <w:rFonts w:ascii="Calibri" w:cs="Calibri" w:eastAsia="Calibri" w:hAnsi="Calibri"/>
          <w:b/>
          <w:bCs/>
          <w:color w:val="1F3864"/>
          <w:sz w:val="30"/>
          <w:szCs w:val="30"/>
        </w:rPr>
        <w:t xml:space="preserve">10. Physical Design</w:t>
      </w:r>
    </w:p>
    <w:p>
      <w:pPr>
        <w:pStyle w:val="Heading2"/>
        <w:spacing w:after="120" w:before="260"/>
      </w:pPr>
      <w:r>
        <w:rPr>
          <w:rFonts w:ascii="Calibri" w:cs="Calibri" w:eastAsia="Calibri" w:hAnsi="Calibri"/>
          <w:b/>
          <w:bCs/>
          <w:color w:val="1F3864"/>
          <w:sz w:val="25"/>
          <w:szCs w:val="25"/>
        </w:rPr>
        <w:t xml:space="preserve">10.1 Assumptions and derived parameters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347"/>
        <w:gridCol w:w="2166"/>
        <w:gridCol w:w="2347"/>
        <w:gridCol w:w="2166"/>
      </w:tblGrid>
      <w:tr>
        <w:trPr>
          <w:tblHeader/>
        </w:trPr>
        <w:tc>
          <w:tcPr>
            <w:tcW w:type="dxa" w:w="2347"/>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Parameter</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Value</w:t>
            </w:r>
          </w:p>
        </w:tc>
        <w:tc>
          <w:tcPr>
            <w:tcW w:type="dxa" w:w="2347"/>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Parameter</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Value</w:t>
            </w:r>
          </w:p>
        </w:tc>
      </w:tr>
      <w:tr>
        <w:trPr>
          <w:tblHeader w:val="false"/>
        </w:trPr>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Block size (B)</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4,096 B</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Average seek (S)</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8 ms</w:t>
            </w:r>
          </w:p>
        </w:tc>
      </w:tr>
      <w:tr>
        <w:trPr>
          <w:tblHeader w:val="false"/>
        </w:trPr>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Inter-block gap (g)</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128 B</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Average latency (L)</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 ms</w:t>
            </w:r>
          </w:p>
        </w:tc>
      </w:tr>
      <w:tr>
        <w:trPr>
          <w:tblHeader w:val="false"/>
        </w:trPr>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Block pointer</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8 B</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Disk transfer rate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100 MB/s</w:t>
            </w:r>
          </w:p>
        </w:tc>
      </w:tr>
      <w:tr>
        <w:trPr>
          <w:tblHeader w:val="false"/>
        </w:trPr>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Record organisation</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spanned, fixed</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Packet size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1,024 B</w:t>
            </w:r>
          </w:p>
        </w:tc>
      </w:tr>
      <w:tr>
        <w:trPr>
          <w:tblHeader w:val="false"/>
        </w:trPr>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Integer / Char / Decimal</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 / 1 / 8 B</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Bandwidth (WAN)</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100 Mbps</w:t>
            </w:r>
          </w:p>
        </w:tc>
      </w:tr>
      <w:tr>
        <w:trPr>
          <w:tblHeader w:val="false"/>
        </w:trPr>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Date / Datetime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 / 8 B</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Propagation speed</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2.7 × 10⁸ m/s</w:t>
            </w:r>
          </w:p>
        </w:tc>
      </w:tr>
    </w:tbl>
    <w:p>
      <w:pPr>
        <w:spacing w:after="220" w:before="80"/>
        <w:jc w:val="center"/>
      </w:pPr>
      <w:r>
        <w:rPr>
          <w:rFonts w:ascii="Calibri" w:cs="Calibri" w:eastAsia="Calibri" w:hAnsi="Calibri"/>
          <w:i/>
          <w:iCs/>
          <w:color w:val="595959"/>
          <w:sz w:val="18"/>
          <w:szCs w:val="18"/>
        </w:rPr>
        <w:t xml:space="preserve">Table 10.1 — Frozen physical assumptions</w:t>
      </w:r>
    </w:p>
    <w:p>
      <w:pPr>
        <w:spacing w:after="120" w:before="0" w:line="276"/>
      </w:pPr>
      <w:r>
        <w:rPr>
          <w:rFonts w:ascii="Calibri" w:cs="Calibri" w:eastAsia="Calibri" w:hAnsi="Calibri"/>
          <w:sz w:val="21"/>
          <w:szCs w:val="21"/>
        </w:rPr>
        <w:t xml:space="preserve">All four derived constants are computed rather than asserted:</w:t>
      </w:r>
    </w:p>
    <w:p>
      <w:pPr>
        <w:spacing w:after="0" w:before="80"/>
        <w:ind w:left="340"/>
      </w:pPr>
      <w:r>
        <w:rPr>
          <w:rFonts w:ascii="Consolas" w:cs="Consolas" w:eastAsia="Consolas" w:hAnsi="Consolas"/>
          <w:color w:val="333333"/>
          <w:sz w:val="17"/>
          <w:szCs w:val="17"/>
        </w:rPr>
        <w:t xml:space="preserve">Tr = (B + g) / transfer rate = (4096 + 128) / 104,857,600 = 0.0403 ms</w:t>
      </w:r>
    </w:p>
    <w:p>
      <w:pPr>
        <w:spacing w:after="0" w:before="0"/>
        <w:ind w:left="340"/>
      </w:pPr>
      <w:r>
        <w:rPr>
          <w:rFonts w:ascii="Consolas" w:cs="Consolas" w:eastAsia="Consolas" w:hAnsi="Consolas"/>
          <w:color w:val="333333"/>
          <w:sz w:val="17"/>
          <w:szCs w:val="17"/>
        </w:rPr>
        <w:t xml:space="preserve">Td = packet / bandwidth      = 1024 / 12,500,000          = 0.0819 ms per packet</w:t>
      </w:r>
    </w:p>
    <w:p>
      <w:pPr>
        <w:spacing w:after="0" w:before="0"/>
        <w:ind w:left="340"/>
      </w:pPr>
      <w:r>
        <w:rPr>
          <w:rFonts w:ascii="Consolas" w:cs="Consolas" w:eastAsia="Consolas" w:hAnsi="Consolas"/>
          <w:color w:val="333333"/>
          <w:sz w:val="17"/>
          <w:szCs w:val="17"/>
        </w:rPr>
        <w:t xml:space="preserve">Tp = distance / v            (see Table 1.3)</w:t>
      </w:r>
    </w:p>
    <w:p>
      <w:pPr>
        <w:spacing w:after="140" w:before="0"/>
        <w:ind w:left="340"/>
      </w:pPr>
      <w:r>
        <w:rPr>
          <w:rFonts w:ascii="Consolas" w:cs="Consolas" w:eastAsia="Consolas" w:hAnsi="Consolas"/>
          <w:color w:val="333333"/>
          <w:sz w:val="17"/>
          <w:szCs w:val="17"/>
        </w:rPr>
        <w:t xml:space="preserve">one random block access      = S + L + Tr                 = 12.04 ms</w:t>
      </w:r>
    </w:p>
    <w:p>
      <w:pPr>
        <w:spacing w:after="120" w:before="0" w:line="276"/>
      </w:pPr>
      <w:r>
        <w:rPr>
          <w:rFonts w:ascii="Calibri" w:cs="Calibri" w:eastAsia="Calibri" w:hAnsi="Calibri"/>
          <w:sz w:val="21"/>
          <w:szCs w:val="21"/>
        </w:rPr>
        <w:t xml:space="preserve">Access-time formulas — the sequential and scattered cases must be distinguished, because a scan of GATE_MOVE at S2 costs 10.9 s sequentially but would cost 54 minutes if every block cost a seek:</w:t>
      </w:r>
    </w:p>
    <w:p>
      <w:pPr>
        <w:spacing w:after="0" w:before="80"/>
        <w:ind w:left="340"/>
      </w:pPr>
      <w:r>
        <w:rPr>
          <w:rFonts w:ascii="Consolas" w:cs="Consolas" w:eastAsia="Consolas" w:hAnsi="Consolas"/>
          <w:color w:val="333333"/>
          <w:sz w:val="17"/>
          <w:szCs w:val="17"/>
        </w:rPr>
        <w:t xml:space="preserve">sequential scan of N contiguous blocks : S + L + (N x Tr)        [one seek]</w:t>
      </w:r>
    </w:p>
    <w:p>
      <w:pPr>
        <w:spacing w:after="0" w:before="0"/>
        <w:ind w:left="340"/>
      </w:pPr>
      <w:r>
        <w:rPr>
          <w:rFonts w:ascii="Consolas" w:cs="Consolas" w:eastAsia="Consolas" w:hAnsi="Consolas"/>
          <w:color w:val="333333"/>
          <w:sz w:val="17"/>
          <w:szCs w:val="17"/>
        </w:rPr>
        <w:t xml:space="preserve">N scattered accesses (index probes)    : (S + L + Tr) x N</w:t>
      </w:r>
    </w:p>
    <w:p>
      <w:pPr>
        <w:spacing w:after="0" w:before="0"/>
        <w:ind w:left="340"/>
      </w:pPr>
      <w:r>
        <w:rPr>
          <w:rFonts w:ascii="Consolas" w:cs="Consolas" w:eastAsia="Consolas" w:hAnsi="Consolas"/>
          <w:color w:val="333333"/>
          <w:sz w:val="17"/>
          <w:szCs w:val="17"/>
        </w:rPr>
        <w:t xml:space="preserve">local update of N blocks               : 2 x (S + L + Tr) x N</w:t>
      </w:r>
    </w:p>
    <w:p>
      <w:pPr>
        <w:spacing w:after="0" w:before="0"/>
        <w:ind w:left="340"/>
      </w:pPr>
      <w:r>
        <w:rPr>
          <w:rFonts w:ascii="Consolas" w:cs="Consolas" w:eastAsia="Consolas" w:hAnsi="Consolas"/>
          <w:color w:val="333333"/>
          <w:sz w:val="17"/>
          <w:szCs w:val="17"/>
        </w:rPr>
        <w:t xml:space="preserve">remote retrieval                       : local + Td_total + 2Tp</w:t>
      </w:r>
    </w:p>
    <w:p>
      <w:pPr>
        <w:spacing w:after="140" w:before="0"/>
        <w:ind w:left="340"/>
      </w:pPr>
      <w:r>
        <w:rPr>
          <w:rFonts w:ascii="Consolas" w:cs="Consolas" w:eastAsia="Consolas" w:hAnsi="Consolas"/>
          <w:color w:val="333333"/>
          <w:sz w:val="17"/>
          <w:szCs w:val="17"/>
        </w:rPr>
        <w:t xml:space="preserve">remote update                          : local update + 2Tp</w:t>
      </w:r>
    </w:p>
    <w:p>
      <w:pPr>
        <w:pStyle w:val="Heading2"/>
        <w:spacing w:after="120" w:before="260"/>
      </w:pPr>
      <w:r>
        <w:rPr>
          <w:rFonts w:ascii="Calibri" w:cs="Calibri" w:eastAsia="Calibri" w:hAnsi="Calibri"/>
          <w:b/>
          <w:bCs/>
          <w:color w:val="1F3864"/>
          <w:sz w:val="25"/>
          <w:szCs w:val="25"/>
        </w:rPr>
        <w:t xml:space="preserve">10.2 Storage requirements</w:t>
      </w:r>
    </w:p>
    <w:p>
      <w:pPr>
        <w:spacing w:after="120" w:before="0" w:line="276"/>
      </w:pPr>
      <w:r>
        <w:rPr>
          <w:rFonts w:ascii="Calibri" w:cs="Calibri" w:eastAsia="Calibri" w:hAnsi="Calibri"/>
          <w:sz w:val="21"/>
          <w:szCs w:val="21"/>
        </w:rPr>
        <w:t xml:space="preserve">Records are spanned and fixed-length, so blocks = ⌈n × R / B⌉ with no internal fragmentation.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34"/>
        <w:gridCol w:w="2083"/>
        <w:gridCol w:w="694"/>
        <w:gridCol w:w="608"/>
        <w:gridCol w:w="1041"/>
        <w:gridCol w:w="1041"/>
        <w:gridCol w:w="1041"/>
        <w:gridCol w:w="1041"/>
        <w:gridCol w:w="1041"/>
      </w:tblGrid>
      <w:tr>
        <w:trPr>
          <w:tblHeader/>
        </w:trPr>
        <w:tc>
          <w:tcPr>
            <w:tcW w:type="dxa" w:w="43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ID</w:t>
            </w:r>
          </w:p>
        </w:tc>
        <w:tc>
          <w:tcPr>
            <w:tcW w:type="dxa" w:w="2083"/>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Fragment</w:t>
            </w:r>
          </w:p>
        </w:tc>
        <w:tc>
          <w:tcPr>
            <w:tcW w:type="dxa" w:w="694"/>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R (B)</w:t>
            </w:r>
          </w:p>
        </w:tc>
        <w:tc>
          <w:tcPr>
            <w:tcW w:type="dxa" w:w="608"/>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bfr</w:t>
            </w:r>
          </w:p>
        </w:tc>
        <w:tc>
          <w:tcPr>
            <w:tcW w:type="dxa" w:w="1041"/>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S1</w:t>
            </w:r>
          </w:p>
        </w:tc>
        <w:tc>
          <w:tcPr>
            <w:tcW w:type="dxa" w:w="1041"/>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S2</w:t>
            </w:r>
          </w:p>
        </w:tc>
        <w:tc>
          <w:tcPr>
            <w:tcW w:type="dxa" w:w="1041"/>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S3</w:t>
            </w:r>
          </w:p>
        </w:tc>
        <w:tc>
          <w:tcPr>
            <w:tcW w:type="dxa" w:w="1041"/>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S4</w:t>
            </w:r>
          </w:p>
        </w:tc>
        <w:tc>
          <w:tcPr>
            <w:tcW w:type="dxa" w:w="1041"/>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Total</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F1</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CONTAINER_C</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54</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75</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989</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2,637</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1,978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989</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6,593</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F2</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CONTAINER_G</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33</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124</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605</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1,612</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1,209</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605</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4,031</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F3</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VOYAGE</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50</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46</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F4</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YARD_SLOT</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38</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107</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766</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2,042</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1,531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766</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5,105</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F5</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YARD_BLOCK</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341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bCs/>
                <w:sz w:val="15"/>
                <w:szCs w:val="15"/>
              </w:rPr>
              <w:t xml:space="preserve">F6</w:t>
            </w:r>
          </w:p>
        </w:tc>
        <w:tc>
          <w:tcPr>
            <w:tcW w:type="dxa" w:w="2083"/>
            <w:tcMar>
              <w:top w:type="dxa" w:w="50"/>
              <w:left w:type="dxa" w:w="80"/>
              <w:bottom w:type="dxa" w:w="50"/>
              <w:right w:type="dxa" w:w="80"/>
            </w:tcMar>
          </w:tcPr>
          <w:p>
            <w:pPr>
              <w:spacing w:after="0" w:before="0"/>
              <w:jc w:val="left"/>
            </w:pPr>
            <w:r>
              <w:rPr>
                <w:rFonts w:ascii="Consolas" w:cs="Consolas" w:eastAsia="Consolas" w:hAnsi="Consolas"/>
                <w:b/>
                <w:bCs/>
                <w:sz w:val="15"/>
                <w:szCs w:val="15"/>
              </w:rPr>
              <w:t xml:space="preserve">GATE_MOVE</w:t>
            </w:r>
          </w:p>
        </w:tc>
        <w:tc>
          <w:tcPr>
            <w:tcW w:type="dxa" w:w="694"/>
            <w:tcMar>
              <w:top w:type="dxa" w:w="50"/>
              <w:left w:type="dxa" w:w="80"/>
              <w:bottom w:type="dxa" w:w="50"/>
              <w:right w:type="dxa" w:w="80"/>
            </w:tcMar>
          </w:tcPr>
          <w:p>
            <w:pPr>
              <w:spacing w:after="0" w:before="0"/>
              <w:jc w:val="right"/>
            </w:pPr>
            <w:r>
              <w:rPr>
                <w:rFonts w:ascii="Consolas" w:cs="Consolas" w:eastAsia="Consolas" w:hAnsi="Consolas"/>
                <w:b/>
                <w:bCs/>
                <w:sz w:val="15"/>
                <w:szCs w:val="15"/>
              </w:rPr>
              <w:t xml:space="preserve">46</w:t>
            </w:r>
          </w:p>
        </w:tc>
        <w:tc>
          <w:tcPr>
            <w:tcW w:type="dxa" w:w="608"/>
            <w:tcMar>
              <w:top w:type="dxa" w:w="50"/>
              <w:left w:type="dxa" w:w="80"/>
              <w:bottom w:type="dxa" w:w="50"/>
              <w:right w:type="dxa" w:w="80"/>
            </w:tcMar>
          </w:tcPr>
          <w:p>
            <w:pPr>
              <w:spacing w:after="0" w:before="0"/>
              <w:jc w:val="right"/>
            </w:pPr>
            <w:r>
              <w:rPr>
                <w:rFonts w:ascii="Consolas" w:cs="Consolas" w:eastAsia="Consolas" w:hAnsi="Consolas"/>
                <w:b/>
                <w:bCs/>
                <w:sz w:val="15"/>
                <w:szCs w:val="15"/>
              </w:rPr>
              <w:t xml:space="preserve">89</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101,075</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269,532</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202,149</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101,075</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673,831</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F7</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TARIFF</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227</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F8</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CUSTOMS_DECL</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43</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95</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709</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1,890</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1,418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709</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4,726</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F9</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BILL_OF_LADING</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36</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113</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633</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475</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238</w:t>
            </w:r>
          </w:p>
        </w:tc>
        <w:tc>
          <w:tcPr>
            <w:tcW w:type="dxa" w:w="1041"/>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1,584</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F10</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CONTAINER_REEFER</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178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34</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90</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34</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226</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F11</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CONTAINER_TANK</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178</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13</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34</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26</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13</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86</w:t>
            </w:r>
          </w:p>
        </w:tc>
      </w:tr>
      <w:tr>
        <w:trPr>
          <w:tblHeader w:val="false"/>
        </w:trPr>
        <w:tc>
          <w:tcPr>
            <w:tcW w:type="dxa" w:w="43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F12</w:t>
            </w:r>
          </w:p>
        </w:tc>
        <w:tc>
          <w:tcPr>
            <w:tcW w:type="dxa" w:w="2083"/>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CONTAINER_OPEN_TOP</w:t>
            </w:r>
          </w:p>
        </w:tc>
        <w:tc>
          <w:tcPr>
            <w:tcW w:type="dxa" w:w="694"/>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15</w:t>
            </w:r>
          </w:p>
        </w:tc>
        <w:tc>
          <w:tcPr>
            <w:tcW w:type="dxa" w:w="608"/>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273</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15</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11</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w:t>
            </w:r>
          </w:p>
        </w:tc>
        <w:tc>
          <w:tcPr>
            <w:tcW w:type="dxa" w:w="1041"/>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38</w:t>
            </w:r>
          </w:p>
        </w:tc>
      </w:tr>
      <w:tr>
        <w:trPr>
          <w:tblHeader w:val="false"/>
        </w:trPr>
        <w:tc>
          <w:tcPr>
            <w:tcW w:type="dxa" w:w="434"/>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
            </w:r>
          </w:p>
        </w:tc>
        <w:tc>
          <w:tcPr>
            <w:tcW w:type="dxa" w:w="2083"/>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Per-site total</w:t>
            </w:r>
          </w:p>
        </w:tc>
        <w:tc>
          <w:tcPr>
            <w:tcW w:type="dxa" w:w="694"/>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
            </w:r>
          </w:p>
        </w:tc>
        <w:tc>
          <w:tcPr>
            <w:tcW w:type="dxa" w:w="608"/>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104,444</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278,507</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208,882</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104,444</w:t>
            </w:r>
          </w:p>
        </w:tc>
        <w:tc>
          <w:tcPr>
            <w:tcW w:type="dxa" w:w="1041"/>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696,277</w:t>
            </w:r>
          </w:p>
        </w:tc>
      </w:tr>
    </w:tbl>
    <w:p>
      <w:pPr>
        <w:spacing w:after="220" w:before="80"/>
        <w:jc w:val="center"/>
      </w:pPr>
      <w:r>
        <w:rPr>
          <w:rFonts w:ascii="Calibri" w:cs="Calibri" w:eastAsia="Calibri" w:hAnsi="Calibri"/>
          <w:i/>
          <w:iCs/>
          <w:color w:val="595959"/>
          <w:sz w:val="18"/>
          <w:szCs w:val="18"/>
        </w:rPr>
        <w:t xml:space="preserve">Table 10.2 — Blocks per fragment per site</w:t>
      </w:r>
    </w:p>
    <w:p>
      <w:pPr>
        <w:spacing w:after="120" w:before="0" w:line="276"/>
      </w:pPr>
      <w:r>
        <w:rPr>
          <w:rFonts w:ascii="Calibri" w:cs="Calibri" w:eastAsia="Calibri" w:hAnsi="Calibri"/>
          <w:sz w:val="21"/>
          <w:szCs w:val="21"/>
        </w:rPr>
        <w:t xml:space="preserve">GATE_MOVE alone is 673,831 of 696,277 core blocks — 96.8%, and still 94.4% once the 17,400 blocks of site-only relations (Section 12.11) are added. This is the I/O-bound claim of Section 1.4 restated at block level against the finished design.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3069"/>
        <w:gridCol w:w="1264"/>
        <w:gridCol w:w="1986"/>
        <w:gridCol w:w="1986"/>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ID</w:t>
            </w:r>
          </w:p>
        </w:tc>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Unfragmented relation</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R (B)</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Tuples</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Blocks</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G1</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PORT</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70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4</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G2</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SHIPPING_LINE</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84</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120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G3</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VESSEL</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52</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800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11</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G4</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HS_CODE_MASTER</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56</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5,000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69</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G5</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SERVICE</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39</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G6</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PINCODE</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46</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20,000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225</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G7</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CONSIGNEE_H</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44</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40,000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430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G8</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CONSIGNEE_R</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85</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40,000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831</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G9</w:t>
            </w:r>
          </w:p>
        </w:tc>
        <w:tc>
          <w:tcPr>
            <w:tcW w:type="dxa" w:w="306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CONSIGNEE_PHONE</w:t>
            </w:r>
          </w:p>
        </w:tc>
        <w:tc>
          <w:tcPr>
            <w:tcW w:type="dxa" w:w="126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16</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60,000</w:t>
            </w:r>
          </w:p>
        </w:tc>
        <w:tc>
          <w:tcPr>
            <w:tcW w:type="dxa" w:w="198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235</w:t>
            </w:r>
          </w:p>
        </w:tc>
      </w:tr>
      <w:tr>
        <w:trPr>
          <w:tblHeader w:val="false"/>
        </w:trPr>
        <w:tc>
          <w:tcPr>
            <w:tcW w:type="dxa" w:w="722"/>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
            </w:r>
          </w:p>
        </w:tc>
        <w:tc>
          <w:tcPr>
            <w:tcW w:type="dxa" w:w="3069"/>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Total (one copy)</w:t>
            </w:r>
          </w:p>
        </w:tc>
        <w:tc>
          <w:tcPr>
            <w:tcW w:type="dxa" w:w="126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
            </w:r>
          </w:p>
        </w:tc>
        <w:tc>
          <w:tcPr>
            <w:tcW w:type="dxa" w:w="198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
            </w:r>
          </w:p>
        </w:tc>
        <w:tc>
          <w:tcPr>
            <w:tcW w:type="dxa" w:w="198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1,806</w:t>
            </w:r>
          </w:p>
        </w:tc>
      </w:tr>
    </w:tbl>
    <w:p>
      <w:pPr>
        <w:spacing w:after="220" w:before="80"/>
        <w:jc w:val="center"/>
      </w:pPr>
      <w:r>
        <w:rPr>
          <w:rFonts w:ascii="Calibri" w:cs="Calibri" w:eastAsia="Calibri" w:hAnsi="Calibri"/>
          <w:i/>
          <w:iCs/>
          <w:color w:val="595959"/>
          <w:sz w:val="18"/>
          <w:szCs w:val="18"/>
        </w:rPr>
        <w:t xml:space="preserve">Table 10.3 — Unfragmented relations</w:t>
      </w:r>
    </w:p>
    <w:p>
      <w:pPr>
        <w:pStyle w:val="Heading2"/>
        <w:spacing w:after="120" w:before="260"/>
      </w:pPr>
      <w:r>
        <w:rPr>
          <w:rFonts w:ascii="Calibri" w:cs="Calibri" w:eastAsia="Calibri" w:hAnsi="Calibri"/>
          <w:b/>
          <w:bCs/>
          <w:color w:val="1F3864"/>
          <w:sz w:val="25"/>
          <w:szCs w:val="25"/>
        </w:rPr>
        <w:t xml:space="preserve">10.3 Access method comparison — GATE_MOVE at S2</w:t>
      </w:r>
    </w:p>
    <w:p>
      <w:pPr>
        <w:spacing w:after="120" w:before="0" w:line="276"/>
      </w:pPr>
      <w:r>
        <w:rPr>
          <w:rFonts w:ascii="Calibri" w:cs="Calibri" w:eastAsia="Calibri" w:hAnsi="Calibri"/>
          <w:sz w:val="21"/>
          <w:szCs w:val="21"/>
        </w:rPr>
        <w:t xml:space="preserve">24,000,000 records · 269,532 data blocks · 1,104 MB · 6,000,000 distinct cont_id values. Index entry = key size + 8-byte block pointer.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888"/>
        <w:gridCol w:w="1173"/>
        <w:gridCol w:w="903"/>
        <w:gridCol w:w="993"/>
        <w:gridCol w:w="3069"/>
      </w:tblGrid>
      <w:tr>
        <w:trPr>
          <w:tblHeader/>
        </w:trPr>
        <w:tc>
          <w:tcPr>
            <w:tcW w:type="dxa" w:w="288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Method</w:t>
            </w:r>
          </w:p>
        </w:tc>
        <w:tc>
          <w:tcPr>
            <w:tcW w:type="dxa" w:w="117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Index blocks</w:t>
            </w:r>
          </w:p>
        </w:tc>
        <w:tc>
          <w:tcPr>
            <w:tcW w:type="dxa" w:w="90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Size</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Accesses</w:t>
            </w:r>
          </w:p>
        </w:tc>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Verdict</w:t>
            </w:r>
          </w:p>
        </w:tc>
      </w:tr>
      <w:tr>
        <w:trPr>
          <w:tblHeader w:val="false"/>
        </w:trPr>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(a) Heap file, no index</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269,532</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Baseline — 10.9 s per scan</w:t>
            </w:r>
          </w:p>
        </w:tc>
      </w:tr>
      <w:tr>
        <w:trPr>
          <w:tblHeader w:val="false"/>
        </w:trPr>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(b) Primary index on move_id (3 levels)</w:t>
            </w:r>
          </w:p>
        </w:tc>
        <w:tc>
          <w:tcPr>
            <w:tcW w:type="dxa" w:w="117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795</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 MB</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Useless — no query searches by move_id</w:t>
            </w:r>
          </w:p>
        </w:tc>
      </w:tr>
      <w:tr>
        <w:trPr>
          <w:tblHeader w:val="false"/>
        </w:trPr>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 Clustering index on cont_id (3 levels)</w:t>
            </w:r>
          </w:p>
        </w:tc>
        <w:tc>
          <w:tcPr>
            <w:tcW w:type="dxa" w:w="117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28,038</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115 MB</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Cheapest index, but conflicts with U1</w:t>
            </w:r>
          </w:p>
        </w:tc>
      </w:tr>
      <w:tr>
        <w:trPr>
          <w:tblHeader w:val="false"/>
        </w:trPr>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(d) Secondary index on truck_no (4 levels)</w:t>
            </w:r>
          </w:p>
        </w:tc>
        <w:tc>
          <w:tcPr>
            <w:tcW w:type="dxa" w:w="117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106,197</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435 MB</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Useless — no query searches by truck_no</w:t>
            </w:r>
          </w:p>
        </w:tc>
      </w:tr>
      <w:tr>
        <w:trPr>
          <w:tblHeader w:val="false"/>
        </w:trPr>
        <w:tc>
          <w:tcPr>
            <w:tcW w:type="dxa" w:w="2888"/>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(e) B+ tree on cont_id over heap (h = 4)</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112,149</w:t>
            </w:r>
          </w:p>
        </w:tc>
        <w:tc>
          <w:tcPr>
            <w:tcW w:type="dxa" w:w="90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459 MB</w:t>
            </w:r>
          </w:p>
        </w:tc>
        <w:tc>
          <w:tcPr>
            <w:tcW w:type="dxa" w:w="993"/>
            <w:tcMar>
              <w:top w:type="dxa" w:w="50"/>
              <w:left w:type="dxa" w:w="80"/>
              <w:bottom w:type="dxa" w:w="50"/>
              <w:right w:type="dxa" w:w="80"/>
            </w:tcMar>
          </w:tcPr>
          <w:p>
            <w:pPr>
              <w:spacing w:after="0" w:before="0"/>
              <w:jc w:val="right"/>
            </w:pPr>
            <w:r>
              <w:rPr>
                <w:rFonts w:ascii="Consolas" w:cs="Consolas" w:eastAsia="Consolas" w:hAnsi="Consolas"/>
                <w:b/>
                <w:bCs/>
                <w:sz w:val="15"/>
                <w:szCs w:val="15"/>
              </w:rPr>
              <w:t xml:space="preserve">5</w:t>
            </w:r>
          </w:p>
        </w:tc>
        <w:tc>
          <w:tcPr>
            <w:tcW w:type="dxa" w:w="3069"/>
            <w:tcMar>
              <w:top w:type="dxa" w:w="50"/>
              <w:left w:type="dxa" w:w="80"/>
              <w:bottom w:type="dxa" w:w="50"/>
              <w:right w:type="dxa" w:w="80"/>
            </w:tcMar>
          </w:tcPr>
          <w:p>
            <w:pPr>
              <w:spacing w:after="0" w:before="0"/>
              <w:jc w:val="left"/>
            </w:pPr>
            <w:r>
              <w:rPr>
                <w:rFonts w:ascii="Consolas" w:cs="Consolas" w:eastAsia="Consolas" w:hAnsi="Consolas"/>
                <w:b/>
                <w:bCs/>
                <w:sz w:val="15"/>
                <w:szCs w:val="15"/>
              </w:rPr>
              <w:t xml:space="preserve">CHOSEN</w:t>
            </w:r>
          </w:p>
        </w:tc>
      </w:tr>
    </w:tbl>
    <w:p>
      <w:pPr>
        <w:spacing w:after="220" w:before="80"/>
        <w:jc w:val="center"/>
      </w:pPr>
      <w:r>
        <w:rPr>
          <w:rFonts w:ascii="Calibri" w:cs="Calibri" w:eastAsia="Calibri" w:hAnsi="Calibri"/>
          <w:i/>
          <w:iCs/>
          <w:color w:val="595959"/>
          <w:sz w:val="18"/>
          <w:szCs w:val="18"/>
        </w:rPr>
        <w:t xml:space="preserve">Table 10.4 — Access method comparison</w:t>
      </w:r>
    </w:p>
    <w:p>
      <w:pPr>
        <w:spacing w:after="120" w:line="276"/>
      </w:pPr>
      <w:r>
        <w:rPr>
          <w:rFonts w:ascii="Calibri" w:cs="Calibri" w:eastAsia="Calibri" w:hAnsi="Calibri"/>
          <w:b/>
          <w:bCs/>
          <w:sz w:val="21"/>
          <w:szCs w:val="21"/>
        </w:rPr>
        <w:t xml:space="preserve">Why (b) and (d) are rejected. </w:t>
      </w:r>
      <w:r>
        <w:rPr>
          <w:rFonts w:ascii="Calibri" w:cs="Calibri" w:eastAsia="Calibri" w:hAnsi="Calibri"/>
          <w:sz w:val="21"/>
          <w:szCs w:val="21"/>
        </w:rPr>
        <w:t xml:space="preserve">An index is only worth its space if a query searches on its key. Nothing in the workload searches GATE_MOVE by move_id or truck_no.</w:t>
      </w:r>
    </w:p>
    <w:p>
      <w:pPr>
        <w:spacing w:after="120" w:line="276"/>
      </w:pPr>
      <w:r>
        <w:rPr>
          <w:rFonts w:ascii="Calibri" w:cs="Calibri" w:eastAsia="Calibri" w:hAnsi="Calibri"/>
          <w:b/>
          <w:bCs/>
          <w:sz w:val="21"/>
          <w:szCs w:val="21"/>
        </w:rPr>
        <w:t xml:space="preserve">Why (c) is rejected despite being four times smaller. </w:t>
      </w:r>
      <w:r>
        <w:rPr>
          <w:rFonts w:ascii="Calibri" w:cs="Calibri" w:eastAsia="Calibri" w:hAnsi="Calibri"/>
          <w:sz w:val="21"/>
          <w:szCs w:val="21"/>
        </w:rPr>
        <w:t xml:space="preserve">A clustering index requires the file physically ordered by cont_id. But U1 inserts 11,000 gate moves a day at S2, arriving in timestamp order, not container order. Maintaining cont_id order under that insert rate means either overflow chains — which degrade the very lookups the index exists to serve — or periodic reorganisation of a 1.1 GB file. Choosing an access method that fights the dominant write pattern is a false economy.</w:t>
      </w:r>
    </w:p>
    <w:p>
      <w:pPr>
        <w:spacing w:after="120" w:line="276"/>
      </w:pPr>
      <w:r>
        <w:rPr>
          <w:rFonts w:ascii="Calibri" w:cs="Calibri" w:eastAsia="Calibri" w:hAnsi="Calibri"/>
          <w:b/>
          <w:bCs/>
          <w:sz w:val="21"/>
          <w:szCs w:val="21"/>
        </w:rPr>
        <w:t xml:space="preserve">Why (e) is chosen. </w:t>
      </w:r>
      <w:r>
        <w:rPr>
          <w:rFonts w:ascii="Calibri" w:cs="Calibri" w:eastAsia="Calibri" w:hAnsi="Calibri"/>
          <w:sz w:val="21"/>
          <w:szCs w:val="21"/>
        </w:rPr>
        <w:t xml:space="preserve">The heap file stays append-only, which is exactly what U1 wants. The B+ tree provides the lookup Q8 needs, and B+ tree inserts are the operation B+ trees are designed for.</w:t>
      </w:r>
    </w:p>
    <w:p>
      <w:pPr>
        <w:pStyle w:val="Heading2"/>
        <w:spacing w:after="120" w:before="260"/>
      </w:pPr>
      <w:r>
        <w:rPr>
          <w:rFonts w:ascii="Calibri" w:cs="Calibri" w:eastAsia="Calibri" w:hAnsi="Calibri"/>
          <w:b/>
          <w:bCs/>
          <w:color w:val="1F3864"/>
          <w:sz w:val="25"/>
          <w:szCs w:val="25"/>
        </w:rPr>
        <w:t xml:space="preserve">10.4 Justification by the numbers</w:t>
      </w:r>
    </w:p>
    <w:p>
      <w:pPr>
        <w:spacing w:after="0" w:before="80"/>
        <w:ind w:left="340"/>
      </w:pPr>
      <w:r>
        <w:rPr>
          <w:rFonts w:ascii="Consolas" w:cs="Consolas" w:eastAsia="Consolas" w:hAnsi="Consolas"/>
          <w:color w:val="333333"/>
          <w:sz w:val="17"/>
          <w:szCs w:val="17"/>
        </w:rPr>
        <w:t xml:space="preserve">full scan     = S + L + N x Tr = 8 + 4 + 269,532 x 0.0403 = 10,870 ms  (10.9 s)</w:t>
      </w:r>
    </w:p>
    <w:p>
      <w:pPr>
        <w:spacing w:after="0" w:before="0"/>
        <w:ind w:left="340"/>
      </w:pPr>
      <w:r>
        <w:rPr>
          <w:rFonts w:ascii="Consolas" w:cs="Consolas" w:eastAsia="Consolas" w:hAnsi="Consolas"/>
          <w:color w:val="333333"/>
          <w:sz w:val="17"/>
          <w:szCs w:val="17"/>
        </w:rPr>
        <w:t xml:space="preserve">B+ tree lookup (worst case)    = 4 index + 1 data = 5 x 12.04 = 60.20 ms</w:t>
      </w:r>
    </w:p>
    <w:p>
      <w:pPr>
        <w:spacing w:after="140" w:before="0"/>
        <w:ind w:left="340"/>
      </w:pPr>
      <w:r>
        <w:rPr>
          <w:rFonts w:ascii="Consolas" w:cs="Consolas" w:eastAsia="Consolas" w:hAnsi="Consolas"/>
          <w:color w:val="333333"/>
          <w:sz w:val="17"/>
          <w:szCs w:val="17"/>
        </w:rPr>
        <w:t xml:space="preserve">speed-up      = 181x</w:t>
      </w:r>
    </w:p>
    <w:p>
      <w:pPr>
        <w:spacing w:after="120" w:line="276"/>
      </w:pPr>
      <w:r>
        <w:rPr>
          <w:rFonts w:ascii="Calibri" w:cs="Calibri" w:eastAsia="Calibri" w:hAnsi="Calibri"/>
          <w:b/>
          <w:bCs/>
          <w:sz w:val="21"/>
          <w:szCs w:val="21"/>
        </w:rPr>
        <w:t xml:space="preserve">Buffering halves it again. </w:t>
      </w:r>
      <w:r>
        <w:rPr>
          <w:rFonts w:ascii="Calibri" w:cs="Calibri" w:eastAsia="Calibri" w:hAnsi="Calibri"/>
          <w:sz w:val="21"/>
          <w:szCs w:val="21"/>
        </w:rPr>
        <w:t xml:space="preserve">The B+ tree’s non-leaf levels at S2 total 517 + 3 + 1 = 521 blocks = 2.13 MB — small enough to stay permanently resident. Only the leaf access reaches disk, so a lookup costs 1 leaf + 1 data = 24.08 ms. 2.13 MB of buffer converts a 60 ms lookup into a 24 ms lookup, permanently.</w:t>
      </w:r>
    </w:p>
    <w:p>
      <w:pPr>
        <w:spacing w:after="120" w:before="0" w:line="276"/>
      </w:pPr>
      <w:r>
        <w:rPr>
          <w:rFonts w:ascii="Calibri" w:cs="Calibri" w:eastAsia="Calibri" w:hAnsi="Calibri"/>
          <w:sz w:val="21"/>
          <w:szCs w:val="21"/>
        </w:rPr>
        <w:t xml:space="preserve">Whether the index pays is a question with an answer, not an assumption: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138"/>
        <w:gridCol w:w="2888"/>
      </w:tblGrid>
      <w:tr>
        <w:trPr>
          <w:tblHeader/>
        </w:trPr>
        <w:tc>
          <w:tcPr>
            <w:tcW w:type="dxa" w:w="613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
            </w:r>
          </w:p>
        </w:tc>
        <w:tc>
          <w:tcPr>
            <w:tcW w:type="dxa" w:w="2888"/>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Cost</w:t>
            </w:r>
          </w:p>
        </w:tc>
      </w:tr>
      <w:tr>
        <w:trPr>
          <w:tblHeader w:val="false"/>
        </w:trPr>
        <w:tc>
          <w:tcPr>
            <w:tcW w:type="dxa" w:w="613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U1 insert with index (non-leaf cached): leaf read + leaf write + data write</w:t>
            </w:r>
          </w:p>
        </w:tc>
        <w:tc>
          <w:tcPr>
            <w:tcW w:type="dxa" w:w="288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36.12 ms</w:t>
            </w:r>
          </w:p>
        </w:tc>
      </w:tr>
      <w:tr>
        <w:trPr>
          <w:tblHeader w:val="false"/>
        </w:trPr>
        <w:tc>
          <w:tcPr>
            <w:tcW w:type="dxa" w:w="613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U1 insert without index: read last block + write</w:t>
            </w:r>
          </w:p>
        </w:tc>
        <w:tc>
          <w:tcPr>
            <w:tcW w:type="dxa" w:w="288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24.08 ms</w:t>
            </w:r>
          </w:p>
        </w:tc>
      </w:tr>
      <w:tr>
        <w:trPr>
          <w:tblHeader w:val="false"/>
        </w:trPr>
        <w:tc>
          <w:tcPr>
            <w:tcW w:type="dxa" w:w="613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Extra per insert × 23,200/day = index maintenance</w:t>
            </w:r>
          </w:p>
        </w:tc>
        <w:tc>
          <w:tcPr>
            <w:tcW w:type="dxa" w:w="288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279 s/day</w:t>
            </w:r>
          </w:p>
        </w:tc>
      </w:tr>
      <w:tr>
        <w:trPr>
          <w:tblHeader w:val="false"/>
        </w:trPr>
        <w:tc>
          <w:tcPr>
            <w:tcW w:type="dxa" w:w="613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Q8 without index: scan F6 at all four sites, 180/day</w:t>
            </w:r>
          </w:p>
        </w:tc>
        <w:tc>
          <w:tcPr>
            <w:tcW w:type="dxa" w:w="288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4,895 s/day</w:t>
            </w:r>
          </w:p>
        </w:tc>
      </w:tr>
      <w:tr>
        <w:trPr>
          <w:tblHeader w:val="false"/>
        </w:trPr>
        <w:tc>
          <w:tcPr>
            <w:tcW w:type="dxa" w:w="613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Q8 with index: ~16 containers × (1 leaf + 1 data), 180/day</w:t>
            </w:r>
          </w:p>
        </w:tc>
        <w:tc>
          <w:tcPr>
            <w:tcW w:type="dxa" w:w="288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87 s/day</w:t>
            </w:r>
          </w:p>
        </w:tc>
      </w:tr>
      <w:tr>
        <w:trPr>
          <w:tblHeader w:val="false"/>
        </w:trPr>
        <w:tc>
          <w:tcPr>
            <w:tcW w:type="dxa" w:w="6138"/>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Net saving 4,808 s/day for 279 s/day cost</w:t>
            </w:r>
          </w:p>
        </w:tc>
        <w:tc>
          <w:tcPr>
            <w:tcW w:type="dxa" w:w="2888"/>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17× return</w:t>
            </w:r>
          </w:p>
        </w:tc>
      </w:tr>
    </w:tbl>
    <w:p>
      <w:pPr>
        <w:spacing w:after="220" w:before="80"/>
        <w:jc w:val="center"/>
      </w:pPr>
      <w:r>
        <w:rPr>
          <w:rFonts w:ascii="Calibri" w:cs="Calibri" w:eastAsia="Calibri" w:hAnsi="Calibri"/>
          <w:i/>
          <w:iCs/>
          <w:color w:val="595959"/>
          <w:sz w:val="18"/>
          <w:szCs w:val="18"/>
        </w:rPr>
        <w:t xml:space="preserve">Table 10.5 — Index break-even analysis</w:t>
      </w:r>
    </w:p>
    <w:p>
      <w:pPr>
        <w:spacing w:after="120" w:before="0" w:line="276"/>
      </w:pPr>
      <w:r>
        <w:rPr>
          <w:rFonts w:ascii="Calibri" w:cs="Calibri" w:eastAsia="Calibri" w:hAnsi="Calibri"/>
          <w:sz w:val="21"/>
          <w:szCs w:val="21"/>
        </w:rPr>
        <w:t xml:space="preserve">The index is justified, but by a factor of 17 rather than by an order of magnitude — and it costs 459 MB, a 42% storage overhead on the fragment. If U1’s frequency were five times higher, or Q8’s five times lower, the decision would reverse.</w:t>
      </w:r>
    </w:p>
    <w:p>
      <w:pPr>
        <w:pStyle w:val="Heading2"/>
        <w:spacing w:after="120" w:before="260"/>
      </w:pPr>
      <w:r>
        <w:rPr>
          <w:rFonts w:ascii="Calibri" w:cs="Calibri" w:eastAsia="Calibri" w:hAnsi="Calibri"/>
          <w:b/>
          <w:bCs/>
          <w:color w:val="1F3864"/>
          <w:sz w:val="25"/>
          <w:szCs w:val="25"/>
        </w:rPr>
        <w:t xml:space="preserve">10.5 Chosen access method per fragment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836"/>
        <w:gridCol w:w="2842"/>
        <w:gridCol w:w="1086"/>
        <w:gridCol w:w="1086"/>
        <w:gridCol w:w="1086"/>
        <w:gridCol w:w="1086"/>
        <w:gridCol w:w="1003"/>
      </w:tblGrid>
      <w:tr>
        <w:trPr>
          <w:tblHeader/>
        </w:trPr>
        <w:tc>
          <w:tcPr>
            <w:tcW w:type="dxa" w:w="836"/>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ID</w:t>
            </w:r>
          </w:p>
        </w:tc>
        <w:tc>
          <w:tcPr>
            <w:tcW w:type="dxa" w:w="2842"/>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Access method</w:t>
            </w:r>
          </w:p>
        </w:tc>
        <w:tc>
          <w:tcPr>
            <w:tcW w:type="dxa" w:w="1086"/>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S1</w:t>
            </w:r>
          </w:p>
        </w:tc>
        <w:tc>
          <w:tcPr>
            <w:tcW w:type="dxa" w:w="1086"/>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S2</w:t>
            </w:r>
          </w:p>
        </w:tc>
        <w:tc>
          <w:tcPr>
            <w:tcW w:type="dxa" w:w="1086"/>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S3</w:t>
            </w:r>
          </w:p>
        </w:tc>
        <w:tc>
          <w:tcPr>
            <w:tcW w:type="dxa" w:w="1086"/>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S4</w:t>
            </w:r>
          </w:p>
        </w:tc>
        <w:tc>
          <w:tcPr>
            <w:tcW w:type="dxa" w:w="100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Accesses</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F1</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cont_id</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F2</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cont_id</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F3</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voyage_id</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F4</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(block, bay, row, tier)</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15</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w:t>
            </w:r>
          </w:p>
        </w:tc>
      </w:tr>
      <w:tr>
        <w:trPr>
          <w:tblHeader w:val="false"/>
        </w:trPr>
        <w:tc>
          <w:tcPr>
            <w:tcW w:type="dxa" w:w="83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F5, F7</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none — single block</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bCs/>
                <w:sz w:val="15"/>
                <w:szCs w:val="15"/>
              </w:rPr>
              <w:t xml:space="preserve">F6</w:t>
            </w:r>
          </w:p>
        </w:tc>
        <w:tc>
          <w:tcPr>
            <w:tcW w:type="dxa" w:w="2842"/>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B+ tree on cont_id over heap</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42,056</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112,149</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84,112</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42,056</w:t>
            </w:r>
          </w:p>
        </w:tc>
        <w:tc>
          <w:tcPr>
            <w:tcW w:type="dxa" w:w="1003"/>
            <w:tcMar>
              <w:top w:type="dxa" w:w="50"/>
              <w:left w:type="dxa" w:w="80"/>
              <w:bottom w:type="dxa" w:w="50"/>
              <w:right w:type="dxa" w:w="80"/>
            </w:tcMar>
          </w:tcPr>
          <w:p>
            <w:pPr>
              <w:spacing w:after="0" w:before="0"/>
              <w:jc w:val="right"/>
            </w:pPr>
            <w:r>
              <w:rPr>
                <w:rFonts w:ascii="Consolas" w:cs="Consolas" w:eastAsia="Consolas" w:hAnsi="Consolas"/>
                <w:b/>
                <w:bCs/>
                <w:sz w:val="15"/>
                <w:szCs w:val="15"/>
              </w:rPr>
              <w:t xml:space="preserve">4</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F8</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cont_id</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r>
      <w:tr>
        <w:trPr>
          <w:tblHeader w:val="false"/>
        </w:trPr>
        <w:tc>
          <w:tcPr>
            <w:tcW w:type="dxa" w:w="836"/>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F9</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bl_no</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r>
      <w:tr>
        <w:trPr>
          <w:tblHeader w:val="false"/>
        </w:trPr>
        <w:tc>
          <w:tcPr>
            <w:tcW w:type="dxa" w:w="83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F10–F12</w:t>
            </w:r>
          </w:p>
        </w:tc>
        <w:tc>
          <w:tcPr>
            <w:tcW w:type="dxa" w:w="2842"/>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on cont_id</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6"/>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0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w:t>
            </w:r>
          </w:p>
        </w:tc>
      </w:tr>
      <w:tr>
        <w:trPr>
          <w:tblHeader w:val="false"/>
        </w:trPr>
        <w:tc>
          <w:tcPr>
            <w:tcW w:type="dxa" w:w="836"/>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
            </w:r>
          </w:p>
        </w:tc>
        <w:tc>
          <w:tcPr>
            <w:tcW w:type="dxa" w:w="2842"/>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Index blocks total</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42,085</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112,206</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84,158</w:t>
            </w:r>
          </w:p>
        </w:tc>
        <w:tc>
          <w:tcPr>
            <w:tcW w:type="dxa" w:w="1086"/>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42,085</w:t>
            </w:r>
          </w:p>
        </w:tc>
        <w:tc>
          <w:tcPr>
            <w:tcW w:type="dxa" w:w="100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
            </w:r>
          </w:p>
        </w:tc>
      </w:tr>
    </w:tbl>
    <w:p>
      <w:pPr>
        <w:spacing w:after="220" w:before="80"/>
        <w:jc w:val="center"/>
      </w:pPr>
      <w:r>
        <w:rPr>
          <w:rFonts w:ascii="Calibri" w:cs="Calibri" w:eastAsia="Calibri" w:hAnsi="Calibri"/>
          <w:i/>
          <w:iCs/>
          <w:color w:val="595959"/>
          <w:sz w:val="18"/>
          <w:szCs w:val="18"/>
        </w:rPr>
        <w:t xml:space="preserve">Table 10.6 — Index blocks per fragment per site</w:t>
      </w:r>
    </w:p>
    <w:p>
      <w:pPr>
        <w:spacing w:after="120" w:before="0" w:line="276"/>
      </w:pPr>
      <w:r>
        <w:rPr>
          <w:rFonts w:ascii="Calibri" w:cs="Calibri" w:eastAsia="Calibri" w:hAnsi="Calibri"/>
          <w:sz w:val="21"/>
          <w:szCs w:val="21"/>
        </w:rPr>
        <w:t xml:space="preserve">F5 YARD_BLOCK and F7 TARIFF get no index at all: both occupy a single block, so an index would cost an extra access to save none. F4 YARD_SLOT is ordered on its primary key, which makes Q1 ("all containers in block B") a contiguous range scan rather than a filtered full scan — the key order was chosen to match the query.</w:t>
      </w:r>
    </w:p>
    <w:p>
      <w:pPr>
        <w:pStyle w:val="Heading2"/>
        <w:spacing w:after="120" w:before="260"/>
      </w:pPr>
      <w:r>
        <w:rPr>
          <w:rFonts w:ascii="Calibri" w:cs="Calibri" w:eastAsia="Calibri" w:hAnsi="Calibri"/>
          <w:b/>
          <w:bCs/>
          <w:color w:val="1F3864"/>
          <w:sz w:val="25"/>
          <w:szCs w:val="25"/>
        </w:rPr>
        <w:t xml:space="preserve">10.6 Fragment access times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3"/>
        <w:gridCol w:w="2708"/>
        <w:gridCol w:w="1354"/>
        <w:gridCol w:w="1354"/>
        <w:gridCol w:w="1354"/>
        <w:gridCol w:w="1354"/>
      </w:tblGrid>
      <w:tr>
        <w:trPr>
          <w:tblHeader/>
        </w:trPr>
        <w:tc>
          <w:tcPr>
            <w:tcW w:type="dxa" w:w="903"/>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ID</w:t>
            </w:r>
          </w:p>
        </w:tc>
        <w:tc>
          <w:tcPr>
            <w:tcW w:type="dxa" w:w="270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Fragment</w:t>
            </w:r>
          </w:p>
        </w:tc>
        <w:tc>
          <w:tcPr>
            <w:tcW w:type="dxa" w:w="135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S1</w:t>
            </w:r>
          </w:p>
        </w:tc>
        <w:tc>
          <w:tcPr>
            <w:tcW w:type="dxa" w:w="135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S2</w:t>
            </w:r>
          </w:p>
        </w:tc>
        <w:tc>
          <w:tcPr>
            <w:tcW w:type="dxa" w:w="135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S3</w:t>
            </w:r>
          </w:p>
        </w:tc>
        <w:tc>
          <w:tcPr>
            <w:tcW w:type="dxa" w:w="135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S4</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F1</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CONTAINER_C</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51.8</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118.2</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91.7</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51.8</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F2</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CONTAINER_G</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36.4</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76.9</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60.7</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36.4</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F3</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VOYAGE</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12.3</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12.7</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12.6</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12.3</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F4</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YARD_SLOT</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42.9</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94.3</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73.7</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42.9</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F5</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YARD_BLOCK</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12.1</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12.1</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bCs/>
                <w:sz w:val="16"/>
                <w:szCs w:val="16"/>
              </w:rPr>
              <w:t xml:space="preserve">F6</w:t>
            </w:r>
          </w:p>
        </w:tc>
        <w:tc>
          <w:tcPr>
            <w:tcW w:type="dxa" w:w="2708"/>
            <w:tcMar>
              <w:top w:type="dxa" w:w="50"/>
              <w:left w:type="dxa" w:w="80"/>
              <w:bottom w:type="dxa" w:w="50"/>
              <w:right w:type="dxa" w:w="80"/>
            </w:tcMar>
          </w:tcPr>
          <w:p>
            <w:pPr>
              <w:spacing w:after="0" w:before="0"/>
              <w:jc w:val="left"/>
            </w:pPr>
            <w:r>
              <w:rPr>
                <w:rFonts w:ascii="Consolas" w:cs="Consolas" w:eastAsia="Consolas" w:hAnsi="Consolas"/>
                <w:b/>
                <w:bCs/>
                <w:sz w:val="16"/>
                <w:szCs w:val="16"/>
              </w:rPr>
              <w:t xml:space="preserve">GATE_MOVE</w:t>
            </w:r>
          </w:p>
        </w:tc>
        <w:tc>
          <w:tcPr>
            <w:tcW w:type="dxa" w:w="135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4,083.6</w:t>
            </w:r>
          </w:p>
        </w:tc>
        <w:tc>
          <w:tcPr>
            <w:tcW w:type="dxa" w:w="135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10,869.6</w:t>
            </w:r>
          </w:p>
        </w:tc>
        <w:tc>
          <w:tcPr>
            <w:tcW w:type="dxa" w:w="135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8,155.2</w:t>
            </w:r>
          </w:p>
        </w:tc>
        <w:tc>
          <w:tcPr>
            <w:tcW w:type="dxa" w:w="1354"/>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4,083.6</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F7</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TARIFF</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F8</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CUSTOMS_DECL</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40.6</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88.1</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69.1</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40.6</w:t>
            </w:r>
          </w:p>
        </w:tc>
      </w:tr>
      <w:tr>
        <w:trPr>
          <w:tblHeader w:val="false"/>
        </w:trPr>
        <w:tc>
          <w:tcPr>
            <w:tcW w:type="dxa" w:w="90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F9</w:t>
            </w:r>
          </w:p>
        </w:tc>
        <w:tc>
          <w:tcPr>
            <w:tcW w:type="dxa" w:w="2708"/>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BILL_OF_LADING</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21.6</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37.5</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31.1</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21.6</w:t>
            </w:r>
          </w:p>
        </w:tc>
      </w:tr>
      <w:tr>
        <w:trPr>
          <w:tblHeader w:val="false"/>
        </w:trPr>
        <w:tc>
          <w:tcPr>
            <w:tcW w:type="dxa" w:w="903"/>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F10–F12</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subtype fragments</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 13.4</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 15.6</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 14.7</w:t>
            </w:r>
          </w:p>
        </w:tc>
        <w:tc>
          <w:tcPr>
            <w:tcW w:type="dxa" w:w="135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 13.4</w:t>
            </w:r>
          </w:p>
        </w:tc>
      </w:tr>
    </w:tbl>
    <w:p>
      <w:pPr>
        <w:spacing w:after="220" w:before="80"/>
        <w:jc w:val="center"/>
      </w:pPr>
      <w:r>
        <w:rPr>
          <w:rFonts w:ascii="Calibri" w:cs="Calibri" w:eastAsia="Calibri" w:hAnsi="Calibri"/>
          <w:i/>
          <w:iCs/>
          <w:color w:val="595959"/>
          <w:sz w:val="18"/>
          <w:szCs w:val="18"/>
        </w:rPr>
        <w:t xml:space="preserve">Table 10.7 — Full-fragment scan time at the home site (ms)</w:t>
      </w:r>
    </w:p>
    <w:p>
      <w:pPr>
        <w:spacing w:after="120" w:before="0" w:line="276"/>
      </w:pPr>
      <w:r>
        <w:rPr>
          <w:rFonts w:ascii="Calibri" w:cs="Calibri" w:eastAsia="Calibri" w:hAnsi="Calibri"/>
          <w:sz w:val="21"/>
          <w:szCs w:val="21"/>
        </w:rPr>
        <w:t xml:space="preserve">Every fragment except F6 scans in under 120 ms. F6 is two orders of magnitude slower than anything else, which is why it is the only fragment whose access method required real analysis.</w:t>
      </w:r>
    </w:p>
    <w:p>
      <w:pPr>
        <w:pStyle w:val="Heading2"/>
        <w:spacing w:after="120" w:before="260"/>
      </w:pPr>
      <w:r>
        <w:rPr>
          <w:rFonts w:ascii="Calibri" w:cs="Calibri" w:eastAsia="Calibri" w:hAnsi="Calibri"/>
          <w:b/>
          <w:bCs/>
          <w:color w:val="1F3864"/>
          <w:sz w:val="25"/>
          <w:szCs w:val="25"/>
        </w:rPr>
        <w:t xml:space="preserve">10.7 A cheaper alternative the schema does not offer</w:t>
      </w:r>
    </w:p>
    <w:p>
      <w:pPr>
        <w:spacing w:after="120" w:before="0" w:line="276"/>
      </w:pPr>
      <w:r>
        <w:rPr>
          <w:rFonts w:ascii="Calibri" w:cs="Calibri" w:eastAsia="Calibri" w:hAnsi="Calibri"/>
          <w:sz w:val="21"/>
          <w:szCs w:val="21"/>
        </w:rPr>
        <w:t xml:space="preserve">The index above is justified against the query as posed. It is worth asking the prior question: why does Q8 need GATE_MOVE at all?</w:t>
      </w:r>
    </w:p>
    <w:p>
      <w:pPr>
        <w:spacing w:after="120" w:before="0" w:line="276"/>
      </w:pPr>
      <w:r>
        <w:rPr>
          <w:rFonts w:ascii="Calibri" w:cs="Calibri" w:eastAsia="Calibri" w:hAnsi="Calibri"/>
          <w:sz w:val="21"/>
          <w:szCs w:val="21"/>
        </w:rPr>
        <w:t xml:space="preserve">Q8 needs one fact per container — when its dwell began. The schema offers two sources and neither is satisfactory. YARD_SLOT.occupied_since is cheap, but U2 (slot reassign, 3,100/day) resets it, so any re-stowed container loses its original dwell start and the query would return wrong answers. GATE_MOVE with direction = IN is correct and immutable, but it is 60 million rows.</w:t>
      </w:r>
    </w:p>
    <w:p>
      <w:pPr>
        <w:spacing w:after="120" w:line="276"/>
      </w:pPr>
      <w:r>
        <w:rPr>
          <w:rFonts w:ascii="Calibri" w:cs="Calibri" w:eastAsia="Calibri" w:hAnsi="Calibri"/>
          <w:b/>
          <w:bCs/>
          <w:sz w:val="21"/>
          <w:szCs w:val="21"/>
        </w:rPr>
        <w:t xml:space="preserve">The schema has no immutable discharge timestamp. </w:t>
      </w:r>
      <w:r>
        <w:rPr>
          <w:rFonts w:ascii="Calibri" w:cs="Calibri" w:eastAsia="Calibri" w:hAnsi="Calibri"/>
          <w:sz w:val="21"/>
          <w:szCs w:val="21"/>
        </w:rPr>
        <w:t xml:space="preserve">That omission, rather than any property of the workload, is what forces the demurrage query onto the largest relation in the database and justifies a 1,148 MB index.</w:t>
      </w:r>
    </w:p>
    <w:p>
      <w:pPr>
        <w:spacing w:after="120" w:before="0" w:line="276"/>
      </w:pPr>
      <w:r>
        <w:rPr>
          <w:rFonts w:ascii="Calibri" w:cs="Calibri" w:eastAsia="Calibri" w:hAnsi="Calibri"/>
          <w:sz w:val="21"/>
          <w:szCs w:val="21"/>
        </w:rPr>
        <w:t xml:space="preserve">Storing discharge_ts (8 B, written once at discharge, never updated) on CONTAINER_C would remove the need entirely: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596"/>
        <w:gridCol w:w="3430"/>
      </w:tblGrid>
      <w:tr>
        <w:trPr>
          <w:tblHeader/>
        </w:trPr>
        <w:tc>
          <w:tcPr>
            <w:tcW w:type="dxa" w:w="559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
            </w:r>
          </w:p>
        </w:tc>
        <w:tc>
          <w:tcPr>
            <w:tcW w:type="dxa" w:w="3430"/>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Cost</w:t>
            </w:r>
          </w:p>
        </w:tc>
      </w:tr>
      <w:tr>
        <w:trPr>
          <w:tblHeader w:val="false"/>
        </w:trPr>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 record</w:t>
            </w:r>
          </w:p>
        </w:tc>
        <w:tc>
          <w:tcPr>
            <w:tcW w:type="dxa" w:w="343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54 B → 62 B</w:t>
            </w:r>
          </w:p>
        </w:tc>
      </w:tr>
      <w:tr>
        <w:trPr>
          <w:tblHeader w:val="false"/>
        </w:trPr>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Extra data blocks, all sites</w:t>
            </w:r>
          </w:p>
        </w:tc>
        <w:tc>
          <w:tcPr>
            <w:tcW w:type="dxa" w:w="343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+977 (4.0 MB)</w:t>
            </w:r>
          </w:p>
        </w:tc>
      </w:tr>
      <w:tr>
        <w:trPr>
          <w:tblHeader w:val="false"/>
        </w:trPr>
        <w:tc>
          <w:tcPr>
            <w:tcW w:type="dxa" w:w="5596"/>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GATE_MOVE B+ tree, all sites — no longer required by any query</w:t>
            </w:r>
          </w:p>
        </w:tc>
        <w:tc>
          <w:tcPr>
            <w:tcW w:type="dxa" w:w="3430"/>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1,148 MB</w:t>
            </w:r>
          </w:p>
        </w:tc>
      </w:tr>
      <w:tr>
        <w:trPr>
          <w:tblHeader w:val="false"/>
        </w:trPr>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Index maintenance removed</w:t>
            </w:r>
          </w:p>
        </w:tc>
        <w:tc>
          <w:tcPr>
            <w:tcW w:type="dxa" w:w="343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279 s/day</w:t>
            </w:r>
          </w:p>
        </w:tc>
      </w:tr>
      <w:tr>
        <w:trPr>
          <w:tblHeader w:val="false"/>
        </w:trPr>
        <w:tc>
          <w:tcPr>
            <w:tcW w:type="dxa" w:w="5596"/>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Database size</w:t>
            </w:r>
          </w:p>
        </w:tc>
        <w:tc>
          <w:tcPr>
            <w:tcW w:type="dxa" w:w="3430"/>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4,091 MB → 2,946 MB (28% smaller)</w:t>
            </w:r>
          </w:p>
        </w:tc>
      </w:tr>
    </w:tbl>
    <w:p>
      <w:pPr>
        <w:spacing w:after="220" w:before="80"/>
        <w:jc w:val="center"/>
      </w:pPr>
      <w:r>
        <w:rPr>
          <w:rFonts w:ascii="Calibri" w:cs="Calibri" w:eastAsia="Calibri" w:hAnsi="Calibri"/>
          <w:i/>
          <w:iCs/>
          <w:color w:val="595959"/>
          <w:sz w:val="18"/>
          <w:szCs w:val="18"/>
        </w:rPr>
        <w:t xml:space="preserve">Table 10.9 — Cost of a stored discharge timestamp against the index it would replace</w:t>
      </w:r>
    </w:p>
    <w:p>
      <w:pPr>
        <w:spacing w:after="120" w:line="276"/>
      </w:pPr>
      <w:r>
        <w:rPr>
          <w:rFonts w:ascii="Calibri" w:cs="Calibri" w:eastAsia="Calibri" w:hAnsi="Calibri"/>
          <w:b/>
          <w:bCs/>
          <w:sz w:val="21"/>
          <w:szCs w:val="21"/>
        </w:rPr>
        <w:t xml:space="preserve">4 MB of data would replace 1,148 MB of index — 287× cheaper </w:t>
      </w:r>
      <w:r>
        <w:rPr>
          <w:rFonts w:ascii="Calibri" w:cs="Calibri" w:eastAsia="Calibri" w:hAnsi="Calibri"/>
          <w:sz w:val="21"/>
          <w:szCs w:val="21"/>
        </w:rPr>
        <w:t xml:space="preserve">— and Q8 would get faster too, since it already scans CONTAINER_C to find the consignee’s containers and would then need nothing else.</w:t>
      </w:r>
    </w:p>
    <w:p>
      <w:pPr>
        <w:spacing w:after="120" w:before="0" w:line="276"/>
      </w:pPr>
      <w:r>
        <w:rPr>
          <w:rFonts w:ascii="Calibri" w:cs="Calibri" w:eastAsia="Calibri" w:hAnsi="Calibri"/>
          <w:sz w:val="21"/>
          <w:szCs w:val="21"/>
        </w:rPr>
        <w:t xml:space="preserve">The design retains GATE_MOVE and its index for one reason worth stating: GATE_MOVE remains the authoritative record for containers that have already left the yard, where no current CONTAINER row exists, and for any historical demurrage audit. A production design would store discharge_ts for the live query path and keep GATE_MOVE for history, taking both benefits. The figures above are the honest cost of not doing so.</w:t>
      </w:r>
    </w:p>
    <w:p>
      <w:pPr>
        <w:spacing w:after="120" w:before="0" w:line="276"/>
      </w:pPr>
      <w:r>
        <w:rPr>
          <w:rFonts w:ascii="Calibri" w:cs="Calibri" w:eastAsia="Calibri" w:hAnsi="Calibri"/>
          <w:sz w:val="21"/>
          <w:szCs w:val="21"/>
        </w:rPr>
        <w:t xml:space="preserve">This is recorded rather than silently corrected because the access-method analysis in Sections 10.3 to 10.6 is a valid answer to the question it was asked. The point is that optimising an access path is not the same as asking whether the schema should have made the query cheap in the first place.</w:t>
      </w:r>
    </w:p>
    <w:p>
      <w:pPr>
        <w:pStyle w:val="Heading2"/>
        <w:spacing w:after="120" w:before="260"/>
      </w:pPr>
      <w:r>
        <w:rPr>
          <w:rFonts w:ascii="Calibri" w:cs="Calibri" w:eastAsia="Calibri" w:hAnsi="Calibri"/>
          <w:b/>
          <w:bCs/>
          <w:color w:val="1F3864"/>
          <w:sz w:val="25"/>
          <w:szCs w:val="25"/>
        </w:rPr>
        <w:t xml:space="preserve">10.8 Remote access — the finding that shapes allocation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444"/>
        <w:gridCol w:w="1264"/>
        <w:gridCol w:w="1264"/>
        <w:gridCol w:w="1444"/>
        <w:gridCol w:w="1805"/>
        <w:gridCol w:w="1805"/>
      </w:tblGrid>
      <w:tr>
        <w:trPr>
          <w:tblHeader/>
        </w:trPr>
        <w:tc>
          <w:tcPr>
            <w:tcW w:type="dxa" w:w="144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Route</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Local</w:t>
            </w:r>
          </w:p>
        </w:tc>
        <w:tc>
          <w:tcPr>
            <w:tcW w:type="dxa" w:w="126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 Td</w:t>
            </w:r>
          </w:p>
        </w:tc>
        <w:tc>
          <w:tcPr>
            <w:tcW w:type="dxa" w:w="144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+ 2Tp</w:t>
            </w:r>
          </w:p>
        </w:tc>
        <w:tc>
          <w:tcPr>
            <w:tcW w:type="dxa" w:w="180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Total</w:t>
            </w:r>
          </w:p>
        </w:tc>
        <w:tc>
          <w:tcPr>
            <w:tcW w:type="dxa" w:w="180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Ratio to local</w:t>
            </w:r>
          </w:p>
        </w:tc>
      </w:tr>
      <w:tr>
        <w:trPr>
          <w:tblHeader w:val="false"/>
        </w:trPr>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S1 → S2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36.12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0.082</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5.19</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41.39 ms</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1.15×</w:t>
            </w:r>
          </w:p>
        </w:tc>
      </w:tr>
      <w:tr>
        <w:trPr>
          <w:tblHeader w:val="false"/>
        </w:trPr>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S2 → S3</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36.12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0.082</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9.63</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45.83 ms</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1.27×</w:t>
            </w:r>
          </w:p>
        </w:tc>
      </w:tr>
      <w:tr>
        <w:trPr>
          <w:tblHeader w:val="false"/>
        </w:trPr>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S2 → S4</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36.12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0.082</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14.07</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50.28 ms</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1.39×</w:t>
            </w:r>
          </w:p>
        </w:tc>
      </w:tr>
      <w:tr>
        <w:trPr>
          <w:tblHeader w:val="false"/>
        </w:trPr>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S1 → S4</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36.12</w:t>
            </w:r>
          </w:p>
        </w:tc>
        <w:tc>
          <w:tcPr>
            <w:tcW w:type="dxa" w:w="126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0.082</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14.81</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51.02 ms</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1.41×</w:t>
            </w:r>
          </w:p>
        </w:tc>
      </w:tr>
    </w:tbl>
    <w:p>
      <w:pPr>
        <w:spacing w:after="220" w:before="80"/>
        <w:jc w:val="center"/>
      </w:pPr>
      <w:r>
        <w:rPr>
          <w:rFonts w:ascii="Calibri" w:cs="Calibri" w:eastAsia="Calibri" w:hAnsi="Calibri"/>
          <w:i/>
          <w:iCs/>
          <w:color w:val="595959"/>
          <w:sz w:val="18"/>
          <w:szCs w:val="18"/>
        </w:rPr>
        <w:t xml:space="preserve">Table 10.8 — Remote single-record retrieval of the gate fragment</w:t>
      </w:r>
    </w:p>
    <w:p>
      <w:pPr>
        <w:spacing w:after="120" w:line="276"/>
      </w:pPr>
      <w:r>
        <w:rPr>
          <w:rFonts w:ascii="Calibri" w:cs="Calibri" w:eastAsia="Calibri" w:hAnsi="Calibri"/>
          <w:b/>
          <w:bCs/>
          <w:sz w:val="21"/>
          <w:szCs w:val="21"/>
        </w:rPr>
        <w:t xml:space="preserve">A remote read costs only 1.15× to 1.41× a local read. </w:t>
      </w:r>
      <w:r>
        <w:rPr>
          <w:rFonts w:ascii="Calibri" w:cs="Calibri" w:eastAsia="Calibri" w:hAnsi="Calibri"/>
          <w:sz w:val="21"/>
          <w:szCs w:val="21"/>
        </w:rPr>
        <w:t xml:space="preserve">Disk access (36 ms) dominates network latency (5–15 ms), and transmission delay is negligible for small results. This is the most consequential number in the physical design: replication is far less attractive here than intuition suggests, because the benefit of placing a fragment locally is at most a 41% saving on read time while every replica multiplies the cost of every update to it.</w:t>
      </w:r>
    </w:p>
    <w:p>
      <w:pPr>
        <w:spacing w:after="120" w:before="0" w:line="276"/>
      </w:pPr>
      <w:r>
        <w:rPr>
          <w:rFonts w:ascii="Calibri" w:cs="Calibri" w:eastAsia="Calibri" w:hAnsi="Calibri"/>
          <w:sz w:val="21"/>
          <w:szCs w:val="21"/>
        </w:rPr>
        <w:t xml:space="preserve">It is also a consequence of the assumptions. With an 8 ms seek the disk is a spinning drive; on SSDs (≈0.1 ms access) the local read would fall well under a millisecond and the remote/local ratio would exceed 50×, flipping the conclusion entirely.</w:t>
      </w:r>
    </w:p>
    <w:p>
      <w:r>
        <w:br w:type="page"/>
      </w:r>
    </w:p>
    <w:p>
      <w:pPr>
        <w:pStyle w:val="Heading1"/>
        <w:spacing w:after="180" w:before="360"/>
      </w:pPr>
      <w:r>
        <w:rPr>
          <w:rFonts w:ascii="Calibri" w:cs="Calibri" w:eastAsia="Calibri" w:hAnsi="Calibri"/>
          <w:b/>
          <w:bCs/>
          <w:color w:val="1F3864"/>
          <w:sz w:val="30"/>
          <w:szCs w:val="30"/>
        </w:rPr>
        <w:t xml:space="preserve">11. Replication and Allocation</w:t>
      </w:r>
    </w:p>
    <w:p>
      <w:pPr>
        <w:pStyle w:val="Heading2"/>
        <w:spacing w:after="120" w:before="260"/>
      </w:pPr>
      <w:r>
        <w:rPr>
          <w:rFonts w:ascii="Calibri" w:cs="Calibri" w:eastAsia="Calibri" w:hAnsi="Calibri"/>
          <w:b/>
          <w:bCs/>
          <w:color w:val="1F3864"/>
          <w:sz w:val="25"/>
          <w:szCs w:val="25"/>
        </w:rPr>
        <w:t xml:space="preserve">11.1 Method</w:t>
      </w:r>
    </w:p>
    <w:p>
      <w:pPr>
        <w:spacing w:after="120" w:before="0" w:line="276"/>
      </w:pPr>
      <w:r>
        <w:rPr>
          <w:rFonts w:ascii="Calibri" w:cs="Calibri" w:eastAsia="Calibri" w:hAnsi="Calibri"/>
          <w:sz w:val="21"/>
          <w:szCs w:val="21"/>
        </w:rPr>
        <w:t xml:space="preserve">All Beneficial Sites. For each fragment F and candidate site S, place a copy at S if the read benefit exceeds the update cost.</w:t>
      </w:r>
    </w:p>
    <w:p>
      <w:pPr>
        <w:spacing w:after="0" w:before="80"/>
        <w:ind w:left="340"/>
      </w:pPr>
      <w:r>
        <w:rPr>
          <w:rFonts w:ascii="Consolas" w:cs="Consolas" w:eastAsia="Consolas" w:hAnsi="Consolas"/>
          <w:color w:val="333333"/>
          <w:sz w:val="17"/>
          <w:szCs w:val="17"/>
        </w:rPr>
        <w:t xml:space="preserve">Benefit(F, S) = SUM over read transactions q at S that access F:</w:t>
      </w:r>
    </w:p>
    <w:p>
      <w:pPr>
        <w:spacing w:after="0" w:before="0"/>
        <w:ind w:left="340"/>
      </w:pPr>
      <w:r>
        <w:rPr>
          <w:rFonts w:ascii="Consolas" w:cs="Consolas" w:eastAsia="Consolas" w:hAnsi="Consolas"/>
          <w:color w:val="333333"/>
          <w:sz w:val="17"/>
          <w:szCs w:val="17"/>
        </w:rPr>
        <w:t xml:space="preserve">                  freq(q, S) x (remote cost - local cost)</w:t>
      </w:r>
    </w:p>
    <w:p>
      <w:pPr>
        <w:spacing w:after="0" w:before="0"/>
        <w:ind w:left="340"/>
      </w:pPr>
      <w:r>
        <w:rPr>
          <w:rFonts w:ascii="Consolas" w:cs="Consolas" w:eastAsia="Consolas" w:hAnsi="Consolas"/>
          <w:color w:val="333333"/>
          <w:sz w:val="17"/>
          <w:szCs w:val="17"/>
        </w:rPr>
        <w:t xml:space="preserve">                where remote - local = Td_total + 2Tp(S, home)</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Cost(F, S)    = SUM over update transactions u that write F at its home site:</w:t>
      </w:r>
    </w:p>
    <w:p>
      <w:pPr>
        <w:spacing w:after="0" w:before="0"/>
        <w:ind w:left="340"/>
      </w:pPr>
      <w:r>
        <w:rPr>
          <w:rFonts w:ascii="Consolas" w:cs="Consolas" w:eastAsia="Consolas" w:hAnsi="Consolas"/>
          <w:color w:val="333333"/>
          <w:sz w:val="17"/>
          <w:szCs w:val="17"/>
        </w:rPr>
        <w:t xml:space="preserve">                  freq(u) x (local update cost + 2Tp(home, S))</w:t>
      </w:r>
    </w:p>
    <w:p>
      <w:pPr>
        <w:spacing w:after="0" w:before="0"/>
        <w:ind w:left="340"/>
      </w:pPr>
      <w:r>
        <w:rPr>
          <w:rFonts w:ascii="Consolas" w:cs="Consolas" w:eastAsia="Consolas" w:hAnsi="Consolas"/>
          <w:color w:val="333333"/>
          <w:sz w:val="17"/>
          <w:szCs w:val="17"/>
        </w:rPr>
        <w:t xml:space="preserve"> </w:t>
      </w:r>
    </w:p>
    <w:p>
      <w:pPr>
        <w:spacing w:after="140" w:before="0"/>
        <w:ind w:left="340"/>
      </w:pPr>
      <w:r>
        <w:rPr>
          <w:rFonts w:ascii="Consolas" w:cs="Consolas" w:eastAsia="Consolas" w:hAnsi="Consolas"/>
          <w:color w:val="333333"/>
          <w:sz w:val="17"/>
          <w:szCs w:val="17"/>
        </w:rPr>
        <w:t xml:space="preserve">Allocate a copy at S  &lt;=&gt;  Benefit(F, S) &gt; Cost(F, S)</w:t>
      </w:r>
    </w:p>
    <w:p>
      <w:pPr>
        <w:pStyle w:val="Heading2"/>
        <w:spacing w:after="120" w:before="260"/>
      </w:pPr>
      <w:r>
        <w:rPr>
          <w:rFonts w:ascii="Calibri" w:cs="Calibri" w:eastAsia="Calibri" w:hAnsi="Calibri"/>
          <w:b/>
          <w:bCs/>
          <w:color w:val="1F3864"/>
          <w:sz w:val="25"/>
          <w:szCs w:val="25"/>
        </w:rPr>
        <w:t xml:space="preserve">11.2 Two structural facts</w:t>
      </w:r>
    </w:p>
    <w:p>
      <w:pPr>
        <w:spacing w:after="120" w:before="0" w:line="276"/>
      </w:pPr>
      <w:r>
        <w:rPr>
          <w:rFonts w:ascii="Calibri" w:cs="Calibri" w:eastAsia="Calibri" w:hAnsi="Calibri"/>
          <w:sz w:val="21"/>
          <w:szCs w:val="21"/>
        </w:rPr>
        <w:t xml:space="preserve">Of the twelve global transactions, nine never leave the site where they originate. Only Q6, Q8 and Q9 span sites, and together they run 310 times a day. The 5,220 local transactions of Section 12.10 never leave their site by construction.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18"/>
        <w:gridCol w:w="2708"/>
      </w:tblGrid>
      <w:tr>
        <w:trPr>
          <w:tblHeader/>
        </w:trPr>
        <w:tc>
          <w:tcPr>
            <w:tcW w:type="dxa" w:w="631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
            </w:r>
          </w:p>
        </w:tc>
        <w:tc>
          <w:tcPr>
            <w:tcW w:type="dxa" w:w="2708"/>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Per day</w:t>
            </w:r>
          </w:p>
        </w:tc>
      </w:tr>
      <w:tr>
        <w:trPr>
          <w:tblHeader w:val="false"/>
        </w:trPr>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Transactions served entirely locally</w:t>
            </w:r>
          </w:p>
        </w:tc>
        <w:tc>
          <w:tcPr>
            <w:tcW w:type="dxa" w:w="270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31,175</w:t>
            </w:r>
          </w:p>
        </w:tc>
      </w:tr>
      <w:tr>
        <w:trPr>
          <w:tblHeader w:val="false"/>
        </w:trPr>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Cross-site transactions (Q6, Q8, Q9)</w:t>
            </w:r>
          </w:p>
        </w:tc>
        <w:tc>
          <w:tcPr>
            <w:tcW w:type="dxa" w:w="2708"/>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310</w:t>
            </w:r>
          </w:p>
        </w:tc>
      </w:tr>
      <w:tr>
        <w:trPr>
          <w:tblHeader w:val="false"/>
        </w:trPr>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Remote fragment accesses they cause</w:t>
            </w:r>
          </w:p>
        </w:tc>
        <w:tc>
          <w:tcPr>
            <w:tcW w:type="dxa" w:w="2708"/>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930</w:t>
            </w:r>
          </w:p>
        </w:tc>
      </w:tr>
      <w:tr>
        <w:trPr>
          <w:tblHeader w:val="false"/>
        </w:trPr>
        <w:tc>
          <w:tcPr>
            <w:tcW w:type="dxa" w:w="6318"/>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Locality of global accesses: 1 − 930 / 32,415</w:t>
            </w:r>
          </w:p>
        </w:tc>
        <w:tc>
          <w:tcPr>
            <w:tcW w:type="dxa" w:w="2708"/>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97.13%</w:t>
            </w:r>
          </w:p>
        </w:tc>
      </w:tr>
      <w:tr>
        <w:trPr>
          <w:tblHeader w:val="false"/>
        </w:trPr>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Locality including local transactions L1–L8</w:t>
            </w:r>
          </w:p>
        </w:tc>
        <w:tc>
          <w:tcPr>
            <w:tcW w:type="dxa" w:w="270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97.53%</w:t>
            </w:r>
          </w:p>
        </w:tc>
      </w:tr>
    </w:tbl>
    <w:p>
      <w:pPr>
        <w:spacing w:after="220" w:before="80"/>
        <w:jc w:val="center"/>
      </w:pPr>
      <w:r>
        <w:rPr>
          <w:rFonts w:ascii="Calibri" w:cs="Calibri" w:eastAsia="Calibri" w:hAnsi="Calibri"/>
          <w:i/>
          <w:iCs/>
          <w:color w:val="595959"/>
          <w:sz w:val="18"/>
          <w:szCs w:val="18"/>
        </w:rPr>
        <w:t xml:space="preserve">Table 11.1 — Locality of the base allocation</w:t>
      </w:r>
    </w:p>
    <w:p>
      <w:pPr>
        <w:spacing w:after="120" w:before="0" w:line="276"/>
      </w:pPr>
      <w:r>
        <w:rPr>
          <w:rFonts w:ascii="Calibri" w:cs="Calibri" w:eastAsia="Calibri" w:hAnsi="Calibri"/>
          <w:sz w:val="21"/>
          <w:szCs w:val="21"/>
        </w:rPr>
        <w:t xml:space="preserve">From the Section 10.7 timings, the break-even follows directly:</w:t>
      </w:r>
    </w:p>
    <w:p>
      <w:pPr>
        <w:spacing w:after="0" w:before="80"/>
        <w:ind w:left="340"/>
      </w:pPr>
      <w:r>
        <w:rPr>
          <w:rFonts w:ascii="Consolas" w:cs="Consolas" w:eastAsia="Consolas" w:hAnsi="Consolas"/>
          <w:color w:val="333333"/>
          <w:sz w:val="17"/>
          <w:szCs w:val="17"/>
        </w:rPr>
        <w:t xml:space="preserve">a local replica SAVES, per read    :  Td + 2Tp           =  5.27 .. 14.90 ms</w:t>
      </w:r>
    </w:p>
    <w:p>
      <w:pPr>
        <w:spacing w:after="0" w:before="0"/>
        <w:ind w:left="340"/>
      </w:pPr>
      <w:r>
        <w:rPr>
          <w:rFonts w:ascii="Consolas" w:cs="Consolas" w:eastAsia="Consolas" w:hAnsi="Consolas"/>
          <w:color w:val="333333"/>
          <w:sz w:val="17"/>
          <w:szCs w:val="17"/>
        </w:rPr>
        <w:t xml:space="preserve">a local replica COSTS, per update  :  local_update + 2Tp = 77.43 .. 87.06 ms</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=&gt; a fragment must be read 6 to 15 times more often than it is updated,</w:t>
      </w:r>
    </w:p>
    <w:p>
      <w:pPr>
        <w:spacing w:after="140" w:before="0"/>
        <w:ind w:left="340"/>
      </w:pPr>
      <w:r>
        <w:rPr>
          <w:rFonts w:ascii="Consolas" w:cs="Consolas" w:eastAsia="Consolas" w:hAnsi="Consolas"/>
          <w:color w:val="333333"/>
          <w:sz w:val="17"/>
          <w:szCs w:val="17"/>
        </w:rPr>
        <w:t xml:space="preserve">   at that specific site, before a replica breaks even.</w:t>
      </w:r>
    </w:p>
    <w:p>
      <w:pPr>
        <w:pStyle w:val="Heading2"/>
        <w:spacing w:after="120" w:before="260"/>
      </w:pPr>
      <w:r>
        <w:rPr>
          <w:rFonts w:ascii="Calibri" w:cs="Calibri" w:eastAsia="Calibri" w:hAnsi="Calibri"/>
          <w:b/>
          <w:bCs/>
          <w:color w:val="1F3864"/>
          <w:sz w:val="25"/>
          <w:szCs w:val="25"/>
        </w:rPr>
        <w:t xml:space="preserve">11.3 Allocation of the fragmented relations</w:t>
      </w:r>
    </w:p>
    <w:p>
      <w:pPr>
        <w:spacing w:after="120" w:before="0" w:line="276"/>
      </w:pPr>
      <w:r>
        <w:rPr>
          <w:rFonts w:ascii="Calibri" w:cs="Calibri" w:eastAsia="Calibri" w:hAnsi="Calibri"/>
          <w:sz w:val="21"/>
          <w:szCs w:val="21"/>
        </w:rPr>
        <w:t xml:space="preserve">Only F1, F6 and F8 are read across sites, so only they are candidates. Worst case shown: home site S2, which carries 40% of the workload.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23"/>
        <w:gridCol w:w="1067"/>
        <w:gridCol w:w="985"/>
        <w:gridCol w:w="1395"/>
        <w:gridCol w:w="1395"/>
        <w:gridCol w:w="1477"/>
        <w:gridCol w:w="985"/>
      </w:tblGrid>
      <w:tr>
        <w:trPr>
          <w:tblHeader/>
        </w:trPr>
        <w:tc>
          <w:tcPr>
            <w:tcW w:type="dxa" w:w="1723"/>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Fragment</w:t>
            </w:r>
          </w:p>
        </w:tc>
        <w:tc>
          <w:tcPr>
            <w:tcW w:type="dxa" w:w="1067"/>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Writes/day</w:t>
            </w:r>
          </w:p>
        </w:tc>
        <w:tc>
          <w:tcPr>
            <w:tcW w:type="dxa" w:w="985"/>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Replica at</w:t>
            </w:r>
          </w:p>
        </w:tc>
        <w:tc>
          <w:tcPr>
            <w:tcW w:type="dxa" w:w="1395"/>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Benefit (ms/day)</w:t>
            </w:r>
          </w:p>
        </w:tc>
        <w:tc>
          <w:tcPr>
            <w:tcW w:type="dxa" w:w="1395"/>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Cost (ms/day)</w:t>
            </w:r>
          </w:p>
        </w:tc>
        <w:tc>
          <w:tcPr>
            <w:tcW w:type="dxa" w:w="1477"/>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B − C</w:t>
            </w:r>
          </w:p>
        </w:tc>
        <w:tc>
          <w:tcPr>
            <w:tcW w:type="dxa" w:w="985"/>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Decision</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F1 CONTAINER_C</w:t>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88,160</w:t>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S1</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237</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2,730,322</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−2,730,085</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S3</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874</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2,887,051</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−2,886,177</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S4</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495</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3,043,780</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−3,043,284</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F6 GATE_MOVE</w:t>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23,200</w:t>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S1</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132</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718,506</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−718,374</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S3</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534</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759,750</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−759,216</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S4</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283</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800,995</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−800,711</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F8 CUSTOMS_DECL</w:t>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43,780</w:t>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S1</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79</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1,355,870</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−1,355,791</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S3</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291</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1,433,701</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−1,433,410</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r>
        <w:trPr>
          <w:tblHeader w:val="false"/>
        </w:trPr>
        <w:tc>
          <w:tcPr>
            <w:tcW w:type="dxa" w:w="1723"/>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106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
            </w:r>
          </w:p>
        </w:tc>
        <w:tc>
          <w:tcPr>
            <w:tcW w:type="dxa" w:w="98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S4</w:t>
            </w:r>
          </w:p>
        </w:tc>
        <w:tc>
          <w:tcPr>
            <w:tcW w:type="dxa" w:w="1395"/>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142</w:t>
            </w:r>
          </w:p>
        </w:tc>
        <w:tc>
          <w:tcPr>
            <w:tcW w:type="dxa" w:w="1395"/>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1,511,532</w:t>
            </w:r>
          </w:p>
        </w:tc>
        <w:tc>
          <w:tcPr>
            <w:tcW w:type="dxa" w:w="1477"/>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−1,511,391</w:t>
            </w:r>
          </w:p>
        </w:tc>
        <w:tc>
          <w:tcPr>
            <w:tcW w:type="dxa" w:w="98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no</w:t>
            </w:r>
          </w:p>
        </w:tc>
      </w:tr>
    </w:tbl>
    <w:p>
      <w:pPr>
        <w:spacing w:after="220" w:before="80"/>
        <w:jc w:val="center"/>
      </w:pPr>
      <w:r>
        <w:rPr>
          <w:rFonts w:ascii="Calibri" w:cs="Calibri" w:eastAsia="Calibri" w:hAnsi="Calibri"/>
          <w:i/>
          <w:iCs/>
          <w:color w:val="595959"/>
          <w:sz w:val="18"/>
          <w:szCs w:val="18"/>
        </w:rPr>
        <w:t xml:space="preserve">Table 11.2 — Benefit and cost for the cross-site fragments</w:t>
      </w:r>
    </w:p>
    <w:p>
      <w:pPr>
        <w:spacing w:after="120" w:before="0" w:line="276"/>
      </w:pPr>
      <w:r>
        <w:rPr>
          <w:rFonts w:ascii="Calibri" w:cs="Calibri" w:eastAsia="Calibri" w:hAnsi="Calibri"/>
          <w:sz w:val="21"/>
          <w:szCs w:val="21"/>
        </w:rPr>
        <w:t xml:space="preserve">Every fragment F1–F12 is allocated non-redundantly, one copy at the site named by its predicate. Not one is read often enough from elsewhere to justify the write amplification.</w:t>
      </w:r>
    </w:p>
    <w:p>
      <w:pPr>
        <w:pStyle w:val="Heading2"/>
        <w:spacing w:after="120" w:before="260"/>
      </w:pPr>
      <w:r>
        <w:rPr>
          <w:rFonts w:ascii="Calibri" w:cs="Calibri" w:eastAsia="Calibri" w:hAnsi="Calibri"/>
          <w:b/>
          <w:bCs/>
          <w:color w:val="1F3864"/>
          <w:sz w:val="25"/>
          <w:szCs w:val="25"/>
        </w:rPr>
        <w:t xml:space="preserve">11.4 What benefit-only computation would have concluded</w:t>
      </w:r>
    </w:p>
    <w:p>
      <w:pPr>
        <w:spacing w:after="120" w:before="0" w:line="276"/>
      </w:pPr>
      <w:r>
        <w:rPr>
          <w:rFonts w:ascii="Calibri" w:cs="Calibri" w:eastAsia="Calibri" w:hAnsi="Calibri"/>
          <w:sz w:val="21"/>
          <w:szCs w:val="21"/>
        </w:rPr>
        <w:t xml:space="preserve">Delete the Cost column and every one of the nine decisions above reverses — F1, F6 and F8 would be replicated to all four sites, because their benefit is positive everywhere.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527"/>
        <w:gridCol w:w="2166"/>
        <w:gridCol w:w="2166"/>
        <w:gridCol w:w="2166"/>
      </w:tblGrid>
      <w:tr>
        <w:trPr>
          <w:tblHeader/>
        </w:trPr>
        <w:tc>
          <w:tcPr>
            <w:tcW w:type="dxa" w:w="2527"/>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Fragment</w:t>
            </w:r>
          </w:p>
        </w:tc>
        <w:tc>
          <w:tcPr>
            <w:tcW w:type="dxa" w:w="216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Benefit (ms/day)</w:t>
            </w:r>
          </w:p>
        </w:tc>
        <w:tc>
          <w:tcPr>
            <w:tcW w:type="dxa" w:w="216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Cost (ms/day)</w:t>
            </w:r>
          </w:p>
        </w:tc>
        <w:tc>
          <w:tcPr>
            <w:tcW w:type="dxa" w:w="216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Cost : Benefit</w:t>
            </w:r>
          </w:p>
        </w:tc>
      </w:tr>
      <w:tr>
        <w:trPr>
          <w:tblHeader w:val="false"/>
        </w:trPr>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F1 CONTAINER_C</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1,606</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8,661,153</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5,393 : 1</w:t>
            </w:r>
          </w:p>
        </w:tc>
      </w:tr>
      <w:tr>
        <w:trPr>
          <w:tblHeader w:val="false"/>
        </w:trPr>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F6 GATE_MOVE</w:t>
            </w:r>
          </w:p>
        </w:tc>
        <w:tc>
          <w:tcPr>
            <w:tcW w:type="dxa" w:w="216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949</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2,279,251</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2,402 : 1</w:t>
            </w:r>
          </w:p>
        </w:tc>
      </w:tr>
      <w:tr>
        <w:trPr>
          <w:tblHeader w:val="false"/>
        </w:trPr>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F8 CUSTOMS_DECL</w:t>
            </w:r>
          </w:p>
        </w:tc>
        <w:tc>
          <w:tcPr>
            <w:tcW w:type="dxa" w:w="2166"/>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512</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4,301,103</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8,401 : 1</w:t>
            </w:r>
          </w:p>
        </w:tc>
      </w:tr>
      <w:tr>
        <w:trPr>
          <w:tblHeader w:val="false"/>
        </w:trPr>
        <w:tc>
          <w:tcPr>
            <w:tcW w:type="dxa" w:w="2527"/>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Total</w:t>
            </w:r>
          </w:p>
        </w:tc>
        <w:tc>
          <w:tcPr>
            <w:tcW w:type="dxa" w:w="216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3,067</w:t>
            </w:r>
          </w:p>
        </w:tc>
        <w:tc>
          <w:tcPr>
            <w:tcW w:type="dxa" w:w="216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15,241,507</w:t>
            </w:r>
          </w:p>
        </w:tc>
        <w:tc>
          <w:tcPr>
            <w:tcW w:type="dxa" w:w="216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4,970 : 1</w:t>
            </w:r>
          </w:p>
        </w:tc>
      </w:tr>
    </w:tbl>
    <w:p>
      <w:pPr>
        <w:spacing w:after="220" w:before="80"/>
        <w:jc w:val="center"/>
      </w:pPr>
      <w:r>
        <w:rPr>
          <w:rFonts w:ascii="Calibri" w:cs="Calibri" w:eastAsia="Calibri" w:hAnsi="Calibri"/>
          <w:i/>
          <w:iCs/>
          <w:color w:val="595959"/>
          <w:sz w:val="18"/>
          <w:szCs w:val="18"/>
        </w:rPr>
        <w:t xml:space="preserve">Table 11.3 — The cost of omitting cost computation</w:t>
      </w:r>
    </w:p>
    <w:p>
      <w:pPr>
        <w:spacing w:after="120" w:line="276"/>
      </w:pPr>
      <w:r>
        <w:rPr>
          <w:rFonts w:ascii="Calibri" w:cs="Calibri" w:eastAsia="Calibri" w:hAnsi="Calibri"/>
          <w:b/>
          <w:bCs/>
          <w:sz w:val="21"/>
          <w:szCs w:val="21"/>
        </w:rPr>
        <w:t xml:space="preserve">In plain terms: </w:t>
      </w:r>
      <w:r>
        <w:rPr>
          <w:rFonts w:ascii="Calibri" w:cs="Calibri" w:eastAsia="Calibri" w:hAnsi="Calibri"/>
          <w:sz w:val="21"/>
          <w:szCs w:val="21"/>
        </w:rPr>
        <w:t xml:space="preserve">the benefit-only allocation would spend 254 minutes a day of extra update time to save 3.1 seconds a day of read time, and would grow the database from 2.8 GB to 11.3 GB. The cost term is not a formality — it is the term that decides the answer.</w:t>
      </w:r>
    </w:p>
    <w:p>
      <w:pPr>
        <w:pStyle w:val="Heading2"/>
        <w:spacing w:after="120" w:before="260"/>
      </w:pPr>
      <w:r>
        <w:rPr>
          <w:rFonts w:ascii="Calibri" w:cs="Calibri" w:eastAsia="Calibri" w:hAnsi="Calibri"/>
          <w:b/>
          <w:bCs/>
          <w:color w:val="1F3864"/>
          <w:sz w:val="25"/>
          <w:szCs w:val="25"/>
        </w:rPr>
        <w:t xml:space="preserve">11.5 Allocation of the unfragmented relations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1083"/>
        <w:gridCol w:w="1805"/>
        <w:gridCol w:w="1444"/>
        <w:gridCol w:w="2527"/>
      </w:tblGrid>
      <w:tr>
        <w:trPr>
          <w:tblHeader/>
        </w:trPr>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Relation</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Blocks</w:t>
            </w:r>
          </w:p>
        </w:tc>
        <w:tc>
          <w:tcPr>
            <w:tcW w:type="dxa" w:w="180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Read by</w:t>
            </w:r>
          </w:p>
        </w:tc>
        <w:tc>
          <w:tcPr>
            <w:tcW w:type="dxa" w:w="144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Updates/day</w:t>
            </w:r>
          </w:p>
        </w:tc>
        <w:tc>
          <w:tcPr>
            <w:tcW w:type="dxa" w:w="2527"/>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Decision</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PORT</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Q1–Q5, Q7, Q9</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0.01</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Replicate to all 4</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SHIPPING_LINE</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Q7</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0.1</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Replicate to all 4</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VESSEL</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11</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Q4, Q7</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Replicate to all 4</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SERVICE</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w:t>
            </w:r>
          </w:p>
        </w:tc>
        <w:tc>
          <w:tcPr>
            <w:tcW w:type="dxa" w:w="1805"/>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Q8</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0.01</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Replicate to all 4</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CONSIGNEE_H</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430</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Q6, Q8, L5</w:t>
            </w:r>
          </w:p>
        </w:tc>
        <w:tc>
          <w:tcPr>
            <w:tcW w:type="dxa" w:w="144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20</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S2 + replica at S3</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HS_CODE_MASTER</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69</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0.2</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Single copy at S2</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PINCODE</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225</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0.1</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Single copy at S2</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CONSIGNEE_R</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831</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c>
          <w:tcPr>
            <w:tcW w:type="dxa" w:w="144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20</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Single copy at S2</w:t>
            </w:r>
          </w:p>
        </w:tc>
      </w:tr>
      <w:tr>
        <w:trPr>
          <w:tblHeader w:val="false"/>
        </w:trPr>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CONSIGNEE_PHONE</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235</w:t>
            </w:r>
          </w:p>
        </w:tc>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t>
            </w:r>
          </w:p>
        </w:tc>
        <w:tc>
          <w:tcPr>
            <w:tcW w:type="dxa" w:w="1444"/>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15</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Single copy at S2</w:t>
            </w:r>
          </w:p>
        </w:tc>
      </w:tr>
    </w:tbl>
    <w:p>
      <w:pPr>
        <w:spacing w:after="220" w:before="80"/>
        <w:jc w:val="center"/>
      </w:pPr>
      <w:r>
        <w:rPr>
          <w:rFonts w:ascii="Calibri" w:cs="Calibri" w:eastAsia="Calibri" w:hAnsi="Calibri"/>
          <w:i/>
          <w:iCs/>
          <w:color w:val="595959"/>
          <w:sz w:val="18"/>
          <w:szCs w:val="18"/>
        </w:rPr>
        <w:t xml:space="preserve">Table 11.4 — Allocation of the unfragmented relations</w:t>
      </w:r>
    </w:p>
    <w:p>
      <w:pPr>
        <w:spacing w:after="120" w:before="0" w:line="276"/>
      </w:pPr>
      <w:r>
        <w:rPr>
          <w:rFonts w:ascii="Calibri" w:cs="Calibri" w:eastAsia="Calibri" w:hAnsi="Calibri"/>
          <w:sz w:val="21"/>
          <w:szCs w:val="21"/>
        </w:rPr>
        <w:t xml:space="preserve">Four relations pass, and for the same reason: they are tiny, read from every site, and effectively never updated. Together they occupy 16 blocks — 64 KB — so replicating them four times costs 256 KB against a 4 GB database. The method identifies the textbook case for full replication without being told.</w:t>
      </w:r>
    </w:p>
    <w:p>
      <w:pPr>
        <w:spacing w:after="120" w:before="0" w:line="276"/>
      </w:pPr>
      <w:r>
        <w:rPr>
          <w:rFonts w:ascii="Calibri" w:cs="Calibri" w:eastAsia="Calibri" w:hAnsi="Calibri"/>
          <w:sz w:val="21"/>
          <w:szCs w:val="21"/>
        </w:rPr>
        <w:t xml:space="preserve">Four relations have no read demand at all in the frozen workload, which traces straight back to the cold attributes identified in Section 9.7. Benefit is zero at every site by definition. This is a statement about the twelve global transactions this design is optimised for, not about the data being useless — a customs audit or a mailing run would read them.</w:t>
      </w:r>
    </w:p>
    <w:p>
      <w:pPr>
        <w:spacing w:after="120" w:line="276"/>
      </w:pPr>
      <w:r>
        <w:rPr>
          <w:rFonts w:ascii="Calibri" w:cs="Calibri" w:eastAsia="Calibri" w:hAnsi="Calibri"/>
          <w:b/>
          <w:bCs/>
          <w:sz w:val="21"/>
          <w:szCs w:val="21"/>
        </w:rPr>
        <w:t xml:space="preserve">CONSIGNEE_H was the one close call, and the local workload settles it. </w:t>
      </w:r>
      <w:r>
        <w:rPr>
          <w:rFonts w:ascii="Calibri" w:cs="Calibri" w:eastAsia="Calibri" w:hAnsi="Calibri"/>
          <w:sz w:val="21"/>
          <w:szCs w:val="21"/>
        </w:rPr>
        <w:t xml:space="preserve">On the global transactions alone, a replica at S3 loses by a factor of about 2 (benefit 825 ms/day against 1,637 ms/day of cost). But S3’s local transaction L5 checks every RoRo vehicle’s exporter against CONSIGNEE_H — 960 reads a day that would otherwise all be remote. Counting them, S3 reads CONSIGNEE_H 1,045 times a day, the benefit rises to 10,148.6 ms/day against the same 1,637.4 ms/day of cost, and a replica at S3 is placed (Amendment C2). S1 and S4, with no such local demand, still lose by a factor of 4–7. The case is instructive: a site’s own schema generated workload that changed a global allocation decision.</w:t>
      </w:r>
    </w:p>
    <w:p>
      <w:pPr>
        <w:pStyle w:val="Heading2"/>
        <w:spacing w:after="120" w:before="260"/>
      </w:pPr>
      <w:r>
        <w:rPr>
          <w:rFonts w:ascii="Calibri" w:cs="Calibri" w:eastAsia="Calibri" w:hAnsi="Calibri"/>
          <w:b/>
          <w:bCs/>
          <w:color w:val="1F3864"/>
          <w:sz w:val="25"/>
          <w:szCs w:val="25"/>
        </w:rPr>
        <w:t xml:space="preserve">11.6 Final allocation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2708"/>
        <w:gridCol w:w="5596"/>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270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Fragments held</w:t>
            </w:r>
          </w:p>
        </w:tc>
        <w:tc>
          <w:tcPr>
            <w:tcW w:type="dxa" w:w="559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Replicated relations</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F1–F12 for New Mangalore</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 SHIPPING_LINE, VESSEL, SERVICE</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F1–F12 for JNPT</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the four above, plus CONSIGNEE_H and single copies of HS_CODE_MASTER, PINCODE, CONSIGNEE_R, CONSIGNEE_PHONE</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F1–F12 for Chennai</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 SHIPPING_LINE, VESSEL, SERVICE, CONSIGNEE_H</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F1–F12 for Kolkata/Haldia</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 SHIPPING_LINE, VESSEL, SERVICE</w:t>
            </w:r>
          </w:p>
        </w:tc>
      </w:tr>
    </w:tbl>
    <w:p>
      <w:pPr>
        <w:spacing w:after="220" w:before="80"/>
        <w:jc w:val="center"/>
      </w:pPr>
      <w:r>
        <w:rPr>
          <w:rFonts w:ascii="Calibri" w:cs="Calibri" w:eastAsia="Calibri" w:hAnsi="Calibri"/>
          <w:i/>
          <w:iCs/>
          <w:color w:val="595959"/>
          <w:sz w:val="18"/>
          <w:szCs w:val="18"/>
        </w:rPr>
        <w:t xml:space="preserve">Table 11.5 — Final allocation</w:t>
      </w:r>
    </w:p>
    <w:p>
      <w:pPr>
        <w:spacing w:after="120" w:before="0" w:line="276"/>
      </w:pPr>
      <w:r>
        <w:rPr>
          <w:rFonts w:ascii="Calibri" w:cs="Calibri" w:eastAsia="Calibri" w:hAnsi="Calibri"/>
          <w:sz w:val="21"/>
          <w:szCs w:val="21"/>
        </w:rPr>
        <w:t xml:space="preserve">Each site additionally holds its own site-only relations (Section 12), which are never replicated. Replication adds 478 blocks network-wide — 48 for the four small relations and 430 for the CONSIGNEE_H copy at S3, 0.05% of total storage. A design that looked like it might be replication-heavy turns out to be almost entirely partitioned, and the numbers say why.</w:t>
      </w:r>
    </w:p>
    <w:p>
      <w:pPr>
        <w:pStyle w:val="Heading2"/>
        <w:spacing w:after="120" w:before="260"/>
      </w:pPr>
      <w:r>
        <w:rPr>
          <w:rFonts w:ascii="Calibri" w:cs="Calibri" w:eastAsia="Calibri" w:hAnsi="Calibri"/>
          <w:b/>
          <w:bCs/>
          <w:color w:val="1F3864"/>
          <w:sz w:val="25"/>
          <w:szCs w:val="25"/>
        </w:rPr>
        <w:t xml:space="preserve">11.7 What the cost model does not capture</w:t>
      </w:r>
    </w:p>
    <w:p>
      <w:pPr>
        <w:spacing w:after="120" w:before="0" w:line="276"/>
      </w:pPr>
      <w:r>
        <w:rPr>
          <w:rFonts w:ascii="Calibri" w:cs="Calibri" w:eastAsia="Calibri" w:hAnsi="Calibri"/>
          <w:sz w:val="21"/>
          <w:szCs w:val="21"/>
        </w:rPr>
        <w:t xml:space="preserve">All Beneficial Sites optimises performance. It says nothing about availability, and the result has a consequence worth naming: with one copy of every fragment, losing S2 makes 40% of the database unavailable — every JNPT gate move, clearance and yard query stops, and Q6, Q8 and Q9 cannot complete anywhere because they aggregate across all four ports.</w:t>
      </w:r>
    </w:p>
    <w:p>
      <w:pPr>
        <w:spacing w:after="120" w:before="0" w:line="276"/>
      </w:pPr>
      <w:r>
        <w:rPr>
          <w:rFonts w:ascii="Calibri" w:cs="Calibri" w:eastAsia="Calibri" w:hAnsi="Calibri"/>
          <w:sz w:val="21"/>
          <w:szCs w:val="21"/>
        </w:rPr>
        <w:t xml:space="preserve">This is not a flaw in the computation; it is a different objective. The correct treatment is to separate the two. The performance allocation stands as computed. For availability, provide an asynchronous standby replica of each site’s fragments at a partner site (S1↔S2, S3↔S4, pairing the shortest links). A standby serves no reads, so it contributes no benefit term, and it is updated outside the transaction, so it contributes no synchronous cost term — it is invisible to the All Beneficial Sites calculation while still bounding data loss. Storage impact: fragment storage doubles to roughly 8 GB, which is the honest price of durability.</w:t>
      </w:r>
    </w:p>
    <w:p>
      <w:r>
        <w:br w:type="page"/>
      </w:r>
    </w:p>
    <w:p>
      <w:pPr>
        <w:pStyle w:val="Heading1"/>
        <w:spacing w:after="180" w:before="360"/>
      </w:pPr>
      <w:r>
        <w:rPr>
          <w:rFonts w:ascii="Calibri" w:cs="Calibri" w:eastAsia="Calibri" w:hAnsi="Calibri"/>
          <w:b/>
          <w:bCs/>
          <w:color w:val="1F3864"/>
          <w:sz w:val="30"/>
          <w:szCs w:val="30"/>
        </w:rPr>
        <w:t xml:space="preserve">12. Local Conceptual Schemas and Schema Integration</w:t>
      </w:r>
    </w:p>
    <w:p>
      <w:pPr>
        <w:spacing w:after="120" w:before="0" w:line="276"/>
      </w:pPr>
      <w:r>
        <w:rPr>
          <w:rFonts w:ascii="Calibri" w:cs="Calibri" w:eastAsia="Calibri" w:hAnsi="Calibri"/>
          <w:sz w:val="21"/>
          <w:szCs w:val="21"/>
        </w:rPr>
        <w:t xml:space="preserve">Sections 4 to 11 design a shared core top-down: one global schema, fragmented and allocated across four sites. On its own that produces four databases with the same structure, differing only in which rows they hold. A distributed database in the full sense is more than that — it is a set of databases at different locations whose schemas themselves differ, because the organisations running them do different things. This section adds that dimension. Each port gets relations that exist at that port and nowhere else, the four resulting Local Conceptual Schemas are pairwise different, and the global layer integrates them through a mapping rather than by forcing them into one shape.</w:t>
      </w:r>
    </w:p>
    <w:p>
      <w:pPr>
        <w:pStyle w:val="Heading2"/>
        <w:spacing w:after="120" w:before="260"/>
      </w:pPr>
      <w:r>
        <w:rPr>
          <w:rFonts w:ascii="Calibri" w:cs="Calibri" w:eastAsia="Calibri" w:hAnsi="Calibri"/>
          <w:b/>
          <w:bCs/>
          <w:color w:val="1F3864"/>
          <w:sz w:val="25"/>
          <w:szCs w:val="25"/>
        </w:rPr>
        <w:t xml:space="preserve">12.1 Why the four sites need different schemas</w:t>
      </w:r>
    </w:p>
    <w:p>
      <w:pPr>
        <w:spacing w:after="120" w:before="0" w:line="276"/>
      </w:pPr>
      <w:r>
        <w:rPr>
          <w:rFonts w:ascii="Calibri" w:cs="Calibri" w:eastAsia="Calibri" w:hAnsi="Calibri"/>
          <w:sz w:val="21"/>
          <w:szCs w:val="21"/>
        </w:rPr>
        <w:t xml:space="preserve">The four ports share container handling, which is why the core exists. Each also runs an operation that the others do not have at all:</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25"/>
        <w:gridCol w:w="3069"/>
        <w:gridCol w:w="2888"/>
        <w:gridCol w:w="1444"/>
      </w:tblGrid>
      <w:tr>
        <w:trPr>
          <w:tblHeader/>
        </w:trPr>
        <w:tc>
          <w:tcPr>
            <w:tcW w:type="dxa" w:w="162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Operation found only here</w:t>
            </w:r>
          </w:p>
        </w:tc>
        <w:tc>
          <w:tcPr>
            <w:tcW w:type="dxa" w:w="288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What it must record</w:t>
            </w:r>
          </w:p>
        </w:tc>
        <w:tc>
          <w:tcPr>
            <w:tcW w:type="dxa" w:w="144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Native unit</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S1 New Mangalore</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Liquid bulk: crude and POL cargo discharged by pipeline into a tank farm</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Tanks, their contents and density; each pipeline transfer</w:t>
            </w:r>
          </w:p>
        </w:tc>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kilolitres</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S2 JNPT</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On-dock rail to inland container depots; transfers into the port’s SEZ under bond</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Rakes and the containers loaded on them; SEZ units and bonded transfers</w:t>
            </w:r>
          </w:p>
        </w:tc>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rail weighment, kg</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S3 Chennai</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RoRo export of finished vehicles</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Each vehicle by VIN; pre-shipment damage inspections</w:t>
            </w:r>
          </w:p>
        </w:tc>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vehicles, kg</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S4 Kolkata / Haldia</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Riverine access: tidal draft windows and lighterage of large ships at anchorage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Published tidal windows; each barge operation</w:t>
            </w:r>
          </w:p>
        </w:tc>
        <w:tc>
          <w:tcPr>
            <w:tcW w:type="dxa" w:w="1444"/>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tonnes</w:t>
            </w:r>
          </w:p>
        </w:tc>
      </w:tr>
    </w:tbl>
    <w:p>
      <w:pPr>
        <w:spacing w:after="220" w:before="80"/>
        <w:jc w:val="center"/>
      </w:pPr>
      <w:r>
        <w:rPr>
          <w:rFonts w:ascii="Calibri" w:cs="Calibri" w:eastAsia="Calibri" w:hAnsi="Calibri"/>
          <w:i/>
          <w:iCs/>
          <w:color w:val="595959"/>
          <w:sz w:val="18"/>
          <w:szCs w:val="18"/>
        </w:rPr>
        <w:t xml:space="preserve">Table 12.1 — Site-specific operations</w:t>
      </w:r>
    </w:p>
    <w:p>
      <w:pPr>
        <w:spacing w:after="120" w:before="0" w:line="276"/>
      </w:pPr>
      <w:r>
        <w:rPr>
          <w:rFonts w:ascii="Calibri" w:cs="Calibri" w:eastAsia="Calibri" w:hAnsi="Calibri"/>
          <w:sz w:val="21"/>
          <w:szCs w:val="21"/>
        </w:rPr>
        <w:t xml:space="preserve">None of this belongs in the global schema. Putting TANK_FARM there would give three sites an empty relation they must still create, secure and back up; putting all four operations there would make every port’s schema the union of everyone’s business, and every new local operation a change to the global schema that all four sites must agree to. That is the opposite of design autonomy. The operations are local, so their schemas are local.</w:t>
      </w:r>
    </w:p>
    <w:p>
      <w:pPr>
        <w:pStyle w:val="Heading2"/>
        <w:spacing w:after="120" w:before="260"/>
      </w:pPr>
      <w:r>
        <w:rPr>
          <w:rFonts w:ascii="Calibri" w:cs="Calibri" w:eastAsia="Calibri" w:hAnsi="Calibri"/>
          <w:b/>
          <w:bCs/>
          <w:color w:val="1F3864"/>
          <w:sz w:val="25"/>
          <w:szCs w:val="25"/>
        </w:rPr>
        <w:t xml:space="preserve">12.2 Design approach: top-down core, bottom-up extensions</w:t>
      </w:r>
    </w:p>
    <w:p>
      <w:pPr>
        <w:spacing w:after="120" w:before="0" w:line="276"/>
      </w:pPr>
      <w:r>
        <w:rPr>
          <w:rFonts w:ascii="Calibri" w:cs="Calibri" w:eastAsia="Calibri" w:hAnsi="Calibri"/>
          <w:sz w:val="21"/>
          <w:szCs w:val="21"/>
        </w:rPr>
        <w:t xml:space="preserve">The design is therefore hybrid. The core (Sections 4–11) is designed top-down from the network-wide requirements. Each port’s extension is designed bottom-up from that port’s own operations, and integrated afterwards. Two rules keep the two halves from interfering:</w:t>
      </w:r>
    </w:p>
    <w:p>
      <w:pPr>
        <w:spacing w:after="120" w:line="276"/>
      </w:pPr>
      <w:r>
        <w:rPr>
          <w:rFonts w:ascii="Calibri" w:cs="Calibri" w:eastAsia="Calibri" w:hAnsi="Calibri"/>
          <w:b/>
          <w:bCs/>
          <w:sz w:val="21"/>
          <w:szCs w:val="21"/>
        </w:rPr>
        <w:t xml:space="preserve">R1 — an extension never alters a core relation. </w:t>
      </w:r>
      <w:r>
        <w:rPr>
          <w:rFonts w:ascii="Calibri" w:cs="Calibri" w:eastAsia="Calibri" w:hAnsi="Calibri"/>
          <w:sz w:val="21"/>
          <w:szCs w:val="21"/>
        </w:rPr>
        <w:t xml:space="preserve">Site-specific facts go into new relations that reference core keys (voyage_id, cont_id, consignee_id); no column is ever added to a core relation at one site only. The core therefore stays identical at every site, Q1–Q8 and U1–U3 run unchanged everywhere, and nothing in Sections 7–11 is invalidated.</w:t>
      </w:r>
    </w:p>
    <w:p>
      <w:pPr>
        <w:spacing w:after="120" w:line="276"/>
      </w:pPr>
      <w:r>
        <w:rPr>
          <w:rFonts w:ascii="Calibri" w:cs="Calibri" w:eastAsia="Calibri" w:hAnsi="Calibri"/>
          <w:b/>
          <w:bCs/>
          <w:sz w:val="21"/>
          <w:szCs w:val="21"/>
        </w:rPr>
        <w:t xml:space="preserve">R2 — the global layer sees an extension only through that site’s export schema. </w:t>
      </w:r>
      <w:r>
        <w:rPr>
          <w:rFonts w:ascii="Calibri" w:cs="Calibri" w:eastAsia="Calibri" w:hAnsi="Calibri"/>
          <w:sz w:val="21"/>
          <w:szCs w:val="21"/>
        </w:rPr>
        <w:t xml:space="preserve">A site publishes what the network needs to know about its local relations as a view over them, in agreed units. The global layer never names TANK_FARM or RORO_VEHICLE; it names the export schema. A port can restructure its extension freely as long as its export view still produces the same columns.</w:t>
      </w:r>
    </w:p>
    <w:p>
      <w:pPr>
        <w:pStyle w:val="Heading2"/>
        <w:spacing w:after="120" w:before="260"/>
      </w:pPr>
      <w:r>
        <w:rPr>
          <w:rFonts w:ascii="Calibri" w:cs="Calibri" w:eastAsia="Calibri" w:hAnsi="Calibri"/>
          <w:b/>
          <w:bCs/>
          <w:color w:val="1F3864"/>
          <w:sz w:val="25"/>
          <w:szCs w:val="25"/>
        </w:rPr>
        <w:t xml:space="preserve">12.3 Schema architecture</w:t>
      </w:r>
    </w:p>
    <w:p>
      <w:pPr>
        <w:spacing w:after="40" w:before="1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43300"/>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5 — Three-level schema architecture with heterogeneous local schemas</w:t>
      </w:r>
    </w:p>
    <w:p>
      <w:pPr>
        <w:spacing w:after="120" w:before="0" w:line="276"/>
      </w:pPr>
      <w:r>
        <w:rPr>
          <w:rFonts w:ascii="Calibri" w:cs="Calibri" w:eastAsia="Calibri" w:hAnsi="Calibri"/>
          <w:sz w:val="21"/>
          <w:szCs w:val="21"/>
        </w:rPr>
        <w:t xml:space="preserve">The figure is the standard reference architecture for a distributed database, populated with this design. External schemas are the views users work through. The Global Conceptual Schema holds the 19 core relations and one integrated relation, CARGO_IN_CUSTODY, defined over the four export schemas. Two mappings connect it to the sites: the fragmentation and allocation schema of Sections 9 and 11 for the core, and the export schemas of Section 12.7 for the extensions. Each site has its own Local Conceptual Schema and its own Local Internal Schema. Local applications (L1–L8, Section 12.10) bypass the global layer entirely.</w:t>
      </w:r>
    </w:p>
    <w:p>
      <w:pPr>
        <w:pStyle w:val="Heading2"/>
        <w:spacing w:after="120" w:before="260"/>
      </w:pPr>
      <w:r>
        <w:rPr>
          <w:rFonts w:ascii="Calibri" w:cs="Calibri" w:eastAsia="Calibri" w:hAnsi="Calibri"/>
          <w:b/>
          <w:bCs/>
          <w:color w:val="1F3864"/>
          <w:sz w:val="25"/>
          <w:szCs w:val="25"/>
        </w:rPr>
        <w:t xml:space="preserve">12.4 The four Local Conceptual Schemas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5"/>
        <w:gridCol w:w="1264"/>
        <w:gridCol w:w="3069"/>
        <w:gridCol w:w="2166"/>
        <w:gridCol w:w="722"/>
      </w:tblGrid>
      <w:tr>
        <w:trPr>
          <w:tblHeader/>
        </w:trPr>
        <w:tc>
          <w:tcPr>
            <w:tcW w:type="dxa" w:w="1805"/>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
            </w:r>
          </w:p>
        </w:tc>
        <w:tc>
          <w:tcPr>
            <w:tcW w:type="dxa" w:w="12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Core fragments</w:t>
            </w:r>
          </w:p>
        </w:tc>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Replicated / single-copy relations</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Site-only relations</w:t>
            </w:r>
          </w:p>
        </w:tc>
        <w:tc>
          <w:tcPr>
            <w:tcW w:type="dxa" w:w="722"/>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Relations</w:t>
            </w:r>
          </w:p>
        </w:tc>
      </w:tr>
      <w:tr>
        <w:trPr>
          <w:tblHeader w:val="false"/>
        </w:trPr>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LCS_1 New Mangalore</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12 (…_1)</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PORT, SHIPPING_LINE, VESSEL, SERVICE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TANK_FARM, PIPELINE_TRANSFER</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w:t>
            </w:r>
          </w:p>
        </w:tc>
      </w:tr>
      <w:tr>
        <w:trPr>
          <w:tblHeader w:val="false"/>
        </w:trPr>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LCS_2 JNPT</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12 (…_2)</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the four above + HS_CODE_MASTER, PINCODE, CONSIGNEE_H, CONSIGNEE_R, CONSIGNEE_PHONE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RAIL_RAKE, RAKE_LOADING, SEZ_UNIT, BOND_TRANSFER</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25</w:t>
            </w:r>
          </w:p>
        </w:tc>
      </w:tr>
      <w:tr>
        <w:trPr>
          <w:tblHeader w:val="false"/>
        </w:trPr>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LCS_3 Chennai</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12 (…_3)</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the four above + CONSIGNEE_H</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RORO_VEHICLE, VEHICLE_INSPECTION</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19</w:t>
            </w:r>
          </w:p>
        </w:tc>
      </w:tr>
      <w:tr>
        <w:trPr>
          <w:tblHeader w:val="false"/>
        </w:trPr>
        <w:tc>
          <w:tcPr>
            <w:tcW w:type="dxa" w:w="1805"/>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LCS_4 Kolkata / Haldia</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12 (…_4)</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PORT, SHIPPING_LINE, VESSEL, SERVICE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TIDAL_WINDOW, LIGHTERAGE</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w:t>
            </w:r>
          </w:p>
        </w:tc>
      </w:tr>
    </w:tbl>
    <w:p>
      <w:pPr>
        <w:spacing w:after="220" w:before="80"/>
        <w:jc w:val="center"/>
      </w:pPr>
      <w:r>
        <w:rPr>
          <w:rFonts w:ascii="Calibri" w:cs="Calibri" w:eastAsia="Calibri" w:hAnsi="Calibri"/>
          <w:i/>
          <w:iCs/>
          <w:color w:val="595959"/>
          <w:sz w:val="18"/>
          <w:szCs w:val="18"/>
        </w:rPr>
        <w:t xml:space="preserve">Table 12.2 — Composition of each Local Conceptual Schema</w:t>
      </w:r>
    </w:p>
    <w:p>
      <w:pPr>
        <w:spacing w:after="120" w:before="0" w:line="276"/>
      </w:pPr>
      <w:r>
        <w:rPr>
          <w:rFonts w:ascii="Calibri" w:cs="Calibri" w:eastAsia="Calibri" w:hAnsi="Calibri"/>
          <w:sz w:val="21"/>
          <w:szCs w:val="21"/>
        </w:rPr>
        <w:t xml:space="preserve">No two LCSs are equal, and no site-only relation appears in more than one of them. The difference is not only in the extensions: even the core part differs, because allocation placed the unfragmented relations unevenly (S2 is home to the commercial master data; S3 holds a CONSIGNEE_H replica for a reason given in Section 12.10). The 12 core fragment families are the only thing all four share, and they share only structure — no row of a core fragment exists at more than one site.</w:t>
      </w:r>
    </w:p>
    <w:p>
      <w:pPr>
        <w:pStyle w:val="Heading2"/>
        <w:spacing w:after="120" w:before="260"/>
      </w:pPr>
      <w:r>
        <w:rPr>
          <w:rFonts w:ascii="Calibri" w:cs="Calibri" w:eastAsia="Calibri" w:hAnsi="Calibri"/>
          <w:b/>
          <w:bCs/>
          <w:color w:val="1F3864"/>
          <w:sz w:val="25"/>
          <w:szCs w:val="25"/>
        </w:rPr>
        <w:t xml:space="preserve">12.5 Local EER extensions</w:t>
      </w:r>
    </w:p>
    <w:p>
      <w:pPr>
        <w:spacing w:after="120" w:before="0" w:line="276"/>
      </w:pPr>
      <w:r>
        <w:rPr>
          <w:rFonts w:ascii="Calibri" w:cs="Calibri" w:eastAsia="Calibri" w:hAnsi="Calibri"/>
          <w:sz w:val="21"/>
          <w:szCs w:val="21"/>
        </w:rPr>
        <w:t xml:space="preserve">Figure 6 shows the entities each port adds, drawn per site. Grey boxes are core entities from Figure 2, shown only where a local entity attaches to them.</w:t>
      </w:r>
    </w:p>
    <w:p>
      <w:pPr>
        <w:spacing w:after="40" w:before="160"/>
        <w:jc w:val="center"/>
      </w:pPr>
      <w:r>
        <w:drawing>
          <wp:inline distT="0" distB="0" distL="0" distR="0">
            <wp:extent cx="4000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6400800"/>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6a — Site-specific EER extensions: S1 New Mangalore and S2 JNPT</w:t>
      </w:r>
    </w:p>
    <w:p>
      <w:pPr>
        <w:spacing w:after="40" w:before="160"/>
        <w:jc w:val="center"/>
      </w:pPr>
      <w:r>
        <w:drawing>
          <wp:inline distT="0" distB="0" distL="0" distR="0">
            <wp:extent cx="4000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6400800"/>
                    </a:xfrm>
                    <a:prstGeom prst="rect">
                      <a:avLst/>
                    </a:prstGeom>
                  </pic:spPr>
                </pic:pic>
              </a:graphicData>
            </a:graphic>
          </wp:inline>
        </w:drawing>
      </w:r>
    </w:p>
    <w:p>
      <w:pPr>
        <w:spacing w:after="220" w:before="80"/>
        <w:jc w:val="center"/>
      </w:pPr>
      <w:r>
        <w:rPr>
          <w:rFonts w:ascii="Calibri" w:cs="Calibri" w:eastAsia="Calibri" w:hAnsi="Calibri"/>
          <w:i/>
          <w:iCs/>
          <w:color w:val="595959"/>
          <w:sz w:val="18"/>
          <w:szCs w:val="18"/>
        </w:rPr>
        <w:t xml:space="preserve">Figure 6b — Site-specific EER extensions: S3 Chennai and S4 Kolkata / Haldia</w:t>
      </w:r>
    </w:p>
    <w:p>
      <w:pPr>
        <w:spacing w:after="120" w:before="0" w:line="276"/>
      </w:pPr>
      <w:r>
        <w:rPr>
          <w:rFonts w:ascii="Calibri" w:cs="Calibri" w:eastAsia="Calibri" w:hAnsi="Calibri"/>
          <w:sz w:val="21"/>
          <w:szCs w:val="21"/>
        </w:rPr>
        <w:t xml:space="preserve">Each port models its own operation with the same EER constructs the core uses, independently of the others. JNPT’s LOADED_ON is the only many-to-many relationship in the whole design: a rake carries many containers, and over the year of history retained a container can travel on more than one rake. It maps to the junction relation RAKE_LOADING. Chennai’s VEHICLE_INSPECTION is a weak entity — an inspection has no identity apart from the vehicle it examined — identified by vin plus the partial key inspected_ts. Haldia’s TIDAL_WINDOW stands alone: it constrains when a VOYAGE may berth, but as a published timetable rather than a stored reference.</w:t>
      </w:r>
    </w:p>
    <w:p>
      <w:pPr>
        <w:pStyle w:val="Heading2"/>
        <w:spacing w:after="120" w:before="260"/>
      </w:pPr>
      <w:r>
        <w:rPr>
          <w:rFonts w:ascii="Calibri" w:cs="Calibri" w:eastAsia="Calibri" w:hAnsi="Calibri"/>
          <w:b/>
          <w:bCs/>
          <w:color w:val="1F3864"/>
          <w:sz w:val="25"/>
          <w:szCs w:val="25"/>
        </w:rPr>
        <w:t xml:space="preserve">12.6 Local relations and their normalization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42"/>
        <w:gridCol w:w="542"/>
        <w:gridCol w:w="1715"/>
        <w:gridCol w:w="4603"/>
        <w:gridCol w:w="722"/>
        <w:gridCol w:w="903"/>
      </w:tblGrid>
      <w:tr>
        <w:trPr>
          <w:tblHeader/>
        </w:trPr>
        <w:tc>
          <w:tcPr>
            <w:tcW w:type="dxa" w:w="542"/>
            <w:shd w:fill="F2F2F2" w:val="clear"/>
            <w:tcMar>
              <w:top w:type="dxa" w:w="50"/>
              <w:left w:type="dxa" w:w="80"/>
              <w:bottom w:type="dxa" w:w="50"/>
              <w:right w:type="dxa" w:w="80"/>
            </w:tcMar>
          </w:tcPr>
          <w:p>
            <w:pPr>
              <w:spacing w:after="0" w:before="0"/>
              <w:jc w:val="left"/>
            </w:pPr>
            <w:r>
              <w:rPr>
                <w:rFonts w:ascii="Calibri" w:cs="Calibri" w:eastAsia="Calibri" w:hAnsi="Calibri"/>
                <w:b/>
                <w:bCs/>
                <w:sz w:val="14"/>
                <w:szCs w:val="14"/>
              </w:rPr>
              <w:t xml:space="preserve">#</w:t>
            </w:r>
          </w:p>
        </w:tc>
        <w:tc>
          <w:tcPr>
            <w:tcW w:type="dxa" w:w="542"/>
            <w:shd w:fill="F2F2F2" w:val="clear"/>
            <w:tcMar>
              <w:top w:type="dxa" w:w="50"/>
              <w:left w:type="dxa" w:w="80"/>
              <w:bottom w:type="dxa" w:w="50"/>
              <w:right w:type="dxa" w:w="80"/>
            </w:tcMar>
          </w:tcPr>
          <w:p>
            <w:pPr>
              <w:spacing w:after="0" w:before="0"/>
              <w:jc w:val="left"/>
            </w:pPr>
            <w:r>
              <w:rPr>
                <w:rFonts w:ascii="Calibri" w:cs="Calibri" w:eastAsia="Calibri" w:hAnsi="Calibri"/>
                <w:b/>
                <w:bCs/>
                <w:sz w:val="14"/>
                <w:szCs w:val="14"/>
              </w:rPr>
              <w:t xml:space="preserve">Site</w:t>
            </w:r>
          </w:p>
        </w:tc>
        <w:tc>
          <w:tcPr>
            <w:tcW w:type="dxa" w:w="1715"/>
            <w:shd w:fill="F2F2F2" w:val="clear"/>
            <w:tcMar>
              <w:top w:type="dxa" w:w="50"/>
              <w:left w:type="dxa" w:w="80"/>
              <w:bottom w:type="dxa" w:w="50"/>
              <w:right w:type="dxa" w:w="80"/>
            </w:tcMar>
          </w:tcPr>
          <w:p>
            <w:pPr>
              <w:spacing w:after="0" w:before="0"/>
              <w:jc w:val="left"/>
            </w:pPr>
            <w:r>
              <w:rPr>
                <w:rFonts w:ascii="Calibri" w:cs="Calibri" w:eastAsia="Calibri" w:hAnsi="Calibri"/>
                <w:b/>
                <w:bCs/>
                <w:sz w:val="14"/>
                <w:szCs w:val="14"/>
              </w:rPr>
              <w:t xml:space="preserve">Relation</w:t>
            </w:r>
          </w:p>
        </w:tc>
        <w:tc>
          <w:tcPr>
            <w:tcW w:type="dxa" w:w="4603"/>
            <w:shd w:fill="F2F2F2" w:val="clear"/>
            <w:tcMar>
              <w:top w:type="dxa" w:w="50"/>
              <w:left w:type="dxa" w:w="80"/>
              <w:bottom w:type="dxa" w:w="50"/>
              <w:right w:type="dxa" w:w="80"/>
            </w:tcMar>
          </w:tcPr>
          <w:p>
            <w:pPr>
              <w:spacing w:after="0" w:before="0"/>
              <w:jc w:val="left"/>
            </w:pPr>
            <w:r>
              <w:rPr>
                <w:rFonts w:ascii="Calibri" w:cs="Calibri" w:eastAsia="Calibri" w:hAnsi="Calibri"/>
                <w:b/>
                <w:bCs/>
                <w:sz w:val="14"/>
                <w:szCs w:val="14"/>
              </w:rPr>
              <w:t xml:space="preserve">Attributes (key in first position)</w:t>
            </w:r>
          </w:p>
        </w:tc>
        <w:tc>
          <w:tcPr>
            <w:tcW w:type="dxa" w:w="722"/>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Rec (B)</w:t>
            </w:r>
          </w:p>
        </w:tc>
        <w:tc>
          <w:tcPr>
            <w:tcW w:type="dxa" w:w="903"/>
            <w:shd w:fill="F2F2F2" w:val="clear"/>
            <w:tcMar>
              <w:top w:type="dxa" w:w="50"/>
              <w:left w:type="dxa" w:w="80"/>
              <w:bottom w:type="dxa" w:w="50"/>
              <w:right w:type="dxa" w:w="80"/>
            </w:tcMar>
          </w:tcPr>
          <w:p>
            <w:pPr>
              <w:spacing w:after="0" w:before="0"/>
              <w:jc w:val="right"/>
            </w:pPr>
            <w:r>
              <w:rPr>
                <w:rFonts w:ascii="Calibri" w:cs="Calibri" w:eastAsia="Calibri" w:hAnsi="Calibri"/>
                <w:b/>
                <w:bCs/>
                <w:sz w:val="14"/>
                <w:szCs w:val="14"/>
              </w:rPr>
              <w:t xml:space="preserve">Tuples</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R20</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S1</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TANK_FARM</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tank_id, hs_code, capacity_kl, current_kl, current_density, last_gauged_ts</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44</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60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R21</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S1</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PIPELINE_TRANSFER</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transfer_id, tank_id, voyage_id, direction, start_ts, end_ts, volume_kl, density_obs</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45</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4,400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R22</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S2</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RAIL_RAKE</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rake_id, train_no, dest_icd, wagon_count, departure_ts, status</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40</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11,000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R23</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S2</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RAKE_LOADING</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(rake_id, cont_id), wagon_no, gross_wt, loaded_ts</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31</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1,000,000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R24</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S2</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SEZ_UNIT</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unit_id, consignee_id (UNIQUE), sez_name, bond_no (UNIQUE), licence_expiry</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57</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200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R25</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S2</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BOND_TRANSFER</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transfer_id, cont_id, unit_id, transfer_ts, duty_forgone</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35</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40,000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R26</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S3</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RORO_VEHICLE</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vin, voyage_id, exporter_id, make, model, weight_kg, deck_no</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68</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350,000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R27</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S3</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VEHICLE_INSPECTION</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(vin, inspected_ts), damage_code, surveyor_id, cleared</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34</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420,000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R28</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S4</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TIDAL_WINDOW</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(window_date, window_no), open_ts (UNIQUE), close_ts, max_draft_m</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32</w:t>
            </w:r>
          </w:p>
        </w:tc>
        <w:tc>
          <w:tcPr>
            <w:tcW w:type="dxa" w:w="903"/>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730</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R29</w:t>
            </w:r>
          </w:p>
        </w:tc>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S4</w:t>
            </w:r>
          </w:p>
        </w:tc>
        <w:tc>
          <w:tcPr>
            <w:tcW w:type="dxa" w:w="1715"/>
            <w:tcMar>
              <w:top w:type="dxa" w:w="50"/>
              <w:left w:type="dxa" w:w="80"/>
              <w:bottom w:type="dxa" w:w="50"/>
              <w:right w:type="dxa" w:w="80"/>
            </w:tcMar>
          </w:tcPr>
          <w:p>
            <w:pPr>
              <w:spacing w:after="0" w:before="0"/>
              <w:jc w:val="left"/>
            </w:pPr>
            <w:r>
              <w:rPr>
                <w:rFonts w:ascii="Consolas" w:cs="Consolas" w:eastAsia="Consolas" w:hAnsi="Consolas"/>
                <w:b w:val="false"/>
                <w:bCs w:val="false"/>
                <w:sz w:val="14"/>
                <w:szCs w:val="14"/>
              </w:rPr>
              <w:t xml:space="preserve">LIGHTERAGE</w:t>
            </w:r>
          </w:p>
        </w:tc>
        <w:tc>
          <w:tcPr>
            <w:tcW w:type="dxa" w:w="4603"/>
            <w:tcMar>
              <w:top w:type="dxa" w:w="50"/>
              <w:left w:type="dxa" w:w="80"/>
              <w:bottom w:type="dxa" w:w="50"/>
              <w:right w:type="dxa" w:w="80"/>
            </w:tcMar>
          </w:tcPr>
          <w:p>
            <w:pPr>
              <w:spacing w:after="0" w:before="0"/>
              <w:jc w:val="left"/>
            </w:pPr>
            <w:r>
              <w:rPr>
                <w:rFonts w:ascii="Calibri" w:cs="Calibri" w:eastAsia="Calibri" w:hAnsi="Calibri"/>
                <w:b w:val="false"/>
                <w:bCs w:val="false"/>
                <w:sz w:val="14"/>
                <w:szCs w:val="14"/>
              </w:rPr>
              <w:t xml:space="preserve">op_id, voyage_id, barge_id, cont_count, cargo_tonnes, start_ts, end_ts</w:t>
            </w:r>
          </w:p>
        </w:tc>
        <w:tc>
          <w:tcPr>
            <w:tcW w:type="dxa" w:w="722"/>
            <w:tcMar>
              <w:top w:type="dxa" w:w="50"/>
              <w:left w:type="dxa" w:w="80"/>
              <w:bottom w:type="dxa" w:w="50"/>
              <w:right w:type="dxa" w:w="80"/>
            </w:tcMar>
          </w:tcPr>
          <w:p>
            <w:pPr>
              <w:spacing w:after="0" w:before="0"/>
              <w:jc w:val="right"/>
            </w:pPr>
            <w:r>
              <w:rPr>
                <w:rFonts w:ascii="Consolas" w:cs="Consolas" w:eastAsia="Consolas" w:hAnsi="Consolas"/>
                <w:b w:val="false"/>
                <w:bCs w:val="false"/>
                <w:sz w:val="14"/>
                <w:szCs w:val="14"/>
              </w:rPr>
              <w:t xml:space="preserve">44</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4"/>
                <w:szCs w:val="14"/>
              </w:rPr>
              <w:t xml:space="preserve">2,200</w:t>
            </w:r>
          </w:p>
        </w:tc>
      </w:tr>
    </w:tbl>
    <w:p>
      <w:pPr>
        <w:spacing w:after="220" w:before="80"/>
        <w:jc w:val="center"/>
      </w:pPr>
      <w:r>
        <w:rPr>
          <w:rFonts w:ascii="Calibri" w:cs="Calibri" w:eastAsia="Calibri" w:hAnsi="Calibri"/>
          <w:i/>
          <w:iCs/>
          <w:color w:val="595959"/>
          <w:sz w:val="18"/>
          <w:szCs w:val="18"/>
        </w:rPr>
        <w:t xml:space="preserve">Table 12.3 — Site-only relations (3NF)</w:t>
      </w:r>
    </w:p>
    <w:p>
      <w:pPr>
        <w:spacing w:after="120" w:before="0" w:line="276"/>
      </w:pPr>
      <w:r>
        <w:rPr>
          <w:rFonts w:ascii="Calibri" w:cs="Calibri" w:eastAsia="Calibri" w:hAnsi="Calibri"/>
          <w:sz w:val="21"/>
          <w:szCs w:val="21"/>
        </w:rPr>
        <w:t xml:space="preserve">The same procedure as Section 8 was applied to each local relation. Two violations were found in first drafts; three plausible dependencies were rejected.</w:t>
      </w:r>
    </w:p>
    <w:p>
      <w:pPr>
        <w:spacing w:after="120" w:line="276"/>
      </w:pPr>
      <w:r>
        <w:rPr>
          <w:rFonts w:ascii="Calibri" w:cs="Calibri" w:eastAsia="Calibri" w:hAnsi="Calibri"/>
          <w:b/>
          <w:bCs/>
          <w:sz w:val="21"/>
          <w:szCs w:val="21"/>
        </w:rPr>
        <w:t xml:space="preserve">BOND_TRANSFER (3NF). </w:t>
      </w:r>
      <w:r>
        <w:rPr>
          <w:rFonts w:ascii="Calibri" w:cs="Calibri" w:eastAsia="Calibri" w:hAnsi="Calibri"/>
          <w:sz w:val="21"/>
          <w:szCs w:val="21"/>
        </w:rPr>
        <w:t xml:space="preserve">The first draft carried bond_no. Each SEZ unit operates under one bond, so transfer_id → unit_id → bond_no is transitive. bond_no was removed; it lives once in SEZ_UNIT, where it is an alternate key.</w:t>
      </w:r>
    </w:p>
    <w:p>
      <w:pPr>
        <w:spacing w:after="120" w:line="276"/>
      </w:pPr>
      <w:r>
        <w:rPr>
          <w:rFonts w:ascii="Calibri" w:cs="Calibri" w:eastAsia="Calibri" w:hAnsi="Calibri"/>
          <w:b/>
          <w:bCs/>
          <w:sz w:val="21"/>
          <w:szCs w:val="21"/>
        </w:rPr>
        <w:t xml:space="preserve">TANK_FARM (3NF). </w:t>
      </w:r>
      <w:r>
        <w:rPr>
          <w:rFonts w:ascii="Calibri" w:cs="Calibri" w:eastAsia="Calibri" w:hAnsi="Calibri"/>
          <w:sz w:val="21"/>
          <w:szCs w:val="21"/>
        </w:rPr>
        <w:t xml:space="preserve">The first draft carried the product name alongside its HS code. hs_code → product description is the dependency already resolved by HS_CODE_MASTER in Section 8.3, so only hs_code is kept.</w:t>
      </w:r>
    </w:p>
    <w:p>
      <w:pPr>
        <w:spacing w:after="120" w:line="276"/>
      </w:pPr>
      <w:r>
        <w:rPr>
          <w:rFonts w:ascii="Calibri" w:cs="Calibri" w:eastAsia="Calibri" w:hAnsi="Calibri"/>
          <w:b/>
          <w:bCs/>
          <w:sz w:val="21"/>
          <w:szCs w:val="21"/>
        </w:rPr>
        <w:t xml:space="preserve">RAKE_LOADING (2NF test). </w:t>
      </w:r>
      <w:r>
        <w:rPr>
          <w:rFonts w:ascii="Calibri" w:cs="Calibri" w:eastAsia="Calibri" w:hAnsi="Calibri"/>
          <w:sz w:val="21"/>
          <w:szCs w:val="21"/>
        </w:rPr>
        <w:t xml:space="preserve">The key is (rake_id, cont_id). Does cont_id alone determine gross_wt? It does not: gross_wt here is the rail weighbridge reading for this loading, and over a year of history the same container can be loaded, weighed and despatched more than once. Every non-key attribute depends on the whole key, so the relation is in 2NF — and, with no transitive dependency, in 3NF.</w:t>
      </w:r>
    </w:p>
    <w:p>
      <w:pPr>
        <w:spacing w:after="120" w:line="276"/>
      </w:pPr>
      <w:r>
        <w:rPr>
          <w:rFonts w:ascii="Calibri" w:cs="Calibri" w:eastAsia="Calibri" w:hAnsi="Calibri"/>
          <w:b/>
          <w:bCs/>
          <w:sz w:val="21"/>
          <w:szCs w:val="21"/>
        </w:rPr>
        <w:t xml:space="preserve">Rejected: hs_code → current_density in TANK_FARM. </w:t>
      </w:r>
      <w:r>
        <w:rPr>
          <w:rFonts w:ascii="Calibri" w:cs="Calibri" w:eastAsia="Calibri" w:hAnsi="Calibri"/>
          <w:sz w:val="21"/>
          <w:szCs w:val="21"/>
        </w:rPr>
        <w:t xml:space="preserve">Density of the same grade varies by batch and temperature, and custody tonnes are computed from the measured value. It is a measurement, as tare_wt is in Section 8.4.</w:t>
      </w:r>
    </w:p>
    <w:p>
      <w:pPr>
        <w:spacing w:after="120" w:line="276"/>
      </w:pPr>
      <w:r>
        <w:rPr>
          <w:rFonts w:ascii="Calibri" w:cs="Calibri" w:eastAsia="Calibri" w:hAnsi="Calibri"/>
          <w:b/>
          <w:bCs/>
          <w:sz w:val="21"/>
          <w:szCs w:val="21"/>
        </w:rPr>
        <w:t xml:space="preserve">Rejected: model → make, and (make, model) → weight_kg in RORO_VEHICLE. </w:t>
      </w:r>
      <w:r>
        <w:rPr>
          <w:rFonts w:ascii="Calibri" w:cs="Calibri" w:eastAsia="Calibri" w:hAnsi="Calibri"/>
          <w:sz w:val="21"/>
          <w:szCs w:val="21"/>
        </w:rPr>
        <w:t xml:space="preserve">Model names are not unique across manufacturers, and weight varies by variant and fitment. Both stay as stored attributes of the vehicle.</w:t>
      </w:r>
    </w:p>
    <w:p>
      <w:pPr>
        <w:spacing w:after="120" w:before="0" w:line="276"/>
      </w:pPr>
      <w:r>
        <w:rPr>
          <w:rFonts w:ascii="Calibri" w:cs="Calibri" w:eastAsia="Calibri" w:hAnsi="Calibri"/>
          <w:sz w:val="21"/>
          <w:szCs w:val="21"/>
        </w:rPr>
        <w:t xml:space="preserve">All ten relations are in 3NF, and in BCNF: every determinant is a candidate key.</w:t>
      </w:r>
    </w:p>
    <w:p>
      <w:pPr>
        <w:spacing w:after="120" w:line="276"/>
      </w:pPr>
      <w:r>
        <w:rPr>
          <w:rFonts w:ascii="Calibri" w:cs="Calibri" w:eastAsia="Calibri" w:hAnsi="Calibri"/>
          <w:b/>
          <w:bCs/>
          <w:sz w:val="21"/>
          <w:szCs w:val="21"/>
        </w:rPr>
        <w:t xml:space="preserve">References to the core. </w:t>
      </w:r>
      <w:r>
        <w:rPr>
          <w:rFonts w:ascii="Calibri" w:cs="Calibri" w:eastAsia="Calibri" w:hAnsi="Calibri"/>
          <w:sz w:val="21"/>
          <w:szCs w:val="21"/>
        </w:rPr>
        <w:t xml:space="preserve">Every local reference to a core relation resolves at the same site, which is what makes it enforceable locally: PIPELINE_TRANSFER.voyage_id → VOYAGE_1, RORO_VEHICLE.voyage_id → VOYAGE_3, LIGHTERAGE.voyage_id → VOYAGE_4, SEZ_UNIT.consignee_id → CONSIGNEE_H at S2, and RORO_VEHICLE.exporter_id → the CONSIGNEE_H replica at S3. Three are declared as logical references instead, for the same reason as GATE_MOVE in Table 7.2: RAKE_LOADING.cont_id and BOND_TRANSFER.cont_id record history that outlives the container’s row in CONTAINER_C, and TANK_FARM.hs_code points to HS_CODE_MASTER, which is held only at S2. They are checked by the transaction that writes them, not enforced as constraints.</w:t>
      </w:r>
    </w:p>
    <w:p>
      <w:pPr>
        <w:pStyle w:val="Heading2"/>
        <w:spacing w:after="120" w:before="260"/>
      </w:pPr>
      <w:r>
        <w:rPr>
          <w:rFonts w:ascii="Calibri" w:cs="Calibri" w:eastAsia="Calibri" w:hAnsi="Calibri"/>
          <w:b/>
          <w:bCs/>
          <w:color w:val="1F3864"/>
          <w:sz w:val="25"/>
          <w:szCs w:val="25"/>
        </w:rPr>
        <w:t xml:space="preserve">12.7 Export schemas and the global relation</w:t>
      </w:r>
    </w:p>
    <w:p>
      <w:pPr>
        <w:spacing w:after="120" w:before="0" w:line="276"/>
      </w:pPr>
      <w:r>
        <w:rPr>
          <w:rFonts w:ascii="Calibri" w:cs="Calibri" w:eastAsia="Calibri" w:hAnsi="Calibri"/>
          <w:sz w:val="21"/>
          <w:szCs w:val="21"/>
        </w:rPr>
        <w:t xml:space="preserve">The network needs one fact from the extensions: how much cargo each port holds in custody right now. Every site exports it in one uniform shape, export_custody(port_id, cargo_class, tonnes), but each computes it from different relations by a different rule:</w:t>
      </w:r>
    </w:p>
    <w:p>
      <w:pPr>
        <w:spacing w:after="0" w:before="80"/>
        <w:ind w:left="340"/>
      </w:pPr>
      <w:r>
        <w:rPr>
          <w:rFonts w:ascii="Consolas" w:cs="Consolas" w:eastAsia="Consolas" w:hAnsi="Consolas"/>
          <w:color w:val="333333"/>
          <w:sz w:val="17"/>
          <w:szCs w:val="17"/>
        </w:rPr>
        <w:t xml:space="preserve">-- S1 New Mangalore: tanks gauged in kilolitres; kl x density = tonnes</w:t>
      </w:r>
    </w:p>
    <w:p>
      <w:pPr>
        <w:spacing w:after="0" w:before="0"/>
        <w:ind w:left="340"/>
      </w:pPr>
      <w:r>
        <w:rPr>
          <w:rFonts w:ascii="Consolas" w:cs="Consolas" w:eastAsia="Consolas" w:hAnsi="Consolas"/>
          <w:color w:val="333333"/>
          <w:sz w:val="17"/>
          <w:szCs w:val="17"/>
        </w:rPr>
        <w:t xml:space="preserve">SELECT 1, 'LIQUID_BULK', SUM(current_kl * current_density) FROM tank_farm</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 S2 JNPT: a container on a rake that has not departed is still in custody</w:t>
      </w:r>
    </w:p>
    <w:p>
      <w:pPr>
        <w:spacing w:after="0" w:before="0"/>
        <w:ind w:left="340"/>
      </w:pPr>
      <w:r>
        <w:rPr>
          <w:rFonts w:ascii="Consolas" w:cs="Consolas" w:eastAsia="Consolas" w:hAnsi="Consolas"/>
          <w:color w:val="333333"/>
          <w:sz w:val="17"/>
          <w:szCs w:val="17"/>
        </w:rPr>
        <w:t xml:space="preserve">SELECT 2, 'CONTAINER_ON_RAIL', SUM(rl.gross_wt) / 1000.0</w:t>
      </w:r>
    </w:p>
    <w:p>
      <w:pPr>
        <w:spacing w:after="0" w:before="0"/>
        <w:ind w:left="340"/>
      </w:pPr>
      <w:r>
        <w:rPr>
          <w:rFonts w:ascii="Consolas" w:cs="Consolas" w:eastAsia="Consolas" w:hAnsi="Consolas"/>
          <w:color w:val="333333"/>
          <w:sz w:val="17"/>
          <w:szCs w:val="17"/>
        </w:rPr>
        <w:t xml:space="preserve">  FROM rake_loading rl JOIN rail_rake r ON r.rake_id = rl.rake_id</w:t>
      </w:r>
    </w:p>
    <w:p>
      <w:pPr>
        <w:spacing w:after="0" w:before="0"/>
        <w:ind w:left="340"/>
      </w:pPr>
      <w:r>
        <w:rPr>
          <w:rFonts w:ascii="Consolas" w:cs="Consolas" w:eastAsia="Consolas" w:hAnsi="Consolas"/>
          <w:color w:val="333333"/>
          <w:sz w:val="17"/>
          <w:szCs w:val="17"/>
        </w:rPr>
        <w:t xml:space="preserve"> WHERE r.departure_ts IS NULL</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 S3 Chennai: vehicles aboard a voyage that has not sailed</w:t>
      </w:r>
    </w:p>
    <w:p>
      <w:pPr>
        <w:spacing w:after="0" w:before="0"/>
        <w:ind w:left="340"/>
      </w:pPr>
      <w:r>
        <w:rPr>
          <w:rFonts w:ascii="Consolas" w:cs="Consolas" w:eastAsia="Consolas" w:hAnsi="Consolas"/>
          <w:color w:val="333333"/>
          <w:sz w:val="17"/>
          <w:szCs w:val="17"/>
        </w:rPr>
        <w:t xml:space="preserve">SELECT 3, 'RORO', SUM(v.weight_kg) / 1000.0</w:t>
      </w:r>
    </w:p>
    <w:p>
      <w:pPr>
        <w:spacing w:after="0" w:before="0"/>
        <w:ind w:left="340"/>
      </w:pPr>
      <w:r>
        <w:rPr>
          <w:rFonts w:ascii="Consolas" w:cs="Consolas" w:eastAsia="Consolas" w:hAnsi="Consolas"/>
          <w:color w:val="333333"/>
          <w:sz w:val="17"/>
          <w:szCs w:val="17"/>
        </w:rPr>
        <w:t xml:space="preserve">  FROM roro_vehicle v JOIN voyage y ON y.voyage_id = v.voyage_id</w:t>
      </w:r>
    </w:p>
    <w:p>
      <w:pPr>
        <w:spacing w:after="0" w:before="0"/>
        <w:ind w:left="340"/>
      </w:pPr>
      <w:r>
        <w:rPr>
          <w:rFonts w:ascii="Consolas" w:cs="Consolas" w:eastAsia="Consolas" w:hAnsi="Consolas"/>
          <w:color w:val="333333"/>
          <w:sz w:val="17"/>
          <w:szCs w:val="17"/>
        </w:rPr>
        <w:t xml:space="preserve"> WHERE y.atd IS NULL</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 S4 Kolkata/Haldia: containers on a barge that has not landed</w:t>
      </w:r>
    </w:p>
    <w:p>
      <w:pPr>
        <w:spacing w:after="0" w:before="0"/>
        <w:ind w:left="340"/>
      </w:pPr>
      <w:r>
        <w:rPr>
          <w:rFonts w:ascii="Consolas" w:cs="Consolas" w:eastAsia="Consolas" w:hAnsi="Consolas"/>
          <w:color w:val="333333"/>
          <w:sz w:val="17"/>
          <w:szCs w:val="17"/>
        </w:rPr>
        <w:t xml:space="preserve">SELECT 4, 'CONTAINER_AFLOAT', SUM(cargo_tonnes) FROM lighterage WHERE end_ts IS NULL</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 every site also exports its core containers:</w:t>
      </w:r>
    </w:p>
    <w:p>
      <w:pPr>
        <w:spacing w:after="0" w:before="0"/>
        <w:ind w:left="340"/>
      </w:pPr>
      <w:r>
        <w:rPr>
          <w:rFonts w:ascii="Consolas" w:cs="Consolas" w:eastAsia="Consolas" w:hAnsi="Consolas"/>
          <w:color w:val="333333"/>
          <w:sz w:val="17"/>
          <w:szCs w:val="17"/>
        </w:rPr>
        <w:t xml:space="preserve">SELECT k, 'CONTAINER', SUM(gross_wt) / 1000.0 FROM container_c      -- CONTAINER_C_k</w:t>
      </w:r>
    </w:p>
    <w:p>
      <w:pPr>
        <w:spacing w:after="0" w:before="0"/>
        <w:ind w:left="340"/>
      </w:pPr>
      <w:r>
        <w:rPr>
          <w:rFonts w:ascii="Consolas" w:cs="Consolas" w:eastAsia="Consolas" w:hAnsi="Consolas"/>
          <w:color w:val="333333"/>
          <w:sz w:val="17"/>
          <w:szCs w:val="17"/>
        </w:rPr>
        <w:t xml:space="preserve"> </w:t>
      </w:r>
    </w:p>
    <w:p>
      <w:pPr>
        <w:spacing w:after="0" w:before="0"/>
        <w:ind w:left="340"/>
      </w:pPr>
      <w:r>
        <w:rPr>
          <w:rFonts w:ascii="Consolas" w:cs="Consolas" w:eastAsia="Consolas" w:hAnsi="Consolas"/>
          <w:color w:val="333333"/>
          <w:sz w:val="17"/>
          <w:szCs w:val="17"/>
        </w:rPr>
        <w:t xml:space="preserve">-- global relation (Global-As-View):</w:t>
      </w:r>
    </w:p>
    <w:p>
      <w:pPr>
        <w:spacing w:after="140" w:before="0"/>
        <w:ind w:left="340"/>
      </w:pPr>
      <w:r>
        <w:rPr>
          <w:rFonts w:ascii="Consolas" w:cs="Consolas" w:eastAsia="Consolas" w:hAnsi="Consolas"/>
          <w:color w:val="333333"/>
          <w:sz w:val="17"/>
          <w:szCs w:val="17"/>
        </w:rPr>
        <w:t xml:space="preserve">CARGO_IN_CUSTODY = EXP_1 UNION ALL EXP_2 UNION ALL EXP_3 UNION ALL EXP_4</w:t>
      </w:r>
    </w:p>
    <w:p>
      <w:pPr>
        <w:spacing w:after="120" w:before="0" w:line="276"/>
      </w:pPr>
      <w:r>
        <w:rPr>
          <w:rFonts w:ascii="Calibri" w:cs="Calibri" w:eastAsia="Calibri" w:hAnsi="Calibri"/>
          <w:sz w:val="21"/>
          <w:szCs w:val="21"/>
        </w:rPr>
        <w:t xml:space="preserve">This is Global-As-View integration: the global relation is defined as a query over the sources, so a global query is answered by substituting that definition and sending each branch to its site. The alternative, Local-As-View, defines each source as a view over the global schema and needs query rewriting to answer anything. GAV is chosen because the sources are few, known and stable, and it keeps query processing to plain view expansion. Its known cost is that adding a fifth port means redefining CARGO_IN_CUSTODY — acceptable here, since adding a port also adds a fragment to every core relation.</w:t>
      </w:r>
    </w:p>
    <w:p>
      <w:pPr>
        <w:pStyle w:val="Heading2"/>
        <w:spacing w:after="120" w:before="260"/>
      </w:pPr>
      <w:r>
        <w:rPr>
          <w:rFonts w:ascii="Calibri" w:cs="Calibri" w:eastAsia="Calibri" w:hAnsi="Calibri"/>
          <w:b/>
          <w:bCs/>
          <w:color w:val="1F3864"/>
          <w:sz w:val="25"/>
          <w:szCs w:val="25"/>
        </w:rPr>
        <w:t xml:space="preserve">12.8 Semantic heterogeneity</w:t>
      </w:r>
    </w:p>
    <w:p>
      <w:pPr>
        <w:spacing w:after="120" w:before="0" w:line="276"/>
      </w:pPr>
      <w:r>
        <w:rPr>
          <w:rFonts w:ascii="Calibri" w:cs="Calibri" w:eastAsia="Calibri" w:hAnsi="Calibri"/>
          <w:sz w:val="21"/>
          <w:szCs w:val="21"/>
        </w:rPr>
        <w:t xml:space="preserve">The export views are short, but the difficulty they solve is not syntactic. "Cargo in custody" means something different at each port, and a naive integration double-counts or loses cargo at exactly the boundaries where the ports differ.</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2527"/>
        <w:gridCol w:w="3610"/>
        <w:gridCol w:w="2166"/>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2527"/>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Custody begins</w:t>
            </w:r>
          </w:p>
        </w:tc>
        <w:tc>
          <w:tcPr>
            <w:tcW w:type="dxa" w:w="361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Custody ends</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Conversion to tonnes</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Pipeline transfer into a tank</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Pipeline transfer out</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kl × measured density</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Discharge into the yard</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The rake departs — not when the box leaves the yard for the rail siding</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rail weighment kg ÷ 1000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Vehicle registered for export</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The carrying voyage sails (atd set)</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manifest kg ÷ 1000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2527"/>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Barge leaves the anchored ship</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Voyage departs — a box on a barge mid-river is still the port’s</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barge manifest, already tonnes</w:t>
            </w:r>
          </w:p>
        </w:tc>
      </w:tr>
    </w:tbl>
    <w:p>
      <w:pPr>
        <w:spacing w:after="220" w:before="80"/>
        <w:jc w:val="center"/>
      </w:pPr>
      <w:r>
        <w:rPr>
          <w:rFonts w:ascii="Calibri" w:cs="Calibri" w:eastAsia="Calibri" w:hAnsi="Calibri"/>
          <w:i/>
          <w:iCs/>
          <w:color w:val="595959"/>
          <w:sz w:val="18"/>
          <w:szCs w:val="18"/>
        </w:rPr>
        <w:t xml:space="preserve">Table 12.4 — Four definitions of custody</w:t>
      </w:r>
    </w:p>
    <w:p>
      <w:pPr>
        <w:spacing w:after="120" w:before="0" w:line="276"/>
      </w:pPr>
      <w:r>
        <w:rPr>
          <w:rFonts w:ascii="Calibri" w:cs="Calibri" w:eastAsia="Calibri" w:hAnsi="Calibri"/>
          <w:sz w:val="21"/>
          <w:szCs w:val="21"/>
        </w:rPr>
        <w:t xml:space="preserve">The JNPT row shows why the mapping must be defined by the site. When a container is loaded onto a rake (L3), its CONTAINER_C_2 row closes — from the yard’s point of view it has left. A global view that counted only CONTAINER_C would lose it for the hours before the rake departs. S2’s export view picks it up from RAKE_LOADING instead, so the total is conserved across the hand-over and drops only when the rake actually leaves. Section 12.13 tests exactly this.</w:t>
      </w:r>
    </w:p>
    <w:p>
      <w:pPr>
        <w:pStyle w:val="Heading2"/>
        <w:spacing w:after="120" w:before="260"/>
      </w:pPr>
      <w:r>
        <w:rPr>
          <w:rFonts w:ascii="Calibri" w:cs="Calibri" w:eastAsia="Calibri" w:hAnsi="Calibri"/>
          <w:b/>
          <w:bCs/>
          <w:color w:val="1F3864"/>
          <w:sz w:val="25"/>
          <w:szCs w:val="25"/>
        </w:rPr>
        <w:t xml:space="preserve">12.9 Q9 — a global query over four different schemas</w:t>
      </w:r>
    </w:p>
    <w:p>
      <w:pPr>
        <w:spacing w:after="120" w:line="276"/>
      </w:pPr>
      <w:r>
        <w:rPr>
          <w:rFonts w:ascii="Calibri" w:cs="Calibri" w:eastAsia="Calibri" w:hAnsi="Calibri"/>
          <w:b/>
          <w:bCs/>
          <w:sz w:val="21"/>
          <w:szCs w:val="21"/>
        </w:rPr>
        <w:t xml:space="preserve">Q9 — Cargo in custody by port and class. </w:t>
      </w:r>
      <w:r>
        <w:rPr>
          <w:rFonts w:ascii="Calibri" w:cs="Calibri" w:eastAsia="Calibri" w:hAnsi="Calibri"/>
          <w:sz w:val="21"/>
          <w:szCs w:val="21"/>
        </w:rPr>
        <w:t xml:space="preserve">For each port and cargo class, total tonnes currently in the port’s custody. Issued by the port authority 25 times a day (S1 5, S2 10, S3 5, S4 5). It reads CARGO_IN_CUSTODY, so each site answers it with a different local plan: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22"/>
        <w:gridCol w:w="3430"/>
        <w:gridCol w:w="3430"/>
        <w:gridCol w:w="1444"/>
      </w:tblGrid>
      <w:tr>
        <w:trPr>
          <w:tblHeader/>
        </w:trPr>
        <w:tc>
          <w:tcPr>
            <w:tcW w:type="dxa" w:w="72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Local sub-query</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Plan</w:t>
            </w:r>
          </w:p>
        </w:tc>
        <w:tc>
          <w:tcPr>
            <w:tcW w:type="dxa" w:w="1444"/>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Time (ms)</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CONTAINER_C_1 + TANK_FARM</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two scans (989 + 1 blocks)</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63.9</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CONTAINER_C_2 + RAIL_RAKE ⋈ RAKE_LOADING</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scan rakes, clustering index to open rakes</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171.0</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CONTAINER_C_3 + VOYAGE_3 ⋈ RORO_VEHICLE</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three scans (1,978 + 14 + 5,811 blocks)</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350.3</w:t>
            </w:r>
          </w:p>
        </w:tc>
      </w:tr>
      <w:tr>
        <w:trPr>
          <w:tblHeader w:val="false"/>
        </w:trPr>
        <w:tc>
          <w:tcPr>
            <w:tcW w:type="dxa" w:w="72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CONTAINER_C_4 + LIGHTERAGE</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two scans (989 + 24 blocks)</w:t>
            </w:r>
          </w:p>
        </w:tc>
        <w:tc>
          <w:tcPr>
            <w:tcW w:type="dxa" w:w="1444"/>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64.8</w:t>
            </w:r>
          </w:p>
        </w:tc>
      </w:tr>
    </w:tbl>
    <w:p>
      <w:pPr>
        <w:spacing w:after="220" w:before="80"/>
        <w:jc w:val="center"/>
      </w:pPr>
      <w:r>
        <w:rPr>
          <w:rFonts w:ascii="Calibri" w:cs="Calibri" w:eastAsia="Calibri" w:hAnsi="Calibri"/>
          <w:i/>
          <w:iCs/>
          <w:color w:val="595959"/>
          <w:sz w:val="18"/>
          <w:szCs w:val="18"/>
        </w:rPr>
        <w:t xml:space="preserve">Table 12.5 — Q9 sub-queries</w:t>
      </w:r>
    </w:p>
    <w:p>
      <w:pPr>
        <w:spacing w:after="120" w:before="0" w:line="276"/>
      </w:pPr>
      <w:r>
        <w:rPr>
          <w:rFonts w:ascii="Calibri" w:cs="Calibri" w:eastAsia="Calibri" w:hAnsi="Calibri"/>
          <w:sz w:val="21"/>
          <w:szCs w:val="21"/>
        </w:rPr>
        <w:t xml:space="preserve">Run in parallel, Q9 completes in 355–368 ms depending on the originating site (the slowest part plus a round trip and a 5 ms merge); run serially, 675–691 ms. The slowest part is S3’s scan of RORO_VEHICLE — a local relation the global optimiser cannot see. Only the export schema is visible to it, and S3 chooses its own plan. That is execution autonomy in practice.</w:t>
      </w:r>
    </w:p>
    <w:p>
      <w:pPr>
        <w:spacing w:after="120" w:before="0" w:line="276"/>
      </w:pPr>
      <w:r>
        <w:rPr>
          <w:rFonts w:ascii="Calibri" w:cs="Calibri" w:eastAsia="Calibri" w:hAnsi="Calibri"/>
          <w:sz w:val="21"/>
          <w:szCs w:val="21"/>
        </w:rPr>
        <w:t xml:space="preserve">Q9 also reads core attributes: gross_wt and cur_port_id of CONTAINER_C, and atd of VOYAGE. It therefore enters the affinity analysis of Section 9. Re-running it with Q9 included leaves the CONTAINER split unchanged (the optimum rises to Z = 106,932,375), and gives VOYAGE a best split of Z = 7,500 that isolates atd for Q9 alone — a saving of about 11 ms a day, not worth a second fragment. VOYAGE stays whole.</w:t>
      </w:r>
    </w:p>
    <w:p>
      <w:pPr>
        <w:pStyle w:val="Heading2"/>
        <w:spacing w:after="120" w:before="260"/>
      </w:pPr>
      <w:r>
        <w:rPr>
          <w:rFonts w:ascii="Calibri" w:cs="Calibri" w:eastAsia="Calibri" w:hAnsi="Calibri"/>
          <w:b/>
          <w:bCs/>
          <w:color w:val="1F3864"/>
          <w:sz w:val="25"/>
          <w:szCs w:val="25"/>
        </w:rPr>
        <w:t xml:space="preserve">12.10 Local transactions and site autonomy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42"/>
        <w:gridCol w:w="632"/>
        <w:gridCol w:w="5686"/>
        <w:gridCol w:w="1083"/>
        <w:gridCol w:w="1083"/>
      </w:tblGrid>
      <w:tr>
        <w:trPr>
          <w:tblHeader/>
        </w:trPr>
        <w:tc>
          <w:tcPr>
            <w:tcW w:type="dxa" w:w="542"/>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w:t>
            </w:r>
          </w:p>
        </w:tc>
        <w:tc>
          <w:tcPr>
            <w:tcW w:type="dxa" w:w="632"/>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Site</w:t>
            </w:r>
          </w:p>
        </w:tc>
        <w:tc>
          <w:tcPr>
            <w:tcW w:type="dxa" w:w="5686"/>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Transaction</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Per day</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ms</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L1</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S1</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Record tank gauging (UPDATE TANK_FARM)</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240</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24.1</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L2</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S1</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Record pipeline transfer (INSERT PIPELINE_TRANSFER)</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24.1</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L3</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S2</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Load container onto rake (INSERT RAKE_LOADING; close CONTAINER_C_2 row)</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2,740</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60.2</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L4</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S2</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Transfer container into SEZ unit (read SEZ_UNIT; INSERT BOND_TRANSFER)</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110</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36.2</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L5</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S3</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Register RoRo vehicle (check exporter in CONSIGNEE_H; INSERT RORO_VEHICLE)</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960</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108.4</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L6</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S3</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Record vehicle inspection (probe RORO_VEHICLE by vin; INSERT)</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1,150</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60.2</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L7</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S4</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Open or close a lighterage operation</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48.2</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L8</w:t>
            </w:r>
          </w:p>
        </w:tc>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S4</w:t>
            </w:r>
          </w:p>
        </w:tc>
        <w:tc>
          <w:tcPr>
            <w:tcW w:type="dxa" w:w="56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Publish a tidal window</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24.1</w:t>
            </w:r>
          </w:p>
        </w:tc>
      </w:tr>
      <w:tr>
        <w:trPr>
          <w:tblHeader w:val="false"/>
        </w:trPr>
        <w:tc>
          <w:tcPr>
            <w:tcW w:type="dxa" w:w="542"/>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
            </w:r>
          </w:p>
        </w:tc>
        <w:tc>
          <w:tcPr>
            <w:tcW w:type="dxa" w:w="632"/>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
            </w:r>
          </w:p>
        </w:tc>
        <w:tc>
          <w:tcPr>
            <w:tcW w:type="dxa" w:w="5686"/>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Total</w:t>
            </w:r>
          </w:p>
        </w:tc>
        <w:tc>
          <w:tcPr>
            <w:tcW w:type="dxa" w:w="108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5,220</w:t>
            </w:r>
          </w:p>
        </w:tc>
        <w:tc>
          <w:tcPr>
            <w:tcW w:type="dxa" w:w="108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
            </w:r>
          </w:p>
        </w:tc>
      </w:tr>
    </w:tbl>
    <w:p>
      <w:pPr>
        <w:spacing w:after="220" w:before="80"/>
        <w:jc w:val="center"/>
      </w:pPr>
      <w:r>
        <w:rPr>
          <w:rFonts w:ascii="Calibri" w:cs="Calibri" w:eastAsia="Calibri" w:hAnsi="Calibri"/>
          <w:i/>
          <w:iCs/>
          <w:color w:val="595959"/>
          <w:sz w:val="18"/>
          <w:szCs w:val="18"/>
        </w:rPr>
        <w:t xml:space="preserve">Table 12.6 — Local transactions</w:t>
      </w:r>
    </w:p>
    <w:p>
      <w:pPr>
        <w:spacing w:after="120" w:before="0" w:line="276"/>
      </w:pPr>
      <w:r>
        <w:rPr>
          <w:rFonts w:ascii="Calibri" w:cs="Calibri" w:eastAsia="Calibri" w:hAnsi="Calibri"/>
          <w:sz w:val="21"/>
          <w:szCs w:val="21"/>
        </w:rPr>
        <w:t xml:space="preserve">All three forms of site autonomy hold for these transactions. Design autonomy: each port defined its extension without any change to another site or to the core. Communication autonomy: none of L1–L8 sends a message to another site. Execution autonomy: they are local transactions, invisible to the global transaction manager — no two-phase commit, no global lock.</w:t>
      </w:r>
    </w:p>
    <w:p>
      <w:pPr>
        <w:spacing w:after="120" w:line="276"/>
      </w:pPr>
      <w:r>
        <w:rPr>
          <w:rFonts w:ascii="Calibri" w:cs="Calibri" w:eastAsia="Calibri" w:hAnsi="Calibri"/>
          <w:b/>
          <w:bCs/>
          <w:sz w:val="21"/>
          <w:szCs w:val="21"/>
        </w:rPr>
        <w:t xml:space="preserve">One exception, resolved by the allocation method. </w:t>
      </w:r>
      <w:r>
        <w:rPr>
          <w:rFonts w:ascii="Calibri" w:cs="Calibri" w:eastAsia="Calibri" w:hAnsi="Calibri"/>
          <w:sz w:val="21"/>
          <w:szCs w:val="21"/>
        </w:rPr>
        <w:t xml:space="preserve">L5 must check that a vehicle’s exporter exists in CONSIGNEE_H, which the global workload alone would place only at S2. Every RoRo registration would have made a remote read, breaking S3’s communication autonomy for a local operation. Re-running All Beneficial Sites with L5’s 960 reads a day at S3 gives a benefit of 10,148.6 ms/day against a cost of 1,637.4 ms/day: CONSIGNEE_H is now replicated to S3. This also settles what had been the one close call in Section 11.5 — the cost model reached the decision on its own once the local workload was visible to it (Amendment C2).</w:t>
      </w:r>
    </w:p>
    <w:p>
      <w:pPr>
        <w:pStyle w:val="Heading2"/>
        <w:spacing w:after="120" w:before="260"/>
      </w:pPr>
      <w:r>
        <w:rPr>
          <w:rFonts w:ascii="Calibri" w:cs="Calibri" w:eastAsia="Calibri" w:hAnsi="Calibri"/>
          <w:b/>
          <w:bCs/>
          <w:color w:val="1F3864"/>
          <w:sz w:val="25"/>
          <w:szCs w:val="25"/>
        </w:rPr>
        <w:t xml:space="preserve">12.11 Physical design of the local relations</w:t>
      </w:r>
    </w:p>
    <w:p>
      <w:pPr>
        <w:spacing w:after="120" w:before="0" w:line="276"/>
      </w:pPr>
      <w:r>
        <w:rPr>
          <w:rFonts w:ascii="Calibri" w:cs="Calibri" w:eastAsia="Calibri" w:hAnsi="Calibri"/>
          <w:sz w:val="21"/>
          <w:szCs w:val="21"/>
        </w:rPr>
        <w:t xml:space="preserve">The rule of Section 10 applies unchanged: build an index only if a transaction searches on that key and the file exceeds three blocks.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95"/>
        <w:gridCol w:w="812"/>
        <w:gridCol w:w="2347"/>
        <w:gridCol w:w="1083"/>
        <w:gridCol w:w="2888"/>
      </w:tblGrid>
      <w:tr>
        <w:trPr>
          <w:tblHeader/>
        </w:trPr>
        <w:tc>
          <w:tcPr>
            <w:tcW w:type="dxa" w:w="1895"/>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Relation</w:t>
            </w:r>
          </w:p>
        </w:tc>
        <w:tc>
          <w:tcPr>
            <w:tcW w:type="dxa" w:w="812"/>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Blocks</w:t>
            </w:r>
          </w:p>
        </w:tc>
        <w:tc>
          <w:tcPr>
            <w:tcW w:type="dxa" w:w="2347"/>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Access method</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Index blocks</w:t>
            </w:r>
          </w:p>
        </w:tc>
        <w:tc>
          <w:tcPr>
            <w:tcW w:type="dxa" w:w="288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Reason</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TANK_FARM</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heap</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single block</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PIPELINE_TRANSFER</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49</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heap</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insert-only; nothing searches it</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RAIL_RAKE</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108</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(rake_id)</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L3 updates rake status by key</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RAKE_LOADING</w:t>
            </w:r>
          </w:p>
        </w:tc>
        <w:tc>
          <w:tcPr>
            <w:tcW w:type="dxa" w:w="812"/>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7,569</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clustering index (rake_id)</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34</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Q9 reads by rake; inserts arrive in rake order</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SEZ_UNIT</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heap</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three blocks: a scan is one seek</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BOND_TRANSFER</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342</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heap</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insert-only</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RORO_VEHICLE</w:t>
            </w:r>
          </w:p>
        </w:tc>
        <w:tc>
          <w:tcPr>
            <w:tcW w:type="dxa" w:w="812"/>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5,811</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B+ tree (vin), height 3</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2,163</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L6 probes by vin; arrival order is not vin order</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VEHICLE_INSPECTION</w:t>
            </w:r>
          </w:p>
        </w:tc>
        <w:tc>
          <w:tcPr>
            <w:tcW w:type="dxa" w:w="812"/>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3,487</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heap</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insert-only</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TIDAL_WINDOW</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heap</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six blocks, read as a timetable</w:t>
            </w:r>
          </w:p>
        </w:tc>
      </w:tr>
      <w:tr>
        <w:trPr>
          <w:tblHeader w:val="false"/>
        </w:trPr>
        <w:tc>
          <w:tcPr>
            <w:tcW w:type="dxa" w:w="1895"/>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LIGHTERAGE</w:t>
            </w:r>
          </w:p>
        </w:tc>
        <w:tc>
          <w:tcPr>
            <w:tcW w:type="dxa" w:w="812"/>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24</w:t>
            </w:r>
          </w:p>
        </w:tc>
        <w:tc>
          <w:tcPr>
            <w:tcW w:type="dxa" w:w="2347"/>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primary index (op_id)</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L7 closes an operation by key</w:t>
            </w:r>
          </w:p>
        </w:tc>
      </w:tr>
    </w:tbl>
    <w:p>
      <w:pPr>
        <w:spacing w:after="220" w:before="80"/>
        <w:jc w:val="center"/>
      </w:pPr>
      <w:r>
        <w:rPr>
          <w:rFonts w:ascii="Calibri" w:cs="Calibri" w:eastAsia="Calibri" w:hAnsi="Calibri"/>
          <w:i/>
          <w:iCs/>
          <w:color w:val="595959"/>
          <w:sz w:val="18"/>
          <w:szCs w:val="18"/>
        </w:rPr>
        <w:t xml:space="preserve">Table 12.7 — Access methods for the local relations</w:t>
      </w:r>
    </w:p>
    <w:p>
      <w:pPr>
        <w:spacing w:after="120" w:before="0" w:line="276"/>
      </w:pPr>
      <w:r>
        <w:rPr>
          <w:rFonts w:ascii="Calibri" w:cs="Calibri" w:eastAsia="Calibri" w:hAnsi="Calibri"/>
          <w:sz w:val="21"/>
          <w:szCs w:val="21"/>
        </w:rPr>
        <w:t xml:space="preserve">RAKE_LOADING and GATE_MOVE make an instructive pair. Both are large, insert-heavy history relations, yet one gets a clustering index and the other a B+ tree. The difference is arrival order: containers are loaded rake by rake, so RAKE_LOADING is physically in rake_id order and a sparse clustering index of 34 blocks suffices; gate moves arrive in time order, unrelated to cont_id, so GATE_MOVE needs a dense index. The same criterion applied to different local facts gives different answers — which is the point of letting each site design its own internal schema.</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444"/>
        <w:gridCol w:w="2527"/>
        <w:gridCol w:w="2527"/>
        <w:gridCol w:w="2527"/>
      </w:tblGrid>
      <w:tr>
        <w:trPr>
          <w:tblHeader/>
        </w:trPr>
        <w:tc>
          <w:tcPr>
            <w:tcW w:type="dxa" w:w="1444"/>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252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Local data</w:t>
            </w:r>
          </w:p>
        </w:tc>
        <w:tc>
          <w:tcPr>
            <w:tcW w:type="dxa" w:w="252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Local index</w:t>
            </w:r>
          </w:p>
        </w:tc>
        <w:tc>
          <w:tcPr>
            <w:tcW w:type="dxa" w:w="252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Share of site storage</w:t>
            </w:r>
          </w:p>
        </w:tc>
      </w:tr>
      <w:tr>
        <w:trPr>
          <w:tblHeader w:val="false"/>
        </w:trPr>
        <w:tc>
          <w:tcPr>
            <w:tcW w:type="dxa" w:w="1444"/>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2527"/>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50</w:t>
            </w:r>
          </w:p>
        </w:tc>
        <w:tc>
          <w:tcPr>
            <w:tcW w:type="dxa" w:w="2527"/>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0</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0.03%</w:t>
            </w:r>
          </w:p>
        </w:tc>
      </w:tr>
      <w:tr>
        <w:trPr>
          <w:tblHeader w:val="false"/>
        </w:trPr>
        <w:tc>
          <w:tcPr>
            <w:tcW w:type="dxa" w:w="1444"/>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8,022</w:t>
            </w:r>
          </w:p>
        </w:tc>
        <w:tc>
          <w:tcPr>
            <w:tcW w:type="dxa" w:w="2527"/>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35</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2.0%</w:t>
            </w:r>
          </w:p>
        </w:tc>
      </w:tr>
      <w:tr>
        <w:trPr>
          <w:tblHeader w:val="false"/>
        </w:trPr>
        <w:tc>
          <w:tcPr>
            <w:tcW w:type="dxa" w:w="1444"/>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9,298</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2,163</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3.8%</w:t>
            </w:r>
          </w:p>
        </w:tc>
      </w:tr>
      <w:tr>
        <w:trPr>
          <w:tblHeader w:val="false"/>
        </w:trPr>
        <w:tc>
          <w:tcPr>
            <w:tcW w:type="dxa" w:w="1444"/>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2527"/>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30</w:t>
            </w:r>
          </w:p>
        </w:tc>
        <w:tc>
          <w:tcPr>
            <w:tcW w:type="dxa" w:w="2527"/>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w:t>
            </w:r>
          </w:p>
        </w:tc>
        <w:tc>
          <w:tcPr>
            <w:tcW w:type="dxa" w:w="252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0.02%</w:t>
            </w:r>
          </w:p>
        </w:tc>
      </w:tr>
    </w:tbl>
    <w:p>
      <w:pPr>
        <w:spacing w:after="220" w:before="80"/>
        <w:jc w:val="center"/>
      </w:pPr>
      <w:r>
        <w:rPr>
          <w:rFonts w:ascii="Calibri" w:cs="Calibri" w:eastAsia="Calibri" w:hAnsi="Calibri"/>
          <w:i/>
          <w:iCs/>
          <w:color w:val="595959"/>
          <w:sz w:val="18"/>
          <w:szCs w:val="18"/>
        </w:rPr>
        <w:t xml:space="preserve">Table 12.8 — Storage of the local relations (blocks)</w:t>
      </w:r>
    </w:p>
    <w:p>
      <w:pPr>
        <w:pStyle w:val="Heading2"/>
        <w:spacing w:after="120" w:before="260"/>
      </w:pPr>
      <w:r>
        <w:rPr>
          <w:rFonts w:ascii="Calibri" w:cs="Calibri" w:eastAsia="Calibri" w:hAnsi="Calibri"/>
          <w:b/>
          <w:bCs/>
          <w:color w:val="1F3864"/>
          <w:sz w:val="25"/>
          <w:szCs w:val="25"/>
        </w:rPr>
        <w:t xml:space="preserve">12.12 Effect on the global design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708"/>
        <w:gridCol w:w="2888"/>
        <w:gridCol w:w="3430"/>
      </w:tblGrid>
      <w:tr>
        <w:trPr>
          <w:tblHeader/>
        </w:trPr>
        <w:tc>
          <w:tcPr>
            <w:tcW w:type="dxa" w:w="270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Figure</w:t>
            </w:r>
          </w:p>
        </w:tc>
        <w:tc>
          <w:tcPr>
            <w:tcW w:type="dxa" w:w="288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Before the extensions</w:t>
            </w:r>
          </w:p>
        </w:tc>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After</w:t>
            </w:r>
          </w:p>
        </w:tc>
      </w:tr>
      <w:tr>
        <w:trPr>
          <w:tblHeader w:val="false"/>
        </w:trPr>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Relations</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19 global</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29: 19 global + 10 site-only</w:t>
            </w:r>
          </w:p>
        </w:tc>
      </w:tr>
      <w:tr>
        <w:trPr>
          <w:tblHeader w:val="false"/>
        </w:trPr>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Best CONTAINER split (Z)</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106,282,875</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106,932,375 — same partition</w:t>
            </w:r>
          </w:p>
        </w:tc>
      </w:tr>
      <w:tr>
        <w:trPr>
          <w:tblHeader w:val="false"/>
        </w:trPr>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CONSIGNEE_H copies</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1 (S2)</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2 (S2, S3)</w:t>
            </w:r>
          </w:p>
        </w:tc>
      </w:tr>
      <w:tr>
        <w:trPr>
          <w:tblHeader w:val="false"/>
        </w:trPr>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Locality of global accesses</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97.35%</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97.13% (97.53% counting L1–L8)</w:t>
            </w:r>
          </w:p>
        </w:tc>
      </w:tr>
      <w:tr>
        <w:trPr>
          <w:tblHeader w:val="false"/>
        </w:trPr>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Database size</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978,665 blocks, 4,009 MB</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998,694 blocks, 4,091 MB</w:t>
            </w:r>
          </w:p>
        </w:tc>
      </w:tr>
      <w:tr>
        <w:trPr>
          <w:tblHeader w:val="false"/>
        </w:trPr>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Peak disk utilisation</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1.61% (S2)</w:t>
            </w:r>
          </w:p>
        </w:tc>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1.81% (S2)</w:t>
            </w:r>
          </w:p>
        </w:tc>
      </w:tr>
    </w:tbl>
    <w:p>
      <w:pPr>
        <w:spacing w:after="220" w:before="80"/>
        <w:jc w:val="center"/>
      </w:pPr>
      <w:r>
        <w:rPr>
          <w:rFonts w:ascii="Calibri" w:cs="Calibri" w:eastAsia="Calibri" w:hAnsi="Calibri"/>
          <w:i/>
          <w:iCs/>
          <w:color w:val="595959"/>
          <w:sz w:val="18"/>
          <w:szCs w:val="18"/>
        </w:rPr>
        <w:t xml:space="preserve">Table 12.9 — What the heterogeneous extension changed</w:t>
      </w:r>
    </w:p>
    <w:p>
      <w:pPr>
        <w:spacing w:after="120" w:before="0" w:line="276"/>
      </w:pPr>
      <w:r>
        <w:rPr>
          <w:rFonts w:ascii="Calibri" w:cs="Calibri" w:eastAsia="Calibri" w:hAnsi="Calibri"/>
          <w:sz w:val="21"/>
          <w:szCs w:val="21"/>
        </w:rPr>
        <w:t xml:space="preserve">The core design absorbed the extensions with no structural change. That is rule R1 doing its job: because no extension altered a core relation, the only effects on the core are through the workload (Q9 in the affinity matrix, L5 in the allocation), and both were re-evaluated with the same methods as before. Sections 9, 11 and 13 report the updated figures.</w:t>
      </w:r>
    </w:p>
    <w:p>
      <w:pPr>
        <w:pStyle w:val="Heading2"/>
        <w:spacing w:after="120" w:before="260"/>
      </w:pPr>
      <w:r>
        <w:rPr>
          <w:rFonts w:ascii="Calibri" w:cs="Calibri" w:eastAsia="Calibri" w:hAnsi="Calibri"/>
          <w:b/>
          <w:bCs/>
          <w:color w:val="1F3864"/>
          <w:sz w:val="25"/>
          <w:szCs w:val="25"/>
        </w:rPr>
        <w:t xml:space="preserve">12.13 Executable check</w:t>
      </w:r>
    </w:p>
    <w:p>
      <w:pPr>
        <w:spacing w:after="120" w:before="0" w:line="276"/>
      </w:pPr>
      <w:r>
        <w:rPr>
          <w:rFonts w:ascii="Calibri" w:cs="Calibri" w:eastAsia="Calibri" w:hAnsi="Calibri"/>
          <w:sz w:val="21"/>
          <w:szCs w:val="21"/>
        </w:rPr>
        <w:t xml:space="preserve">To confirm that the four schemas genuinely differ and that the integration is correct, the design was built as four separate SQLite databases — one per port, each with its own schema — and a mediator that attaches all four and answers Q9 through the export views (hetero_demo.py, Appendix C).</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860"/>
        <w:gridCol w:w="2166"/>
      </w:tblGrid>
      <w:tr>
        <w:trPr>
          <w:tblHeader/>
        </w:trPr>
        <w:tc>
          <w:tcPr>
            <w:tcW w:type="dxa" w:w="686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Check</w:t>
            </w:r>
          </w:p>
        </w:tc>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Result</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The four databases have different relation sets (18, 25, 19, 18 relations)</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PASS, all 6 pairs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The 16 relations common to all four have identical columns</w:t>
            </w:r>
          </w:p>
        </w:tc>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PASS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Q9 through the global view equals each value computed directly at the site</w:t>
            </w:r>
          </w:p>
        </w:tc>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PASS, 8 of 8 rows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JNPT: 5 containers loaded onto an open rake — custody unchanged</w:t>
            </w:r>
          </w:p>
        </w:tc>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PASS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JNPT: the rake departs — custody falls by exactly the rake’s weight</w:t>
            </w:r>
          </w:p>
        </w:tc>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PASS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Haldia: a barge lands and its 24 containers enter the yard — custody unchanged</w:t>
            </w:r>
          </w:p>
        </w:tc>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PASS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Chennai: the RoRo voyage sails — custody falls by exactly the vehicles aboard</w:t>
            </w:r>
          </w:p>
        </w:tc>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PASS</w:t>
            </w:r>
          </w:p>
        </w:tc>
      </w:tr>
      <w:tr>
        <w:trPr>
          <w:tblHeader w:val="false"/>
        </w:trPr>
        <w:tc>
          <w:tcPr>
            <w:tcW w:type="dxa" w:w="686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New Mangalore: 500 kl pumped out at density 0.876 — custody falls by 438 t</w:t>
            </w:r>
          </w:p>
        </w:tc>
        <w:tc>
          <w:tcPr>
            <w:tcW w:type="dxa" w:w="2166"/>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PASS</w:t>
            </w:r>
          </w:p>
        </w:tc>
      </w:tr>
    </w:tbl>
    <w:p>
      <w:pPr>
        <w:spacing w:after="220" w:before="80"/>
        <w:jc w:val="center"/>
      </w:pPr>
      <w:r>
        <w:rPr>
          <w:rFonts w:ascii="Calibri" w:cs="Calibri" w:eastAsia="Calibri" w:hAnsi="Calibri"/>
          <w:i/>
          <w:iCs/>
          <w:color w:val="595959"/>
          <w:sz w:val="18"/>
          <w:szCs w:val="18"/>
        </w:rPr>
        <w:t xml:space="preserve">Table 12.10 — Results of the executable prototype</w:t>
      </w:r>
    </w:p>
    <w:p>
      <w:pPr>
        <w:spacing w:after="120" w:before="0" w:line="276"/>
      </w:pPr>
      <w:r>
        <w:rPr>
          <w:rFonts w:ascii="Calibri" w:cs="Calibri" w:eastAsia="Calibri" w:hAnsi="Calibri"/>
          <w:sz w:val="21"/>
          <w:szCs w:val="21"/>
        </w:rPr>
        <w:t xml:space="preserve">The conservation tests matter most. They move cargo across exactly the boundaries where the four definitions of custody differ, and show that the network total changes only when cargo physically leaves a port.</w:t>
      </w:r>
    </w:p>
    <w:p>
      <w:r>
        <w:br w:type="page"/>
      </w:r>
    </w:p>
    <w:p>
      <w:pPr>
        <w:pStyle w:val="Heading1"/>
        <w:spacing w:after="180" w:before="360"/>
      </w:pPr>
      <w:r>
        <w:rPr>
          <w:rFonts w:ascii="Calibri" w:cs="Calibri" w:eastAsia="Calibri" w:hAnsi="Calibri"/>
          <w:b/>
          <w:bCs/>
          <w:color w:val="1F3864"/>
          <w:sz w:val="30"/>
          <w:szCs w:val="30"/>
        </w:rPr>
        <w:t xml:space="preserve">13. Work Area Space and System Specification</w:t>
      </w:r>
    </w:p>
    <w:p>
      <w:pPr>
        <w:pStyle w:val="Heading2"/>
        <w:spacing w:after="120" w:before="260"/>
      </w:pPr>
      <w:r>
        <w:rPr>
          <w:rFonts w:ascii="Calibri" w:cs="Calibri" w:eastAsia="Calibri" w:hAnsi="Calibri"/>
          <w:b/>
          <w:bCs/>
          <w:color w:val="1F3864"/>
          <w:sz w:val="25"/>
          <w:szCs w:val="25"/>
        </w:rPr>
        <w:t xml:space="preserve">13.1 When does an index beat a scan?</w:t>
      </w:r>
    </w:p>
    <w:p>
      <w:pPr>
        <w:spacing w:after="120" w:before="0" w:line="276"/>
      </w:pPr>
      <w:r>
        <w:rPr>
          <w:rFonts w:ascii="Calibri" w:cs="Calibri" w:eastAsia="Calibri" w:hAnsi="Calibri"/>
          <w:sz w:val="21"/>
          <w:szCs w:val="21"/>
        </w:rPr>
        <w:t xml:space="preserve">One result governs every query plan. A random block access costs 12.04 ms — seek and latency dominate — while a sequential block costs 0.0403 ms. The ratio is 300 : 1.</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527"/>
        <w:gridCol w:w="1986"/>
        <w:gridCol w:w="2166"/>
        <w:gridCol w:w="2347"/>
      </w:tblGrid>
      <w:tr>
        <w:trPr>
          <w:tblHeader/>
        </w:trPr>
        <w:tc>
          <w:tcPr>
            <w:tcW w:type="dxa" w:w="2527"/>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Fragment</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Blocks @ S2</w:t>
            </w:r>
          </w:p>
        </w:tc>
        <w:tc>
          <w:tcPr>
            <w:tcW w:type="dxa" w:w="216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Full scan</w:t>
            </w:r>
          </w:p>
        </w:tc>
        <w:tc>
          <w:tcPr>
            <w:tcW w:type="dxa" w:w="234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Break-even records</w:t>
            </w:r>
          </w:p>
        </w:tc>
      </w:tr>
      <w:tr>
        <w:trPr>
          <w:tblHeader w:val="false"/>
        </w:trPr>
        <w:tc>
          <w:tcPr>
            <w:tcW w:type="dxa" w:w="252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CONTAINER_C</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2,637</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118.2 ms</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3.3</w:t>
            </w:r>
          </w:p>
        </w:tc>
      </w:tr>
      <w:tr>
        <w:trPr>
          <w:tblHeader w:val="false"/>
        </w:trPr>
        <w:tc>
          <w:tcPr>
            <w:tcW w:type="dxa" w:w="252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CUSTOMS_DECL</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1,890</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88.1 ms</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2.4</w:t>
            </w:r>
          </w:p>
        </w:tc>
      </w:tr>
      <w:tr>
        <w:trPr>
          <w:tblHeader w:val="false"/>
        </w:trPr>
        <w:tc>
          <w:tcPr>
            <w:tcW w:type="dxa" w:w="252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GATE_MOVE</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269,532</w:t>
            </w:r>
          </w:p>
        </w:tc>
        <w:tc>
          <w:tcPr>
            <w:tcW w:type="dxa" w:w="216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10,869.6 ms</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451.4</w:t>
            </w:r>
          </w:p>
        </w:tc>
      </w:tr>
    </w:tbl>
    <w:p>
      <w:pPr>
        <w:spacing w:after="220" w:before="80"/>
        <w:jc w:val="center"/>
      </w:pPr>
      <w:r>
        <w:rPr>
          <w:rFonts w:ascii="Calibri" w:cs="Calibri" w:eastAsia="Calibri" w:hAnsi="Calibri"/>
          <w:i/>
          <w:iCs/>
          <w:color w:val="595959"/>
          <w:sz w:val="18"/>
          <w:szCs w:val="18"/>
        </w:rPr>
        <w:t xml:space="preserve">Table 13.1 — Index versus scan break-even</w:t>
      </w:r>
    </w:p>
    <w:p>
      <w:pPr>
        <w:spacing w:after="120" w:before="0" w:line="276"/>
      </w:pPr>
      <w:r>
        <w:rPr>
          <w:rFonts w:ascii="Calibri" w:cs="Calibri" w:eastAsia="Calibri" w:hAnsi="Calibri"/>
          <w:sz w:val="21"/>
          <w:szCs w:val="21"/>
        </w:rPr>
        <w:t xml:space="preserve">The primary indexes on F1 and F8 pay only for single-record access. That is not a contradiction of Section 10 — those indexes exist for U1 and U3, which are precisely single-record operations. It does mean the query optimiser must choose per query: the same fragment is probed by index for U1 and scanned for Q1. GATE_MOVE’s break-even is 451 records and Q8 needs about 16, so the B+ tree wins there by a wide margin.</w:t>
      </w:r>
    </w:p>
    <w:p>
      <w:pPr>
        <w:pStyle w:val="Heading2"/>
        <w:spacing w:after="120" w:before="260"/>
      </w:pPr>
      <w:r>
        <w:rPr>
          <w:rFonts w:ascii="Calibri" w:cs="Calibri" w:eastAsia="Calibri" w:hAnsi="Calibri"/>
          <w:b/>
          <w:bCs/>
          <w:color w:val="1F3864"/>
          <w:sz w:val="25"/>
          <w:szCs w:val="25"/>
        </w:rPr>
        <w:t xml:space="preserve">13.2 Work Area Space</w:t>
      </w:r>
    </w:p>
    <w:p>
      <w:pPr>
        <w:spacing w:after="120" w:before="0" w:line="276"/>
      </w:pPr>
      <w:r>
        <w:rPr>
          <w:rFonts w:ascii="Calibri" w:cs="Calibri" w:eastAsia="Calibri" w:hAnsi="Calibri"/>
          <w:sz w:val="21"/>
          <w:szCs w:val="21"/>
        </w:rPr>
        <w:t xml:space="preserve">Computed per query at S2, the busiest site, as the size of the largest intermediate structure the query must hold in memory — in every case here the build side of a hash join.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83"/>
        <w:gridCol w:w="1625"/>
        <w:gridCol w:w="6318"/>
      </w:tblGrid>
      <w:tr>
        <w:trPr>
          <w:tblHeader/>
        </w:trPr>
        <w:tc>
          <w:tcPr>
            <w:tcW w:type="dxa" w:w="1083"/>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Query</w:t>
            </w:r>
          </w:p>
        </w:tc>
        <w:tc>
          <w:tcPr>
            <w:tcW w:type="dxa" w:w="162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Work area</w:t>
            </w:r>
          </w:p>
        </w:tc>
        <w:tc>
          <w:tcPr>
            <w:tcW w:type="dxa" w:w="6318"/>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Driven by</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bCs/>
                <w:sz w:val="16"/>
                <w:szCs w:val="16"/>
              </w:rPr>
              <w:t xml:space="preserve">Q5</w:t>
            </w:r>
          </w:p>
        </w:tc>
        <w:tc>
          <w:tcPr>
            <w:tcW w:type="dxa" w:w="1625"/>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8,164 KB</w:t>
            </w:r>
          </w:p>
        </w:tc>
        <w:tc>
          <w:tcPr>
            <w:tcW w:type="dxa" w:w="6318"/>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build side: YARD_SLOT_2 (220,000 × 38 B)</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Q3</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756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open declarations (10% of 180,000 × 43 B)</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Q2</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527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hazmat containers (5% of 200,000 × 54 B)</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Q7</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79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VOYAGE_2 (1,440 × 50 B) + 360 aggregate groups</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Q6</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64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pipelined scan, ~40-row result</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Q8</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64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four partial results merged at the originating site</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Q1</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one yard block’s 250 slots joined to container rows</w:t>
            </w:r>
          </w:p>
        </w:tc>
      </w:tr>
      <w:tr>
        <w:trPr>
          <w:tblHeader w:val="false"/>
        </w:trPr>
        <w:tc>
          <w:tcPr>
            <w:tcW w:type="dxa" w:w="1083"/>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Q4</w:t>
            </w:r>
          </w:p>
        </w:tc>
        <w:tc>
          <w:tcPr>
            <w:tcW w:type="dxa" w:w="162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 KB</w:t>
            </w:r>
          </w:p>
        </w:tc>
        <w:tc>
          <w:tcPr>
            <w:tcW w:type="dxa" w:w="6318"/>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today’s ~10 voyages joined to VESSEL</w:t>
            </w:r>
          </w:p>
        </w:tc>
      </w:tr>
    </w:tbl>
    <w:p>
      <w:pPr>
        <w:spacing w:after="220" w:before="80"/>
        <w:jc w:val="center"/>
      </w:pPr>
      <w:r>
        <w:rPr>
          <w:rFonts w:ascii="Calibri" w:cs="Calibri" w:eastAsia="Calibri" w:hAnsi="Calibri"/>
          <w:i/>
          <w:iCs/>
          <w:color w:val="595959"/>
          <w:sz w:val="18"/>
          <w:szCs w:val="18"/>
        </w:rPr>
        <w:t xml:space="preserve">Table 13.2 — Work area per query</w:t>
      </w:r>
    </w:p>
    <w:p>
      <w:pPr>
        <w:spacing w:after="120" w:line="276"/>
      </w:pPr>
      <w:r>
        <w:rPr>
          <w:rFonts w:ascii="Calibri" w:cs="Calibri" w:eastAsia="Calibri" w:hAnsi="Calibri"/>
          <w:b/>
          <w:bCs/>
          <w:sz w:val="21"/>
          <w:szCs w:val="21"/>
        </w:rPr>
        <w:t xml:space="preserve">WAS = 8,164 KB = 7.97 MB, </w:t>
      </w:r>
      <w:r>
        <w:rPr>
          <w:rFonts w:ascii="Calibri" w:cs="Calibri" w:eastAsia="Calibri" w:hAnsi="Calibri"/>
          <w:sz w:val="21"/>
          <w:szCs w:val="21"/>
        </w:rPr>
        <w:t xml:space="preserve">driven by Q5 (yard occupancy per block).</w:t>
      </w:r>
    </w:p>
    <w:p>
      <w:pPr>
        <w:spacing w:after="120" w:before="0" w:line="276"/>
      </w:pPr>
      <w:r>
        <w:rPr>
          <w:rFonts w:ascii="Calibri" w:cs="Calibri" w:eastAsia="Calibri" w:hAnsi="Calibri"/>
          <w:sz w:val="21"/>
          <w:szCs w:val="21"/>
        </w:rPr>
        <w:t xml:space="preserve">The work area is a choice, not a requirement. Q5 can be executed two ways: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235"/>
        <w:gridCol w:w="1805"/>
        <w:gridCol w:w="1986"/>
      </w:tblGrid>
      <w:tr>
        <w:trPr>
          <w:tblHeader/>
        </w:trPr>
        <w:tc>
          <w:tcPr>
            <w:tcW w:type="dxa" w:w="523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Plan</w:t>
            </w:r>
          </w:p>
        </w:tc>
        <w:tc>
          <w:tcPr>
            <w:tcW w:type="dxa" w:w="180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Work area</w:t>
            </w:r>
          </w:p>
        </w:tc>
        <w:tc>
          <w:tcPr>
            <w:tcW w:type="dxa" w:w="1986"/>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Time</w:t>
            </w:r>
          </w:p>
        </w:tc>
      </w:tr>
      <w:tr>
        <w:trPr>
          <w:tblHeader w:val="false"/>
        </w:trPr>
        <w:tc>
          <w:tcPr>
            <w:tcW w:type="dxa" w:w="5235"/>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Hash join — build on YARD_SLOT_2, stream CONTAINER_C_2 through it</w:t>
            </w:r>
          </w:p>
        </w:tc>
        <w:tc>
          <w:tcPr>
            <w:tcW w:type="dxa" w:w="1805"/>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7.97 MB</w:t>
            </w:r>
          </w:p>
        </w:tc>
        <w:tc>
          <w:tcPr>
            <w:tcW w:type="dxa" w:w="1986"/>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212 ms</w:t>
            </w:r>
          </w:p>
        </w:tc>
      </w:tr>
      <w:tr>
        <w:trPr>
          <w:tblHeader w:val="false"/>
        </w:trPr>
        <w:tc>
          <w:tcPr>
            <w:tcW w:type="dxa" w:w="523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Index nested loop — walk slots in key order, probe CONTAINER_C per slot</w:t>
            </w:r>
          </w:p>
        </w:tc>
        <w:tc>
          <w:tcPr>
            <w:tcW w:type="dxa" w:w="180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0.03 MB</w:t>
            </w:r>
          </w:p>
        </w:tc>
        <w:tc>
          <w:tcPr>
            <w:tcW w:type="dxa" w:w="1986"/>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132 min</w:t>
            </w:r>
          </w:p>
        </w:tc>
      </w:tr>
    </w:tbl>
    <w:p>
      <w:pPr>
        <w:spacing w:after="220" w:before="80"/>
        <w:jc w:val="center"/>
      </w:pPr>
      <w:r>
        <w:rPr>
          <w:rFonts w:ascii="Calibri" w:cs="Calibri" w:eastAsia="Calibri" w:hAnsi="Calibri"/>
          <w:i/>
          <w:iCs/>
          <w:color w:val="595959"/>
          <w:sz w:val="18"/>
          <w:szCs w:val="18"/>
        </w:rPr>
        <w:t xml:space="preserve">Table 13.3 — Q5 execution plans</w:t>
      </w:r>
    </w:p>
    <w:p>
      <w:pPr>
        <w:spacing w:after="120" w:line="276"/>
      </w:pPr>
      <w:r>
        <w:rPr>
          <w:rFonts w:ascii="Calibri" w:cs="Calibri" w:eastAsia="Calibri" w:hAnsi="Calibri"/>
          <w:b/>
          <w:bCs/>
          <w:sz w:val="21"/>
          <w:szCs w:val="21"/>
        </w:rPr>
        <w:t xml:space="preserve">8 MB of buffer buys a 37,398× speed-up. </w:t>
      </w:r>
      <w:r>
        <w:rPr>
          <w:rFonts w:ascii="Calibri" w:cs="Calibri" w:eastAsia="Calibri" w:hAnsi="Calibri"/>
          <w:sz w:val="21"/>
          <w:szCs w:val="21"/>
        </w:rPr>
        <w:t xml:space="preserve">The index-nested-loop plan is feasible — it needs almost no memory, and the slots are already in primary-key order — but it performs 220,000 random probes at 36 ms each. The hash join reads both fragments sequentially, exactly once.</w:t>
      </w:r>
    </w:p>
    <w:p>
      <w:pPr>
        <w:pStyle w:val="Heading2"/>
        <w:spacing w:after="120" w:before="260"/>
      </w:pPr>
      <w:r>
        <w:rPr>
          <w:rFonts w:ascii="Calibri" w:cs="Calibri" w:eastAsia="Calibri" w:hAnsi="Calibri"/>
          <w:b/>
          <w:bCs/>
          <w:color w:val="1F3864"/>
          <w:sz w:val="25"/>
          <w:szCs w:val="25"/>
        </w:rPr>
        <w:t xml:space="preserve">13.3 Memory per site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759"/>
        <w:gridCol w:w="1518"/>
        <w:gridCol w:w="1265"/>
        <w:gridCol w:w="1097"/>
        <w:gridCol w:w="1181"/>
        <w:gridCol w:w="1097"/>
        <w:gridCol w:w="759"/>
        <w:gridCol w:w="1350"/>
      </w:tblGrid>
      <w:tr>
        <w:trPr>
          <w:tblHeader/>
        </w:trPr>
        <w:tc>
          <w:tcPr>
            <w:tcW w:type="dxa" w:w="759"/>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1518"/>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Work area (×4)</w:t>
            </w:r>
          </w:p>
        </w:tc>
        <w:tc>
          <w:tcPr>
            <w:tcW w:type="dxa" w:w="126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 non-leaf</w:t>
            </w:r>
          </w:p>
        </w:tc>
        <w:tc>
          <w:tcPr>
            <w:tcW w:type="dxa" w:w="109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Small idx</w:t>
            </w:r>
          </w:p>
        </w:tc>
        <w:tc>
          <w:tcPr>
            <w:tcW w:type="dxa" w:w="1181"/>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Repl. relns</w:t>
            </w:r>
          </w:p>
        </w:tc>
        <w:tc>
          <w:tcPr>
            <w:tcW w:type="dxa" w:w="109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Scan bufs</w:t>
            </w:r>
          </w:p>
        </w:tc>
        <w:tc>
          <w:tcPr>
            <w:tcW w:type="dxa" w:w="759"/>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DBMS</w:t>
            </w:r>
          </w:p>
        </w:tc>
        <w:tc>
          <w:tcPr>
            <w:tcW w:type="dxa" w:w="1350"/>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Total</w:t>
            </w:r>
          </w:p>
        </w:tc>
      </w:tr>
      <w:tr>
        <w:trPr>
          <w:tblHeader w:val="false"/>
        </w:trPr>
        <w:tc>
          <w:tcPr>
            <w:tcW w:type="dxa" w:w="75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151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c>
          <w:tcPr>
            <w:tcW w:type="dxa" w:w="126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0.80</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0.09</w:t>
            </w:r>
          </w:p>
        </w:tc>
        <w:tc>
          <w:tcPr>
            <w:tcW w:type="dxa" w:w="1181"/>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0.07</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2.10</w:t>
            </w:r>
          </w:p>
        </w:tc>
        <w:tc>
          <w:tcPr>
            <w:tcW w:type="dxa" w:w="759"/>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64</w:t>
            </w:r>
          </w:p>
        </w:tc>
        <w:tc>
          <w:tcPr>
            <w:tcW w:type="dxa" w:w="135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79.0 MB</w:t>
            </w:r>
          </w:p>
        </w:tc>
      </w:tr>
      <w:tr>
        <w:trPr>
          <w:tblHeader w:val="false"/>
        </w:trPr>
        <w:tc>
          <w:tcPr>
            <w:tcW w:type="dxa" w:w="75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151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31.9</w:t>
            </w:r>
          </w:p>
        </w:tc>
        <w:tc>
          <w:tcPr>
            <w:tcW w:type="dxa" w:w="126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2.13</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0.33</w:t>
            </w:r>
          </w:p>
        </w:tc>
        <w:tc>
          <w:tcPr>
            <w:tcW w:type="dxa" w:w="1181"/>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0.07</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2.10</w:t>
            </w:r>
          </w:p>
        </w:tc>
        <w:tc>
          <w:tcPr>
            <w:tcW w:type="dxa" w:w="759"/>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64</w:t>
            </w:r>
          </w:p>
        </w:tc>
        <w:tc>
          <w:tcPr>
            <w:tcW w:type="dxa" w:w="135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100.5 MB</w:t>
            </w:r>
          </w:p>
        </w:tc>
      </w:tr>
      <w:tr>
        <w:trPr>
          <w:tblHeader w:val="false"/>
        </w:trPr>
        <w:tc>
          <w:tcPr>
            <w:tcW w:type="dxa" w:w="75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151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23.9</w:t>
            </w:r>
          </w:p>
        </w:tc>
        <w:tc>
          <w:tcPr>
            <w:tcW w:type="dxa" w:w="126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1.60</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0.21</w:t>
            </w:r>
          </w:p>
        </w:tc>
        <w:tc>
          <w:tcPr>
            <w:tcW w:type="dxa" w:w="1181"/>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0.07</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2.10</w:t>
            </w:r>
          </w:p>
        </w:tc>
        <w:tc>
          <w:tcPr>
            <w:tcW w:type="dxa" w:w="759"/>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64</w:t>
            </w:r>
          </w:p>
        </w:tc>
        <w:tc>
          <w:tcPr>
            <w:tcW w:type="dxa" w:w="135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91.9 MB</w:t>
            </w:r>
          </w:p>
        </w:tc>
      </w:tr>
      <w:tr>
        <w:trPr>
          <w:tblHeader w:val="false"/>
        </w:trPr>
        <w:tc>
          <w:tcPr>
            <w:tcW w:type="dxa" w:w="759"/>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1518"/>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12.0</w:t>
            </w:r>
          </w:p>
        </w:tc>
        <w:tc>
          <w:tcPr>
            <w:tcW w:type="dxa" w:w="1265"/>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0.80</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0.10</w:t>
            </w:r>
          </w:p>
        </w:tc>
        <w:tc>
          <w:tcPr>
            <w:tcW w:type="dxa" w:w="1181"/>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0.07</w:t>
            </w:r>
          </w:p>
        </w:tc>
        <w:tc>
          <w:tcPr>
            <w:tcW w:type="dxa" w:w="109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2.10</w:t>
            </w:r>
          </w:p>
        </w:tc>
        <w:tc>
          <w:tcPr>
            <w:tcW w:type="dxa" w:w="759"/>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64</w:t>
            </w:r>
          </w:p>
        </w:tc>
        <w:tc>
          <w:tcPr>
            <w:tcW w:type="dxa" w:w="1350"/>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79.0 MB</w:t>
            </w:r>
          </w:p>
        </w:tc>
      </w:tr>
    </w:tbl>
    <w:p>
      <w:pPr>
        <w:spacing w:after="220" w:before="80"/>
        <w:jc w:val="center"/>
      </w:pPr>
      <w:r>
        <w:rPr>
          <w:rFonts w:ascii="Calibri" w:cs="Calibri" w:eastAsia="Calibri" w:hAnsi="Calibri"/>
          <w:i/>
          <w:iCs/>
          <w:color w:val="595959"/>
          <w:sz w:val="18"/>
          <w:szCs w:val="18"/>
        </w:rPr>
        <w:t xml:space="preserve">Table 13.4 — Memory per site (MB), with a concurrency allowance of four heavy queries</w:t>
      </w:r>
    </w:p>
    <w:p>
      <w:pPr>
        <w:spacing w:after="120" w:before="0" w:line="276"/>
      </w:pPr>
      <w:r>
        <w:rPr>
          <w:rFonts w:ascii="Calibri" w:cs="Calibri" w:eastAsia="Calibri" w:hAnsi="Calibri"/>
          <w:sz w:val="21"/>
          <w:szCs w:val="21"/>
        </w:rPr>
        <w:t xml:space="preserve">The small-index column now includes the pinned indexes of the site-only relations (Section 12.11): the RAKE_LOADING and RAIL_RAKE indexes at S2 and the non-leaf levels of the RORO_VEHICLE B+ tree at S3. The B+ non-leaf column is the buffering result from Section 10.4: pinning 2.13 MB at S2 keeps every internal node of the GATE_MOVE B+ tree resident, so a lookup costs one leaf read plus one data read instead of five random accesses. It is the highest-return memory in the design.</w:t>
      </w:r>
    </w:p>
    <w:p>
      <w:pPr>
        <w:spacing w:after="120" w:before="0" w:line="276"/>
      </w:pPr>
      <w:r>
        <w:rPr>
          <w:rFonts w:ascii="Calibri" w:cs="Calibri" w:eastAsia="Calibri" w:hAnsi="Calibri"/>
          <w:sz w:val="21"/>
          <w:szCs w:val="21"/>
        </w:rPr>
        <w:t xml:space="preserve">The computed minimum is about 100 MB at S2. A real deployment would provision far more — 8 to 16 GB — not because the design requires it but because spare memory caches hot data and absorbs load spikes. The computed figure is the requirement; the provisioned figure is a recommendation.</w:t>
      </w:r>
    </w:p>
    <w:p>
      <w:pPr>
        <w:pStyle w:val="Heading2"/>
        <w:spacing w:after="120" w:before="260"/>
      </w:pPr>
      <w:r>
        <w:rPr>
          <w:rFonts w:ascii="Calibri" w:cs="Calibri" w:eastAsia="Calibri" w:hAnsi="Calibri"/>
          <w:b/>
          <w:bCs/>
          <w:color w:val="1F3864"/>
          <w:sz w:val="25"/>
          <w:szCs w:val="25"/>
        </w:rPr>
        <w:t xml:space="preserve">13.4 Total system specification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632"/>
        <w:gridCol w:w="1083"/>
        <w:gridCol w:w="1083"/>
        <w:gridCol w:w="993"/>
        <w:gridCol w:w="993"/>
        <w:gridCol w:w="1083"/>
        <w:gridCol w:w="1173"/>
        <w:gridCol w:w="1083"/>
        <w:gridCol w:w="903"/>
      </w:tblGrid>
      <w:tr>
        <w:trPr>
          <w:tblHeader/>
        </w:trPr>
        <w:tc>
          <w:tcPr>
            <w:tcW w:type="dxa" w:w="632"/>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Site</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Core data</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Core index</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Local data</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Local index</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Replicated</w:t>
            </w:r>
          </w:p>
        </w:tc>
        <w:tc>
          <w:tcPr>
            <w:tcW w:type="dxa" w:w="117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Total blocks</w:t>
            </w:r>
          </w:p>
        </w:tc>
        <w:tc>
          <w:tcPr>
            <w:tcW w:type="dxa" w:w="108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Disk</w:t>
            </w:r>
          </w:p>
        </w:tc>
        <w:tc>
          <w:tcPr>
            <w:tcW w:type="dxa" w:w="90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Memory</w:t>
            </w:r>
          </w:p>
        </w:tc>
      </w:tr>
      <w:tr>
        <w:trPr>
          <w:tblHeader w:val="false"/>
        </w:trPr>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S1</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104,444</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42,085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50</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0</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16</w:t>
            </w:r>
          </w:p>
        </w:tc>
        <w:tc>
          <w:tcPr>
            <w:tcW w:type="dxa" w:w="117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146,595</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600 MB</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79 MB</w:t>
            </w:r>
          </w:p>
        </w:tc>
      </w:tr>
      <w:tr>
        <w:trPr>
          <w:tblHeader w:val="false"/>
        </w:trPr>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S2</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278,507</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112,206</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8,022</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35</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1,806</w:t>
            </w:r>
          </w:p>
        </w:tc>
        <w:tc>
          <w:tcPr>
            <w:tcW w:type="dxa" w:w="117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400,576</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1,641 MB</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101 MB</w:t>
            </w:r>
          </w:p>
        </w:tc>
      </w:tr>
      <w:tr>
        <w:trPr>
          <w:tblHeader w:val="false"/>
        </w:trPr>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S3</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208,882</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84,158</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9,298</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2,163</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446</w:t>
            </w:r>
          </w:p>
        </w:tc>
        <w:tc>
          <w:tcPr>
            <w:tcW w:type="dxa" w:w="117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304,947</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1,249 MB</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92 MB</w:t>
            </w:r>
          </w:p>
        </w:tc>
      </w:tr>
      <w:tr>
        <w:trPr>
          <w:tblHeader w:val="false"/>
        </w:trPr>
        <w:tc>
          <w:tcPr>
            <w:tcW w:type="dxa" w:w="632"/>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S4</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104,444</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42,085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30</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w:t>
            </w:r>
          </w:p>
        </w:tc>
        <w:tc>
          <w:tcPr>
            <w:tcW w:type="dxa" w:w="108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16</w:t>
            </w:r>
          </w:p>
        </w:tc>
        <w:tc>
          <w:tcPr>
            <w:tcW w:type="dxa" w:w="117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146,576</w:t>
            </w:r>
          </w:p>
        </w:tc>
        <w:tc>
          <w:tcPr>
            <w:tcW w:type="dxa" w:w="108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600 MB</w:t>
            </w:r>
          </w:p>
        </w:tc>
        <w:tc>
          <w:tcPr>
            <w:tcW w:type="dxa" w:w="90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79 MB</w:t>
            </w:r>
          </w:p>
        </w:tc>
      </w:tr>
      <w:tr>
        <w:trPr>
          <w:tblHeader w:val="false"/>
        </w:trPr>
        <w:tc>
          <w:tcPr>
            <w:tcW w:type="dxa" w:w="632"/>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All</w:t>
            </w:r>
          </w:p>
        </w:tc>
        <w:tc>
          <w:tcPr>
            <w:tcW w:type="dxa" w:w="108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696,277</w:t>
            </w:r>
          </w:p>
        </w:tc>
        <w:tc>
          <w:tcPr>
            <w:tcW w:type="dxa" w:w="108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280,534</w:t>
            </w:r>
          </w:p>
        </w:tc>
        <w:tc>
          <w:tcPr>
            <w:tcW w:type="dxa" w:w="99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17,400</w:t>
            </w:r>
          </w:p>
        </w:tc>
        <w:tc>
          <w:tcPr>
            <w:tcW w:type="dxa" w:w="99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2,199</w:t>
            </w:r>
          </w:p>
        </w:tc>
        <w:tc>
          <w:tcPr>
            <w:tcW w:type="dxa" w:w="108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2,284</w:t>
            </w:r>
          </w:p>
        </w:tc>
        <w:tc>
          <w:tcPr>
            <w:tcW w:type="dxa" w:w="117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998,694</w:t>
            </w:r>
          </w:p>
        </w:tc>
        <w:tc>
          <w:tcPr>
            <w:tcW w:type="dxa" w:w="108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4,091 MB</w:t>
            </w:r>
          </w:p>
        </w:tc>
        <w:tc>
          <w:tcPr>
            <w:tcW w:type="dxa" w:w="903"/>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350 MB</w:t>
            </w:r>
          </w:p>
        </w:tc>
      </w:tr>
    </w:tbl>
    <w:p>
      <w:pPr>
        <w:spacing w:after="220" w:before="80"/>
        <w:jc w:val="center"/>
      </w:pPr>
      <w:r>
        <w:rPr>
          <w:rFonts w:ascii="Calibri" w:cs="Calibri" w:eastAsia="Calibri" w:hAnsi="Calibri"/>
          <w:i/>
          <w:iCs/>
          <w:color w:val="595959"/>
          <w:sz w:val="18"/>
          <w:szCs w:val="18"/>
        </w:rPr>
        <w:t xml:space="preserve">Table 13.5 — Total disk and memory</w:t>
      </w:r>
    </w:p>
    <w:p>
      <w:pPr>
        <w:spacing w:after="120" w:before="0" w:line="276"/>
      </w:pPr>
      <w:r>
        <w:rPr>
          <w:rFonts w:ascii="Calibri" w:cs="Calibri" w:eastAsia="Calibri" w:hAnsi="Calibri"/>
          <w:sz w:val="21"/>
          <w:szCs w:val="21"/>
        </w:rPr>
        <w:t xml:space="preserve">Index overhead is 39.6% of data volume network-wide (40.3% for the core alone), essentially all of it the GATE_MOVE B+ trees. With the availability standbys of Section 11.7, fragment storage doubles to roughly 8 GB.</w:t>
      </w:r>
    </w:p>
    <w:p>
      <w:pPr>
        <w:pStyle w:val="Heading2"/>
        <w:spacing w:after="120" w:before="260"/>
      </w:pPr>
      <w:r>
        <w:rPr>
          <w:rFonts w:ascii="Calibri" w:cs="Calibri" w:eastAsia="Calibri" w:hAnsi="Calibri"/>
          <w:b/>
          <w:bCs/>
          <w:color w:val="1F3864"/>
          <w:sz w:val="25"/>
          <w:szCs w:val="25"/>
        </w:rPr>
        <w:t xml:space="preserve">13.5 Response time per query</w:t>
      </w:r>
    </w:p>
    <w:p>
      <w:pPr>
        <w:spacing w:after="120" w:before="0" w:line="276"/>
      </w:pPr>
      <w:r>
        <w:rPr>
          <w:rFonts w:ascii="Calibri" w:cs="Calibri" w:eastAsia="Calibri" w:hAnsi="Calibri"/>
          <w:sz w:val="21"/>
          <w:szCs w:val="21"/>
        </w:rPr>
        <w:t xml:space="preserve">Computation time is treated as negligible against I/O — the premise of the topic selection, and justified quantitatively by Section 13.1: even the cheapest operation here is a 12 ms disk access, orders of magnitude above the per-tuple CPU cost of a hash probe.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166"/>
        <w:gridCol w:w="993"/>
        <w:gridCol w:w="993"/>
        <w:gridCol w:w="993"/>
        <w:gridCol w:w="993"/>
        <w:gridCol w:w="2888"/>
      </w:tblGrid>
      <w:tr>
        <w:trPr>
          <w:tblHeader/>
        </w:trPr>
        <w:tc>
          <w:tcPr>
            <w:tcW w:type="dxa" w:w="2166"/>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Query</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S1</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S2</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S3</w:t>
            </w:r>
          </w:p>
        </w:tc>
        <w:tc>
          <w:tcPr>
            <w:tcW w:type="dxa" w:w="993"/>
            <w:shd w:fill="F2F2F2" w:val="clear"/>
            <w:tcMar>
              <w:top w:type="dxa" w:w="50"/>
              <w:left w:type="dxa" w:w="80"/>
              <w:bottom w:type="dxa" w:w="50"/>
              <w:right w:type="dxa" w:w="80"/>
            </w:tcMar>
          </w:tcPr>
          <w:p>
            <w:pPr>
              <w:spacing w:after="0" w:before="0"/>
              <w:jc w:val="right"/>
            </w:pPr>
            <w:r>
              <w:rPr>
                <w:rFonts w:ascii="Calibri" w:cs="Calibri" w:eastAsia="Calibri" w:hAnsi="Calibri"/>
                <w:b/>
                <w:bCs/>
                <w:sz w:val="15"/>
                <w:szCs w:val="15"/>
              </w:rPr>
              <w:t xml:space="preserve">S4</w:t>
            </w:r>
          </w:p>
        </w:tc>
        <w:tc>
          <w:tcPr>
            <w:tcW w:type="dxa" w:w="288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Notes</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Q1  Yard inventory</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124</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231</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189</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124</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only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Q2  Hazmat check</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107</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225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177</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107</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only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Q3  Clearance backlog</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77</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165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130</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77</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only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Q4  Vessels at berth</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25</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only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Q5  Yard occupancy</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212</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165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95</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only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Q7  Discharge per line</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89</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156</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129</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89</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only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Q6  Duty by consignee</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217</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211</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221</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226</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four sites in parallel</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577</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581</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579</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593</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if executed serially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Q8  Demurrage exposure</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620</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615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625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629</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four sites in parallel</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1,604</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1,608</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1,606</w:t>
            </w:r>
          </w:p>
        </w:tc>
        <w:tc>
          <w:tcPr>
            <w:tcW w:type="dxa" w:w="993"/>
            <w:tcMar>
              <w:top w:type="dxa" w:w="50"/>
              <w:left w:type="dxa" w:w="80"/>
              <w:bottom w:type="dxa" w:w="50"/>
              <w:right w:type="dxa" w:w="80"/>
            </w:tcMar>
          </w:tcPr>
          <w:p>
            <w:pPr>
              <w:spacing w:after="0" w:before="0"/>
              <w:jc w:val="right"/>
            </w:pPr>
            <w:r>
              <w:rPr>
                <w:rFonts w:ascii="Calibri" w:cs="Calibri" w:eastAsia="Calibri" w:hAnsi="Calibri"/>
                <w:b w:val="false"/>
                <w:bCs w:val="false"/>
                <w:sz w:val="15"/>
                <w:szCs w:val="15"/>
              </w:rPr>
              <w:t xml:space="preserve">1,620</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if executed serially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Q9  Cargo in custody</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361</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365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355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368</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four different sub-queries in parallel (Section 12.9)</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675</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679</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677</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691</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if executed serially</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U1  Record gate movement</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72</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72</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72</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72</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 CONTAINER_G probe + GATE_MOVE insert</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U2  Reassign yard slot</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108</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108</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108</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108</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w:t>
            </w:r>
          </w:p>
        </w:tc>
      </w:tr>
      <w:tr>
        <w:trPr>
          <w:tblHeader w:val="false"/>
        </w:trPr>
        <w:tc>
          <w:tcPr>
            <w:tcW w:type="dxa" w:w="216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U3  Clear customs</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144</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144</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144</w:t>
            </w:r>
          </w:p>
        </w:tc>
        <w:tc>
          <w:tcPr>
            <w:tcW w:type="dxa" w:w="993"/>
            <w:tcMar>
              <w:top w:type="dxa" w:w="50"/>
              <w:left w:type="dxa" w:w="80"/>
              <w:bottom w:type="dxa" w:w="50"/>
              <w:right w:type="dxa" w:w="80"/>
            </w:tcMar>
          </w:tcPr>
          <w:p>
            <w:pPr>
              <w:spacing w:after="0" w:before="0"/>
              <w:jc w:val="right"/>
            </w:pPr>
            <w:r>
              <w:rPr>
                <w:rFonts w:ascii="Consolas" w:cs="Consolas" w:eastAsia="Consolas" w:hAnsi="Consolas"/>
                <w:b w:val="false"/>
                <w:bCs w:val="false"/>
                <w:sz w:val="15"/>
                <w:szCs w:val="15"/>
              </w:rPr>
              <w:t xml:space="preserve">144</w:t>
            </w:r>
          </w:p>
        </w:tc>
        <w:tc>
          <w:tcPr>
            <w:tcW w:type="dxa" w:w="288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local</w:t>
            </w:r>
          </w:p>
        </w:tc>
      </w:tr>
    </w:tbl>
    <w:p>
      <w:pPr>
        <w:spacing w:after="220" w:before="80"/>
        <w:jc w:val="center"/>
      </w:pPr>
      <w:r>
        <w:rPr>
          <w:rFonts w:ascii="Calibri" w:cs="Calibri" w:eastAsia="Calibri" w:hAnsi="Calibri"/>
          <w:i/>
          <w:iCs/>
          <w:color w:val="595959"/>
          <w:sz w:val="18"/>
          <w:szCs w:val="18"/>
        </w:rPr>
        <w:t xml:space="preserve">Table 13.6 — End-to-end response time (ms)</w:t>
      </w:r>
    </w:p>
    <w:p>
      <w:pPr>
        <w:spacing w:after="120" w:before="0" w:line="276"/>
      </w:pPr>
      <w:r>
        <w:rPr>
          <w:rFonts w:ascii="Calibri" w:cs="Calibri" w:eastAsia="Calibri" w:hAnsi="Calibri"/>
          <w:sz w:val="21"/>
          <w:szCs w:val="21"/>
        </w:rPr>
        <w:t xml:space="preserve">A distributed query processor fans the sub-queries out concurrently, so the response time of Q6, Q8 and Q9 is the slowest site’s part plus one round trip, not the sum. Both rows are reported; the serial figures are the honest worst case if the fan-out is not implemented.</w:t>
      </w:r>
    </w:p>
    <w:p>
      <w:pPr>
        <w:spacing w:after="120" w:before="0" w:line="276"/>
      </w:pPr>
      <w:r>
        <w:rPr>
          <w:rFonts w:ascii="Calibri" w:cs="Calibri" w:eastAsia="Calibri" w:hAnsi="Calibri"/>
          <w:sz w:val="21"/>
          <w:szCs w:val="21"/>
        </w:rPr>
        <w:t xml:space="preserve">Q8 is the slowest query in the system at about 620 ms, dominated by S2’s part: a 118 ms scan of CONTAINER_C_2 to find the consignee’s containers, then 16 indexed GATE_MOVE lookups at 24 ms each. All updates are local — no two-phase commit, no distributed locking — which is the direct payoff of the fragmentation. U1, at 23,200 a day the most frequent transaction in the system, completes in 72 ms against a single site.</w:t>
      </w:r>
    </w:p>
    <w:p>
      <w:pPr>
        <w:pStyle w:val="Heading2"/>
        <w:spacing w:after="120" w:before="260"/>
      </w:pPr>
      <w:r>
        <w:rPr>
          <w:rFonts w:ascii="Calibri" w:cs="Calibri" w:eastAsia="Calibri" w:hAnsi="Calibri"/>
          <w:b/>
          <w:bCs/>
          <w:color w:val="1F3864"/>
          <w:sz w:val="25"/>
          <w:szCs w:val="25"/>
        </w:rPr>
        <w:t xml:space="preserve">13.6 Disk utilisation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2257"/>
        <w:gridCol w:w="2257"/>
        <w:gridCol w:w="2257"/>
        <w:gridCol w:w="2257"/>
      </w:tblGrid>
      <w:tr>
        <w:trPr>
          <w:tblHeader/>
        </w:trPr>
        <w:tc>
          <w:tcPr>
            <w:tcW w:type="dxa" w:w="2257"/>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Site</w:t>
            </w:r>
          </w:p>
        </w:tc>
        <w:tc>
          <w:tcPr>
            <w:tcW w:type="dxa" w:w="225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Busy time/day</w:t>
            </w:r>
          </w:p>
        </w:tc>
        <w:tc>
          <w:tcPr>
            <w:tcW w:type="dxa" w:w="225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of which local L1–L8</w:t>
            </w:r>
          </w:p>
        </w:tc>
        <w:tc>
          <w:tcPr>
            <w:tcW w:type="dxa" w:w="225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Utilisation</w:t>
            </w:r>
          </w:p>
        </w:tc>
      </w:tr>
      <w:tr>
        <w:trPr>
          <w:tblHeader w:val="false"/>
        </w:trPr>
        <w:tc>
          <w:tcPr>
            <w:tcW w:type="dxa" w:w="225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S1</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5.9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0.1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0.41%</w:t>
            </w:r>
          </w:p>
        </w:tc>
      </w:tr>
      <w:tr>
        <w:trPr>
          <w:tblHeader w:val="false"/>
        </w:trPr>
        <w:tc>
          <w:tcPr>
            <w:tcW w:type="dxa" w:w="225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S2</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26.0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2.8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1.81%</w:t>
            </w:r>
          </w:p>
        </w:tc>
      </w:tr>
      <w:tr>
        <w:trPr>
          <w:tblHeader w:val="false"/>
        </w:trPr>
        <w:tc>
          <w:tcPr>
            <w:tcW w:type="dxa" w:w="225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S3</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17.2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2.9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1.19%</w:t>
            </w:r>
          </w:p>
        </w:tc>
      </w:tr>
      <w:tr>
        <w:trPr>
          <w:tblHeader w:val="false"/>
        </w:trPr>
        <w:tc>
          <w:tcPr>
            <w:tcW w:type="dxa" w:w="2257"/>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S4</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4.4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0.0 min</w:t>
            </w:r>
          </w:p>
        </w:tc>
        <w:tc>
          <w:tcPr>
            <w:tcW w:type="dxa" w:w="225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0.30%</w:t>
            </w:r>
          </w:p>
        </w:tc>
      </w:tr>
    </w:tbl>
    <w:p>
      <w:pPr>
        <w:spacing w:after="220" w:before="80"/>
        <w:jc w:val="center"/>
      </w:pPr>
      <w:r>
        <w:rPr>
          <w:rFonts w:ascii="Calibri" w:cs="Calibri" w:eastAsia="Calibri" w:hAnsi="Calibri"/>
          <w:i/>
          <w:iCs/>
          <w:color w:val="595959"/>
          <w:sz w:val="18"/>
          <w:szCs w:val="18"/>
        </w:rPr>
        <w:t xml:space="preserve">Table 13.7 — Disk utilisation</w:t>
      </w:r>
    </w:p>
    <w:p>
      <w:pPr>
        <w:spacing w:after="120" w:before="0" w:line="276"/>
      </w:pPr>
      <w:r>
        <w:rPr>
          <w:rFonts w:ascii="Calibri" w:cs="Calibri" w:eastAsia="Calibri" w:hAnsi="Calibri"/>
          <w:sz w:val="21"/>
          <w:szCs w:val="21"/>
        </w:rPr>
        <w:t xml:space="preserve">At 1.81% peak utilisation the system could absorb roughly 55× this workload before the disk saturates. This does not contradict the I/O-bound claim of Section 1.4, and the distinction matters: I/O bound describes where the cost of each operation lies — every response time in Table 13.6 is disk time, with computation negligible — while utilisation describes whether the disk is saturated over time. This workload is I/O bound in character but nowhere near I/O saturated in volume.</w:t>
      </w:r>
    </w:p>
    <w:p>
      <w:pPr>
        <w:spacing w:after="120" w:before="0" w:line="276"/>
      </w:pPr>
      <w:r>
        <w:rPr>
          <w:rFonts w:ascii="Calibri" w:cs="Calibri" w:eastAsia="Calibri" w:hAnsi="Calibri"/>
          <w:sz w:val="21"/>
          <w:szCs w:val="21"/>
        </w:rPr>
        <w:t xml:space="preserve">The practical consequence is that the binding constraint on this design is response time, not throughput. That is why the effort went into access methods, which cut per-query latency, rather than into partitioning for parallel bandwidth — and why the 8 MB work area of Section 13.2 is worth spending: it buys latency, which is scarce, using memory, which is not.</w:t>
      </w:r>
    </w:p>
    <w:p>
      <w:r>
        <w:br w:type="page"/>
      </w:r>
    </w:p>
    <w:p>
      <w:pPr>
        <w:pStyle w:val="Heading2"/>
        <w:spacing w:after="120" w:before="260"/>
      </w:pPr>
      <w:r>
        <w:rPr>
          <w:rFonts w:ascii="Calibri" w:cs="Calibri" w:eastAsia="Calibri" w:hAnsi="Calibri"/>
          <w:b/>
          <w:bCs/>
          <w:color w:val="1F3864"/>
          <w:sz w:val="25"/>
          <w:szCs w:val="25"/>
        </w:rPr>
        <w:t xml:space="preserve">13.7 Sensitivity and limitations</w:t>
      </w:r>
    </w:p>
    <w:p>
      <w:pPr>
        <w:spacing w:after="120" w:before="0" w:line="276"/>
      </w:pPr>
      <w:r>
        <w:rPr>
          <w:rFonts w:ascii="Calibri" w:cs="Calibri" w:eastAsia="Calibri" w:hAnsi="Calibri"/>
          <w:sz w:val="21"/>
          <w:szCs w:val="21"/>
        </w:rPr>
        <w:t xml:space="preserve">Every figure in this report follows from the assumptions frozen in Sections 1, 3 and 10.1. Those assumptions are plausible and internally consistent — Appendix B verifies the consistency — but several are estimates, and a reader should know which ones carry a decision.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986"/>
        <w:gridCol w:w="1264"/>
        <w:gridCol w:w="2708"/>
        <w:gridCol w:w="3069"/>
      </w:tblGrid>
      <w:tr>
        <w:trPr>
          <w:tblHeader/>
        </w:trPr>
        <w:tc>
          <w:tcPr>
            <w:tcW w:type="dxa" w:w="1986"/>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Assumption</w:t>
            </w:r>
          </w:p>
        </w:tc>
        <w:tc>
          <w:tcPr>
            <w:tcW w:type="dxa" w:w="1264"/>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Value</w:t>
            </w:r>
          </w:p>
        </w:tc>
        <w:tc>
          <w:tcPr>
            <w:tcW w:type="dxa" w:w="2708"/>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What it decides</w:t>
            </w:r>
          </w:p>
        </w:tc>
        <w:tc>
          <w:tcPr>
            <w:tcW w:type="dxa" w:w="3069"/>
            <w:shd w:fill="F2F2F2" w:val="clear"/>
            <w:tcMar>
              <w:top w:type="dxa" w:w="50"/>
              <w:left w:type="dxa" w:w="80"/>
              <w:bottom w:type="dxa" w:w="50"/>
              <w:right w:type="dxa" w:w="80"/>
            </w:tcMar>
          </w:tcPr>
          <w:p>
            <w:pPr>
              <w:spacing w:after="0" w:before="0"/>
              <w:jc w:val="left"/>
            </w:pPr>
            <w:r>
              <w:rPr>
                <w:rFonts w:ascii="Calibri" w:cs="Calibri" w:eastAsia="Calibri" w:hAnsi="Calibri"/>
                <w:b/>
                <w:bCs/>
                <w:sz w:val="15"/>
                <w:szCs w:val="15"/>
              </w:rPr>
              <w:t xml:space="preserve">If wrong</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Query frequencies (Table 3.1)</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as tabulated</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Every Z value, benefit, cost and utilisation figure</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Relative magnitudes matter more than absolutes; the 6–15× replication bar is robust to uniform scaling</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Transshipment rate</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15%</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Migration volume, 6,160/day</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Below ~4% the immutable-attribute alternative in Section 9.12 becomes competitive</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CONSIGNEE_H update rate</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20/day</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Replica at S3 (now carried by L5)</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With L5 counted the S3 replica holds up to ~124 updates/day; S1 and S4 would need the rate below 3–5/day</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Moves per container transit</w:t>
            </w:r>
          </w:p>
        </w:tc>
        <w:tc>
          <w:tcPr>
            <w:tcW w:type="dxa" w:w="1264"/>
            <w:tcMar>
              <w:top w:type="dxa" w:w="50"/>
              <w:left w:type="dxa" w:w="80"/>
              <w:bottom w:type="dxa" w:w="50"/>
              <w:right w:type="dxa" w:w="80"/>
            </w:tcMar>
          </w:tcPr>
          <w:p>
            <w:pPr>
              <w:spacing w:after="0" w:before="0"/>
              <w:jc w:val="left"/>
            </w:pPr>
            <w:r>
              <w:rPr>
                <w:rFonts w:ascii="Consolas" w:cs="Consolas" w:eastAsia="Consolas" w:hAnsi="Consolas"/>
                <w:b w:val="false"/>
                <w:bCs w:val="false"/>
                <w:sz w:val="15"/>
                <w:szCs w:val="15"/>
              </w:rPr>
              <w:t xml:space="preserve">4</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Dwell time, yard population, migration volume</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Cross-checked against JNPT throughput in Appendix B; a value of 3 or 5 shifts dwell to 9.1 or 15.2 days</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Concurrency allowance</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4 heavy queries</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Every memory figure in Table 13.4</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Memory scales linearly; the work area itself is unaffected</w:t>
            </w:r>
          </w:p>
        </w:tc>
      </w:tr>
      <w:tr>
        <w:trPr>
          <w:tblHeader w:val="false"/>
        </w:trPr>
        <w:tc>
          <w:tcPr>
            <w:tcW w:type="dxa" w:w="1986"/>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Average seek time</w:t>
            </w:r>
          </w:p>
        </w:tc>
        <w:tc>
          <w:tcPr>
            <w:tcW w:type="dxa" w:w="1264"/>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8 ms</w:t>
            </w:r>
          </w:p>
        </w:tc>
        <w:tc>
          <w:tcPr>
            <w:tcW w:type="dxa" w:w="2708"/>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The remote/local ratio, and therefore all replication decisions</w:t>
            </w:r>
          </w:p>
        </w:tc>
        <w:tc>
          <w:tcPr>
            <w:tcW w:type="dxa" w:w="3069"/>
            <w:tcMar>
              <w:top w:type="dxa" w:w="50"/>
              <w:left w:type="dxa" w:w="80"/>
              <w:bottom w:type="dxa" w:w="50"/>
              <w:right w:type="dxa" w:w="80"/>
            </w:tcMar>
          </w:tcPr>
          <w:p>
            <w:pPr>
              <w:spacing w:after="0" w:before="0"/>
              <w:jc w:val="left"/>
            </w:pPr>
            <w:r>
              <w:rPr>
                <w:rFonts w:ascii="Calibri" w:cs="Calibri" w:eastAsia="Calibri" w:hAnsi="Calibri"/>
                <w:b w:val="false"/>
                <w:bCs w:val="false"/>
                <w:sz w:val="15"/>
                <w:szCs w:val="15"/>
              </w:rPr>
              <w:t xml:space="preserve">On SSDs the ratio exceeds 50× and replication becomes attractive — see Section 10.8</w:t>
            </w:r>
          </w:p>
        </w:tc>
      </w:tr>
    </w:tbl>
    <w:p>
      <w:pPr>
        <w:spacing w:after="220" w:before="80"/>
        <w:jc w:val="center"/>
      </w:pPr>
      <w:r>
        <w:rPr>
          <w:rFonts w:ascii="Calibri" w:cs="Calibri" w:eastAsia="Calibri" w:hAnsi="Calibri"/>
          <w:i/>
          <w:iCs/>
          <w:color w:val="595959"/>
          <w:sz w:val="18"/>
          <w:szCs w:val="18"/>
        </w:rPr>
        <w:t xml:space="preserve">Table 13.8 — Assumptions that carry a decision</w:t>
      </w:r>
    </w:p>
    <w:p>
      <w:pPr>
        <w:spacing w:after="120" w:before="0" w:line="276"/>
      </w:pPr>
      <w:r>
        <w:rPr>
          <w:rFonts w:ascii="Calibri" w:cs="Calibri" w:eastAsia="Calibri" w:hAnsi="Calibri"/>
          <w:sz w:val="21"/>
          <w:szCs w:val="21"/>
        </w:rPr>
        <w:t xml:space="preserve">Two further limitations of the analysis itself. Response times assume a query has the disk to itself; at 1.81% utilisation the queueing error is small, but it is not modelled. And the outputs are quoted at the precision the arithmetic produces (Z = 106,932,375) rather than the precision the inputs support — the leading two or three digits are meaningful, the rest are an artefact of exact computation on estimated inputs.</w:t>
      </w:r>
    </w:p>
    <w:p>
      <w:r>
        <w:br w:type="page"/>
      </w:r>
    </w:p>
    <w:p>
      <w:pPr>
        <w:pStyle w:val="Heading1"/>
        <w:spacing w:after="180" w:before="360"/>
      </w:pPr>
      <w:r>
        <w:rPr>
          <w:rFonts w:ascii="Calibri" w:cs="Calibri" w:eastAsia="Calibri" w:hAnsi="Calibri"/>
          <w:b/>
          <w:bCs/>
          <w:color w:val="1F3864"/>
          <w:sz w:val="30"/>
          <w:szCs w:val="30"/>
        </w:rPr>
        <w:t xml:space="preserve">14. Conclusion</w:t>
      </w:r>
    </w:p>
    <w:p>
      <w:pPr>
        <w:spacing w:after="120" w:before="0" w:line="276"/>
      </w:pPr>
      <w:r>
        <w:rPr>
          <w:rFonts w:ascii="Calibri" w:cs="Calibri" w:eastAsia="Calibri" w:hAnsi="Calibri"/>
          <w:sz w:val="21"/>
          <w:szCs w:val="21"/>
        </w:rPr>
        <w:t xml:space="preserve">The design gives a four-port network four different database schemas built around one shared core. The core is partitioned into 48 fragments and 9 unfragmented relations; each port adds its own site-only relations, ten in all; and a Global-As-View mapping integrates the four schemas for network-wide queries. The whole occupies 4,091 MB, and 97.13% of global accesses are served locally.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30"/>
        <w:gridCol w:w="5596"/>
      </w:tblGrid>
      <w:tr>
        <w:trPr>
          <w:tblHeader/>
        </w:trPr>
        <w:tc>
          <w:tcPr>
            <w:tcW w:type="dxa" w:w="3430"/>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Result</w:t>
            </w:r>
          </w:p>
        </w:tc>
        <w:tc>
          <w:tcPr>
            <w:tcW w:type="dxa" w:w="5596"/>
            <w:shd w:fill="F2F2F2" w:val="clear"/>
            <w:tcMar>
              <w:top w:type="dxa" w:w="50"/>
              <w:left w:type="dxa" w:w="80"/>
              <w:bottom w:type="dxa" w:w="50"/>
              <w:right w:type="dxa" w:w="80"/>
            </w:tcMar>
          </w:tcPr>
          <w:p>
            <w:pPr>
              <w:spacing w:after="0" w:before="0"/>
              <w:jc w:val="left"/>
            </w:pPr>
            <w:r>
              <w:rPr>
                <w:rFonts w:ascii="Calibri" w:cs="Calibri" w:eastAsia="Calibri" w:hAnsi="Calibri"/>
                <w:b/>
                <w:bCs/>
                <w:sz w:val="17"/>
                <w:szCs w:val="17"/>
              </w:rPr>
              <w:t xml:space="preserve">Value</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Sites</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 (New Mangalore, JNPT, Chennai, Kolkata/Haldia)</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Relations after 3NF</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29: 19 global + 10 site-only</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Local Conceptual Schemas</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 pairwise different (18, 25, 19 and 18 relations); integrated by GAV export views</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Fragments</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48 (12 families × 4 sites) + 9 unfragmented relations</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Database size</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4,091 MB, of which GATE_MOVE is 94.4% of data blocks</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Workload locality</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97.13% of global accesses local; 97.53% counting local transactions</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Best vertical split (CONTAINER)</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Z = 106,932,375, verified optimal over all 4,094 partitions</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Index speed-up on GATE_MOVE</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181× lookup, at a 17× return on maintenance cost</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Work area space</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7.97 MB, buying a 37,398× speed-up on Q5</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Value of cost computation</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benefit-only allocation would be wrong by 4,970 : 1</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Slowest query</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Q8 demurrage, 620 ms across four sites in parallel</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Most frequent transaction</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U1 gate move, 72 ms, entirely local</w:t>
            </w:r>
          </w:p>
        </w:tc>
      </w:tr>
      <w:tr>
        <w:trPr>
          <w:tblHeader w:val="false"/>
        </w:trPr>
        <w:tc>
          <w:tcPr>
            <w:tcW w:type="dxa" w:w="3430"/>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Peak disk utilisation</w:t>
            </w:r>
          </w:p>
        </w:tc>
        <w:tc>
          <w:tcPr>
            <w:tcW w:type="dxa" w:w="5596"/>
            <w:tcMar>
              <w:top w:type="dxa" w:w="50"/>
              <w:left w:type="dxa" w:w="80"/>
              <w:bottom w:type="dxa" w:w="50"/>
              <w:right w:type="dxa" w:w="80"/>
            </w:tcMar>
          </w:tcPr>
          <w:p>
            <w:pPr>
              <w:spacing w:after="0" w:before="0"/>
              <w:jc w:val="left"/>
            </w:pPr>
            <w:r>
              <w:rPr>
                <w:rFonts w:ascii="Calibri" w:cs="Calibri" w:eastAsia="Calibri" w:hAnsi="Calibri"/>
                <w:b w:val="false"/>
                <w:bCs w:val="false"/>
                <w:sz w:val="17"/>
                <w:szCs w:val="17"/>
              </w:rPr>
              <w:t xml:space="preserve">1.81% at S2</w:t>
            </w:r>
          </w:p>
        </w:tc>
      </w:tr>
    </w:tbl>
    <w:p>
      <w:pPr>
        <w:spacing w:after="220" w:before="80"/>
        <w:jc w:val="center"/>
      </w:pPr>
      <w:r>
        <w:rPr>
          <w:rFonts w:ascii="Calibri" w:cs="Calibri" w:eastAsia="Calibri" w:hAnsi="Calibri"/>
          <w:i/>
          <w:iCs/>
          <w:color w:val="595959"/>
          <w:sz w:val="18"/>
          <w:szCs w:val="18"/>
        </w:rPr>
        <w:t xml:space="preserve">Table 14.1 — Headline results</w:t>
      </w:r>
    </w:p>
    <w:p>
      <w:pPr>
        <w:spacing w:after="120" w:before="0" w:line="276"/>
      </w:pPr>
      <w:r>
        <w:rPr>
          <w:rFonts w:ascii="Calibri" w:cs="Calibri" w:eastAsia="Calibri" w:hAnsi="Calibri"/>
          <w:sz w:val="21"/>
          <w:szCs w:val="21"/>
        </w:rPr>
        <w:t xml:space="preserve">Five findings are worth restating. First, the primary key must be excluded from the BEA analysis: including it drives Z below zero at every split point, which is an artefact of an attribute replicated into both fragments by construction rather than a property of the data. Second, BEA searches only contiguous cuts of the clustered order, and exhaustive evaluation of all 4,094 partitions found a split 4% better and considerably more interpretable. Third, and most consequential for the allocation, a remote read in this system costs only 1.15× to 1.41× a local read, because disk access dominates network latency — so replication must clear a bar of 6 to 15 reads per update, and almost nothing does. Fourth, recorded in Section 10.7: the 1,148 MB index on GATE_MOVE exists only because the schema stores no immutable discharge timestamp — eight bytes on CONTAINER_C would replace it at 287 times lower cost, which is a reminder that optimising an access path is not the same as asking whether the schema should have made the query cheap. Fifth, from Section 12: letting each port design its own extension, under the rule that no extension may alter a core relation, left every core decision intact — and yet the local workload still reached back into the global design, turning the one close allocation call into a clear replica of CONSIGNEE_H at S3. Heterogeneity is not free, but with the right boundary it is cheap.</w:t>
      </w:r>
    </w:p>
    <w:p>
      <w:r>
        <w:br w:type="page"/>
      </w:r>
    </w:p>
    <w:p>
      <w:pPr>
        <w:pStyle w:val="Heading1"/>
        <w:spacing w:after="180" w:before="360"/>
      </w:pPr>
      <w:r>
        <w:rPr>
          <w:rFonts w:ascii="Calibri" w:cs="Calibri" w:eastAsia="Calibri" w:hAnsi="Calibri"/>
          <w:b/>
          <w:bCs/>
          <w:color w:val="1F3864"/>
          <w:sz w:val="30"/>
          <w:szCs w:val="30"/>
        </w:rPr>
        <w:t xml:space="preserve">Appendix A — Amendments</w:t>
      </w:r>
    </w:p>
    <w:p>
      <w:pPr>
        <w:spacing w:after="120" w:before="0" w:line="276"/>
      </w:pPr>
      <w:r>
        <w:rPr>
          <w:rFonts w:ascii="Calibri" w:cs="Calibri" w:eastAsia="Calibri" w:hAnsi="Calibri"/>
          <w:sz w:val="21"/>
          <w:szCs w:val="21"/>
        </w:rPr>
        <w:t xml:space="preserve">Three corrections were made after the assumptions were frozen (A1, A2, B1). Each was found by a later phase exercising those assumptions, and each landed before the phase that consumed it, so no downstream work was invalidated. Three more (C1–C3) were made when the design was extended with heterogeneous local schemas, after it had been completed; their effect on earlier sections is stated in each case.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42"/>
        <w:gridCol w:w="1625"/>
        <w:gridCol w:w="3610"/>
        <w:gridCol w:w="3249"/>
      </w:tblGrid>
      <w:tr>
        <w:trPr>
          <w:tblHeader/>
        </w:trPr>
        <w:tc>
          <w:tcPr>
            <w:tcW w:type="dxa" w:w="542"/>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w:t>
            </w:r>
          </w:p>
        </w:tc>
        <w:tc>
          <w:tcPr>
            <w:tcW w:type="dxa" w:w="162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Found in</w:t>
            </w:r>
          </w:p>
        </w:tc>
        <w:tc>
          <w:tcPr>
            <w:tcW w:type="dxa" w:w="3610"/>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Correction</w:t>
            </w:r>
          </w:p>
        </w:tc>
        <w:tc>
          <w:tcPr>
            <w:tcW w:type="dxa" w:w="3249"/>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Impact</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A1</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Logical design</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CONTAINER gains voyage_id — Q7 joins to VOYAGE but had no foreign key</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Record 72 → 76 B; attribute set extends to A13; strengthens query class C</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A2</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Logical design</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PORT is an entity from the EER, not a 3NF artefact</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3NF work reduced to HS_CODE_MASTER</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B1</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System spec</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YARD_SLOT 60,000 → 550,000 — only 12% of resident containers could have occupied a slot</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F4 558 → 5,105 blocks (+18.6 MB); WAS rises to 7.97 MB</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C1</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Heterogeneous extension</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Ten site-only relations, local transactions L1–L8 and the integrated query Q9 added (Section 12)</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Split unchanged, Z → 106,932,375; locality 97.13%; +19,599 blocks</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C2</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Heterogeneous extension</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CONSIGNEE_H replicated to S3 — L5 reads it 960 times a day</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+430 blocks at S3; S3 keeps communication autonomy for L5</w:t>
            </w:r>
          </w:p>
        </w:tc>
      </w:tr>
      <w:tr>
        <w:trPr>
          <w:tblHeader w:val="false"/>
        </w:trPr>
        <w:tc>
          <w:tcPr>
            <w:tcW w:type="dxa" w:w="542"/>
            <w:tcMar>
              <w:top w:type="dxa" w:w="50"/>
              <w:left w:type="dxa" w:w="80"/>
              <w:bottom w:type="dxa" w:w="50"/>
              <w:right w:type="dxa" w:w="80"/>
            </w:tcMar>
          </w:tcPr>
          <w:p>
            <w:pPr>
              <w:spacing w:after="0" w:before="0"/>
              <w:jc w:val="left"/>
            </w:pPr>
            <w:r>
              <w:rPr>
                <w:rFonts w:ascii="Consolas" w:cs="Consolas" w:eastAsia="Consolas" w:hAnsi="Consolas"/>
                <w:b w:val="false"/>
                <w:bCs w:val="false"/>
                <w:sz w:val="16"/>
                <w:szCs w:val="16"/>
              </w:rPr>
              <w:t xml:space="preserve">C3</w:t>
            </w:r>
          </w:p>
        </w:tc>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Heterogeneous extension</w:t>
            </w:r>
          </w:p>
        </w:tc>
        <w:tc>
          <w:tcPr>
            <w:tcW w:type="dxa" w:w="3610"/>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GATE_MOVE.cont_id declared a logical reference — history outlives the CONTAINER row</w:t>
            </w:r>
          </w:p>
        </w:tc>
        <w:tc>
          <w:tcPr>
            <w:tcW w:type="dxa" w:w="3249"/>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Table 7.2 note; no change to storage or timings</w:t>
            </w:r>
          </w:p>
        </w:tc>
      </w:tr>
    </w:tbl>
    <w:p>
      <w:pPr>
        <w:spacing w:after="220" w:before="80"/>
        <w:jc w:val="center"/>
      </w:pPr>
      <w:r>
        <w:rPr>
          <w:rFonts w:ascii="Calibri" w:cs="Calibri" w:eastAsia="Calibri" w:hAnsi="Calibri"/>
          <w:i/>
          <w:iCs/>
          <w:color w:val="595959"/>
          <w:sz w:val="18"/>
          <w:szCs w:val="18"/>
        </w:rPr>
        <w:t xml:space="preserve">Table A.1 — Amendments to the frozen assumptions</w:t>
      </w:r>
    </w:p>
    <w:p>
      <w:pPr>
        <w:spacing w:after="120" w:before="0" w:line="276"/>
      </w:pPr>
      <w:r>
        <w:rPr>
          <w:rFonts w:ascii="Calibri" w:cs="Calibri" w:eastAsia="Calibri" w:hAnsi="Calibri"/>
          <w:sz w:val="21"/>
          <w:szCs w:val="21"/>
        </w:rPr>
        <w:t xml:space="preserve">Amendment B1 was settled by a cross-check against real throughput: JNPT handles 6,000,000 TEU a year, and at the 12.2-day average dwell derived in Section 9.12 that puts 200,548 containers in the yard — against the 200,000 assigned to S2. CONTAINER was right and YARD_SLOT was under-specified by roughly nine times.</w:t>
      </w:r>
    </w:p>
    <w:p>
      <w:pPr>
        <w:pStyle w:val="Heading1"/>
        <w:spacing w:after="180" w:before="360"/>
      </w:pPr>
      <w:r>
        <w:rPr>
          <w:rFonts w:ascii="Calibri" w:cs="Calibri" w:eastAsia="Calibri" w:hAnsi="Calibri"/>
          <w:b/>
          <w:bCs/>
          <w:color w:val="1F3864"/>
          <w:sz w:val="30"/>
          <w:szCs w:val="30"/>
        </w:rPr>
        <w:t xml:space="preserve">Appendix B — Verification</w:t>
      </w:r>
    </w:p>
    <w:p>
      <w:pPr>
        <w:spacing w:after="120" w:before="0" w:line="276"/>
      </w:pPr>
      <w:r>
        <w:rPr>
          <w:rFonts w:ascii="Calibri" w:cs="Calibri" w:eastAsia="Calibri" w:hAnsi="Calibri"/>
          <w:sz w:val="21"/>
          <w:szCs w:val="21"/>
        </w:rPr>
        <w:t xml:space="preserve">Every derived figure was recomputed from the frozen assumptions by an independent script and compared against what each section claims — 87 automated checks, 44 of them added for the heterogeneous extension.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5055"/>
        <w:gridCol w:w="1625"/>
        <w:gridCol w:w="2347"/>
      </w:tblGrid>
      <w:tr>
        <w:trPr>
          <w:tblHeader/>
        </w:trPr>
        <w:tc>
          <w:tcPr>
            <w:tcW w:type="dxa" w:w="505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Category</w:t>
            </w:r>
          </w:p>
        </w:tc>
        <w:tc>
          <w:tcPr>
            <w:tcW w:type="dxa" w:w="1625"/>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Checks</w:t>
            </w:r>
          </w:p>
        </w:tc>
        <w:tc>
          <w:tcPr>
            <w:tcW w:type="dxa" w:w="2347"/>
            <w:shd w:fill="F2F2F2" w:val="clear"/>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Result</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Record sizes recomputed from attribute lists</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19</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19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Vertical fragmentation completeness, disjointness, overhead</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Per-site tuple counts sum to relation totals</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10</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10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Derived constants (Tr, Td, Tp, random access)</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5</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5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Internal coherence of the workload assumptions</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Local relations: record sizes, blocks, index blocks, RoRo B+ tree</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31</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31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Local Conceptual Schemas pairwise different (6 pairs)</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6</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6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Executable prototype: common core identical, four schemas different, uniform export shape</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3</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3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Storage, GATE_MOVE share and locality restated with the extension</w:t>
            </w:r>
          </w:p>
        </w:tc>
        <w:tc>
          <w:tcPr>
            <w:tcW w:type="dxa" w:w="1625"/>
            <w:tcMar>
              <w:top w:type="dxa" w:w="50"/>
              <w:left w:type="dxa" w:w="80"/>
              <w:bottom w:type="dxa" w:w="50"/>
              <w:right w:type="dxa" w:w="80"/>
            </w:tcMar>
          </w:tcPr>
          <w:p>
            <w:pPr>
              <w:spacing w:after="0" w:before="0"/>
              <w:jc w:val="right"/>
            </w:pPr>
            <w:r>
              <w:rPr>
                <w:rFonts w:ascii="Consolas" w:cs="Consolas" w:eastAsia="Consolas" w:hAnsi="Consolas"/>
                <w:b w:val="false"/>
                <w:bCs w:val="false"/>
                <w:sz w:val="16"/>
                <w:szCs w:val="16"/>
              </w:rPr>
              <w:t xml:space="preserve">4</w:t>
            </w:r>
          </w:p>
        </w:tc>
        <w:tc>
          <w:tcPr>
            <w:tcW w:type="dxa" w:w="2347"/>
            <w:tcMar>
              <w:top w:type="dxa" w:w="50"/>
              <w:left w:type="dxa" w:w="80"/>
              <w:bottom w:type="dxa" w:w="50"/>
              <w:right w:type="dxa" w:w="80"/>
            </w:tcMar>
          </w:tcPr>
          <w:p>
            <w:pPr>
              <w:spacing w:after="0" w:before="0"/>
              <w:jc w:val="right"/>
            </w:pPr>
            <w:r>
              <w:rPr>
                <w:rFonts w:ascii="Calibri" w:cs="Calibri" w:eastAsia="Calibri" w:hAnsi="Calibri"/>
                <w:b w:val="false"/>
                <w:bCs w:val="false"/>
                <w:sz w:val="16"/>
                <w:szCs w:val="16"/>
              </w:rPr>
              <w:t xml:space="preserve">4 PASS</w:t>
            </w:r>
          </w:p>
        </w:tc>
      </w:tr>
      <w:tr>
        <w:trPr>
          <w:tblHeader w:val="false"/>
        </w:trPr>
        <w:tc>
          <w:tcPr>
            <w:tcW w:type="dxa" w:w="5055"/>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Total</w:t>
            </w:r>
          </w:p>
        </w:tc>
        <w:tc>
          <w:tcPr>
            <w:tcW w:type="dxa" w:w="1625"/>
            <w:tcMar>
              <w:top w:type="dxa" w:w="50"/>
              <w:left w:type="dxa" w:w="80"/>
              <w:bottom w:type="dxa" w:w="50"/>
              <w:right w:type="dxa" w:w="80"/>
            </w:tcMar>
          </w:tcPr>
          <w:p>
            <w:pPr>
              <w:spacing w:after="0" w:before="0"/>
              <w:jc w:val="right"/>
            </w:pPr>
            <w:r>
              <w:rPr>
                <w:rFonts w:ascii="Consolas" w:cs="Consolas" w:eastAsia="Consolas" w:hAnsi="Consolas"/>
                <w:b/>
                <w:bCs/>
                <w:sz w:val="16"/>
                <w:szCs w:val="16"/>
              </w:rPr>
              <w:t xml:space="preserve">87</w:t>
            </w:r>
          </w:p>
        </w:tc>
        <w:tc>
          <w:tcPr>
            <w:tcW w:type="dxa" w:w="2347"/>
            <w:tcMar>
              <w:top w:type="dxa" w:w="50"/>
              <w:left w:type="dxa" w:w="80"/>
              <w:bottom w:type="dxa" w:w="50"/>
              <w:right w:type="dxa" w:w="80"/>
            </w:tcMar>
          </w:tcPr>
          <w:p>
            <w:pPr>
              <w:spacing w:after="0" w:before="0"/>
              <w:jc w:val="right"/>
            </w:pPr>
            <w:r>
              <w:rPr>
                <w:rFonts w:ascii="Calibri" w:cs="Calibri" w:eastAsia="Calibri" w:hAnsi="Calibri"/>
                <w:b/>
                <w:bCs/>
                <w:sz w:val="16"/>
                <w:szCs w:val="16"/>
              </w:rPr>
              <w:t xml:space="preserve">87 PASS</w:t>
            </w:r>
          </w:p>
        </w:tc>
      </w:tr>
    </w:tbl>
    <w:p>
      <w:pPr>
        <w:spacing w:after="220" w:before="80"/>
        <w:jc w:val="center"/>
      </w:pPr>
      <w:r>
        <w:rPr>
          <w:rFonts w:ascii="Calibri" w:cs="Calibri" w:eastAsia="Calibri" w:hAnsi="Calibri"/>
          <w:i/>
          <w:iCs/>
          <w:color w:val="595959"/>
          <w:sz w:val="18"/>
          <w:szCs w:val="18"/>
        </w:rPr>
        <w:t xml:space="preserve">Table B.1 — Verification results</w:t>
      </w:r>
    </w:p>
    <w:p>
      <w:pPr>
        <w:spacing w:after="120" w:before="0" w:line="276"/>
      </w:pPr>
      <w:r>
        <w:rPr>
          <w:rFonts w:ascii="Calibri" w:cs="Calibri" w:eastAsia="Calibri" w:hAnsi="Calibri"/>
          <w:sz w:val="21"/>
          <w:szCs w:val="21"/>
        </w:rPr>
        <w:t xml:space="preserve">The coherence checks establish that the assumptions are a consistent picture rather than independent guesses:</w:t>
      </w:r>
    </w:p>
    <w:p>
      <w:pPr>
        <w:spacing w:after="0" w:before="80"/>
        <w:ind w:left="340"/>
      </w:pPr>
      <w:r>
        <w:rPr>
          <w:rFonts w:ascii="Consolas" w:cs="Consolas" w:eastAsia="Consolas" w:hAnsi="Consolas"/>
          <w:color w:val="333333"/>
          <w:sz w:val="17"/>
          <w:szCs w:val="17"/>
        </w:rPr>
        <w:t xml:space="preserve">60,000,000 gate moves/yr / 4 per transit = 15,000,000 transits/yr = 41,096/day</w:t>
      </w:r>
    </w:p>
    <w:p>
      <w:pPr>
        <w:spacing w:after="140" w:before="0"/>
        <w:ind w:left="340"/>
      </w:pPr>
      <w:r>
        <w:rPr>
          <w:rFonts w:ascii="Consolas" w:cs="Consolas" w:eastAsia="Consolas" w:hAnsi="Consolas"/>
          <w:color w:val="333333"/>
          <w:sz w:val="17"/>
          <w:szCs w:val="17"/>
        </w:rPr>
        <w:t xml:space="preserve">500,000 resident containers / 41,096 per day = 12.2 days average dwell</w:t>
      </w:r>
    </w:p>
    <w:p>
      <w:pPr>
        <w:pStyle w:val="ListParagraph"/>
        <w:numPr>
          <w:ilvl w:val="0"/>
          <w:numId w:val="1"/>
        </w:numPr>
        <w:spacing w:after="70" w:line="276"/>
      </w:pPr>
      <w:r>
        <w:rPr>
          <w:rFonts w:ascii="Calibri" w:cs="Calibri" w:eastAsia="Calibri" w:hAnsi="Calibri"/>
          <w:sz w:val="21"/>
          <w:szCs w:val="21"/>
        </w:rPr>
        <w:t xml:space="preserve">12.2 days exceeds the 5-day free period, so Q8 has a real population to measure.</w:t>
      </w:r>
    </w:p>
    <w:p>
      <w:pPr>
        <w:pStyle w:val="ListParagraph"/>
        <w:numPr>
          <w:ilvl w:val="0"/>
          <w:numId w:val="1"/>
        </w:numPr>
        <w:spacing w:after="70" w:line="276"/>
      </w:pPr>
      <w:r>
        <w:rPr>
          <w:rFonts w:ascii="Calibri" w:cs="Calibri" w:eastAsia="Calibri" w:hAnsi="Calibri"/>
          <w:sz w:val="21"/>
          <w:szCs w:val="21"/>
        </w:rPr>
        <w:t xml:space="preserve">JNPT at 6M TEU/yr and 12.2 days dwell gives 200,000 containers in yard, against the 200,000 assigned to S2 — agreement to 0.0%.</w:t>
      </w:r>
    </w:p>
    <w:p>
      <w:pPr>
        <w:pStyle w:val="ListParagraph"/>
        <w:numPr>
          <w:ilvl w:val="0"/>
          <w:numId w:val="1"/>
        </w:numPr>
        <w:spacing w:after="70" w:line="276"/>
      </w:pPr>
      <w:r>
        <w:rPr>
          <w:rFonts w:ascii="Calibri" w:cs="Calibri" w:eastAsia="Calibri" w:hAnsi="Calibri"/>
          <w:sz w:val="21"/>
          <w:szCs w:val="21"/>
        </w:rPr>
        <w:t xml:space="preserve">550,000 yard slots exceed 500,000 resident containers — 91% occupancy, leaving working headroom.</w:t>
      </w:r>
    </w:p>
    <w:p>
      <w:pPr>
        <w:pStyle w:val="ListParagraph"/>
        <w:numPr>
          <w:ilvl w:val="0"/>
          <w:numId w:val="1"/>
        </w:numPr>
        <w:spacing w:after="70" w:line="276"/>
      </w:pPr>
      <w:r>
        <w:rPr>
          <w:rFonts w:ascii="Calibri" w:cs="Calibri" w:eastAsia="Calibri" w:hAnsi="Calibri"/>
          <w:sz w:val="21"/>
          <w:szCs w:val="21"/>
        </w:rPr>
        <w:t xml:space="preserve">GATE_MOVE is 96.8% of the core data blocks and 94.4% including the site-only relations, confirming the I/O-bound topic selection against the finished design.</w:t>
      </w:r>
    </w:p>
    <w:p>
      <w:pPr>
        <w:spacing w:after="120" w:before="0" w:line="276"/>
      </w:pPr>
      <w:r>
        <w:rPr>
          <w:rFonts w:ascii="Calibri" w:cs="Calibri" w:eastAsia="Calibri" w:hAnsi="Calibri"/>
          <w:sz w:val="21"/>
          <w:szCs w:val="21"/>
        </w:rPr>
        <w:t xml:space="preserve">One further finding: splitting GATE_MOVE into four fragments costs 2 extra blocks (8 KB) against keeping it whole, because each fragment rounds up to a whole block independently. Negligible, but it is a genuine cost of fragmentation.</w:t>
      </w:r>
    </w:p>
    <w:p>
      <w:pPr>
        <w:spacing w:after="120" w:line="276"/>
      </w:pPr>
      <w:r>
        <w:rPr>
          <w:rFonts w:ascii="Calibri" w:cs="Calibri" w:eastAsia="Calibri" w:hAnsi="Calibri"/>
          <w:b/>
          <w:bCs/>
          <w:sz w:val="21"/>
          <w:szCs w:val="21"/>
        </w:rPr>
        <w:t xml:space="preserve">What these checks do not cover. </w:t>
      </w:r>
      <w:r>
        <w:rPr>
          <w:rFonts w:ascii="Calibri" w:cs="Calibri" w:eastAsia="Calibri" w:hAnsi="Calibri"/>
          <w:sz w:val="21"/>
          <w:szCs w:val="21"/>
        </w:rPr>
        <w:t xml:space="preserve">They verify that the numbers agree with one another — that record sizes sum correctly, tuple counts reconcile, and derived constants match the formulas. They cannot establish that the design is a good answer to the problem. Whether the right queries were chosen, whether an attribute is missing from a relation, or whether an access path should have existed at all are questions no arithmetic check can reach. Section 10.7 records one such finding, identified by reasoning about the schema rather than by any of the 87 checks, all of which it passes. Amendment C3 is another: the GATE_MOVE foreign key could not be enforced as declared, and every arithmetic check passed regardless.</w:t>
      </w:r>
    </w:p>
    <w:p>
      <w:pPr>
        <w:pStyle w:val="Heading1"/>
        <w:spacing w:after="180" w:before="360"/>
      </w:pPr>
      <w:r>
        <w:rPr>
          <w:rFonts w:ascii="Calibri" w:cs="Calibri" w:eastAsia="Calibri" w:hAnsi="Calibri"/>
          <w:b/>
          <w:bCs/>
          <w:color w:val="1F3864"/>
          <w:sz w:val="30"/>
          <w:szCs w:val="30"/>
        </w:rPr>
        <w:t xml:space="preserve">Appendix C — Computation</w:t>
      </w:r>
    </w:p>
    <w:p>
      <w:pPr>
        <w:spacing w:after="120" w:before="0" w:line="276"/>
      </w:pPr>
      <w:r>
        <w:rPr>
          <w:rFonts w:ascii="Calibri" w:cs="Calibri" w:eastAsia="Calibri" w:hAnsi="Calibri"/>
          <w:sz w:val="21"/>
          <w:szCs w:val="21"/>
        </w:rPr>
        <w:t xml:space="preserve">The matrices, split-quality tables, allocation figures, figures and verification results were produced by the following Python scripts, supplied with this report: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625"/>
        <w:gridCol w:w="7401"/>
      </w:tblGrid>
      <w:tr>
        <w:trPr>
          <w:tblHeader/>
        </w:trPr>
        <w:tc>
          <w:tcPr>
            <w:tcW w:type="dxa" w:w="1625"/>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Script</w:t>
            </w:r>
          </w:p>
        </w:tc>
        <w:tc>
          <w:tcPr>
            <w:tcW w:type="dxa" w:w="7401"/>
            <w:shd w:fill="F2F2F2" w:val="clear"/>
            <w:tcMar>
              <w:top w:type="dxa" w:w="50"/>
              <w:left w:type="dxa" w:w="80"/>
              <w:bottom w:type="dxa" w:w="50"/>
              <w:right w:type="dxa" w:w="80"/>
            </w:tcMar>
          </w:tcPr>
          <w:p>
            <w:pPr>
              <w:spacing w:after="0" w:before="0"/>
              <w:jc w:val="left"/>
            </w:pPr>
            <w:r>
              <w:rPr>
                <w:rFonts w:ascii="Calibri" w:cs="Calibri" w:eastAsia="Calibri" w:hAnsi="Calibri"/>
                <w:b/>
                <w:bCs/>
                <w:sz w:val="16"/>
                <w:szCs w:val="16"/>
              </w:rPr>
              <w:t xml:space="preserve">Produces</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frag.py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Attribute affinity matrices, BEA clustering, split quality, exhaustive partition search</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physical.py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Blocking, index structures, access-method comparison, timing tables</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alloc.py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Benefit and cost per fragment per site, All Beneficial Sites decisions</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phase6.py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Work area, memory, response times, disk utilisation</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verify.py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The 87 cross-section consistency checks of Appendix B</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local_schemas.py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Site-only relations, their physical design, local transactions and Q9 sub-query costs (imported by alloc.py, phase6.py, verify.py)</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hetero_demo.py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Four SQLite databases with different schemas, the export views, the mediator, and the checks of Table 12.10</w:t>
            </w:r>
          </w:p>
        </w:tc>
      </w:tr>
      <w:tr>
        <w:trPr>
          <w:tblHeader w:val="false"/>
        </w:trPr>
        <w:tc>
          <w:tcPr>
            <w:tcW w:type="dxa" w:w="1625"/>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eer.py, figs.py, hetero_figs.py</w:t>
            </w:r>
          </w:p>
        </w:tc>
        <w:tc>
          <w:tcPr>
            <w:tcW w:type="dxa" w:w="7401"/>
            <w:tcMar>
              <w:top w:type="dxa" w:w="50"/>
              <w:left w:type="dxa" w:w="80"/>
              <w:bottom w:type="dxa" w:w="50"/>
              <w:right w:type="dxa" w:w="80"/>
            </w:tcMar>
          </w:tcPr>
          <w:p>
            <w:pPr>
              <w:spacing w:after="0" w:before="0"/>
              <w:jc w:val="left"/>
            </w:pPr>
            <w:r>
              <w:rPr>
                <w:rFonts w:ascii="Calibri" w:cs="Calibri" w:eastAsia="Calibri" w:hAnsi="Calibri"/>
                <w:b w:val="false"/>
                <w:bCs w:val="false"/>
                <w:sz w:val="16"/>
                <w:szCs w:val="16"/>
              </w:rPr>
              <w:t xml:space="preserve">Figures 1–6</w:t>
            </w:r>
          </w:p>
        </w:tc>
      </w:tr>
    </w:tbl>
    <w:p>
      <w:pPr>
        <w:spacing w:after="220" w:before="80"/>
        <w:jc w:val="center"/>
      </w:pPr>
      <w:r>
        <w:rPr>
          <w:rFonts w:ascii="Calibri" w:cs="Calibri" w:eastAsia="Calibri" w:hAnsi="Calibri"/>
          <w:i/>
          <w:iCs/>
          <w:color w:val="595959"/>
          <w:sz w:val="18"/>
          <w:szCs w:val="18"/>
        </w:rPr>
        <w:t xml:space="preserve">Table C.1 — Supplied computation</w:t>
      </w:r>
    </w:p>
    <w:p>
      <w:pPr>
        <w:spacing w:after="120" w:before="0" w:line="276"/>
      </w:pPr>
      <w:r>
        <w:rPr>
          <w:rFonts w:ascii="Calibri" w:cs="Calibri" w:eastAsia="Calibri" w:hAnsi="Calibri"/>
          <w:sz w:val="21"/>
          <w:szCs w:val="21"/>
        </w:rPr>
        <w:t xml:space="preserve">The core of the split-quality evaluation, for reference:</w:t>
      </w:r>
    </w:p>
    <w:p>
      <w:pPr>
        <w:spacing w:after="0" w:before="80"/>
        <w:ind w:left="340"/>
      </w:pPr>
      <w:r>
        <w:rPr>
          <w:rFonts w:ascii="Consolas" w:cs="Consolas" w:eastAsia="Consolas" w:hAnsi="Consolas"/>
          <w:color w:val="333333"/>
          <w:sz w:val="17"/>
          <w:szCs w:val="17"/>
        </w:rPr>
        <w:t xml:space="preserve">def split_quality(order, use, n):</w:t>
      </w:r>
    </w:p>
    <w:p>
      <w:pPr>
        <w:spacing w:after="0" w:before="0"/>
        <w:ind w:left="340"/>
      </w:pPr>
      <w:r>
        <w:rPr>
          <w:rFonts w:ascii="Consolas" w:cs="Consolas" w:eastAsia="Consolas" w:hAnsi="Consolas"/>
          <w:color w:val="333333"/>
          <w:sz w:val="17"/>
          <w:szCs w:val="17"/>
        </w:rPr>
        <w:t xml:space="preserve">    rows = []</w:t>
      </w:r>
    </w:p>
    <w:p>
      <w:pPr>
        <w:spacing w:after="0" w:before="0"/>
        <w:ind w:left="340"/>
      </w:pPr>
      <w:r>
        <w:rPr>
          <w:rFonts w:ascii="Consolas" w:cs="Consolas" w:eastAsia="Consolas" w:hAnsi="Consolas"/>
          <w:color w:val="333333"/>
          <w:sz w:val="17"/>
          <w:szCs w:val="17"/>
        </w:rPr>
        <w:t xml:space="preserve">    for cut in range(1, n):</w:t>
      </w:r>
    </w:p>
    <w:p>
      <w:pPr>
        <w:spacing w:after="0" w:before="0"/>
        <w:ind w:left="340"/>
      </w:pPr>
      <w:r>
        <w:rPr>
          <w:rFonts w:ascii="Consolas" w:cs="Consolas" w:eastAsia="Consolas" w:hAnsi="Consolas"/>
          <w:color w:val="333333"/>
          <w:sz w:val="17"/>
          <w:szCs w:val="17"/>
        </w:rPr>
        <w:t xml:space="preserve">        TA, TB = set(order[:cut]), set(order[cut:])</w:t>
      </w:r>
    </w:p>
    <w:p>
      <w:pPr>
        <w:spacing w:after="0" w:before="0"/>
        <w:ind w:left="340"/>
      </w:pPr>
      <w:r>
        <w:rPr>
          <w:rFonts w:ascii="Consolas" w:cs="Consolas" w:eastAsia="Consolas" w:hAnsi="Consolas"/>
          <w:color w:val="333333"/>
          <w:sz w:val="17"/>
          <w:szCs w:val="17"/>
        </w:rPr>
        <w:t xml:space="preserve">        TQ = [q for q, c in use.items() if {i-1 for i in c} &lt;= TA]</w:t>
      </w:r>
    </w:p>
    <w:p>
      <w:pPr>
        <w:spacing w:after="0" w:before="0"/>
        <w:ind w:left="340"/>
      </w:pPr>
      <w:r>
        <w:rPr>
          <w:rFonts w:ascii="Consolas" w:cs="Consolas" w:eastAsia="Consolas" w:hAnsi="Consolas"/>
          <w:color w:val="333333"/>
          <w:sz w:val="17"/>
          <w:szCs w:val="17"/>
        </w:rPr>
        <w:t xml:space="preserve">        BQ = [q for q, c in use.items() if {i-1 for i in c} &lt;= TB]</w:t>
      </w:r>
    </w:p>
    <w:p>
      <w:pPr>
        <w:spacing w:after="0" w:before="0"/>
        <w:ind w:left="340"/>
      </w:pPr>
      <w:r>
        <w:rPr>
          <w:rFonts w:ascii="Consolas" w:cs="Consolas" w:eastAsia="Consolas" w:hAnsi="Consolas"/>
          <w:color w:val="333333"/>
          <w:sz w:val="17"/>
          <w:szCs w:val="17"/>
        </w:rPr>
        <w:t xml:space="preserve">        OQ = [q for q, c in use.items()</w:t>
      </w:r>
    </w:p>
    <w:p>
      <w:pPr>
        <w:spacing w:after="0" w:before="0"/>
        <w:ind w:left="340"/>
      </w:pPr>
      <w:r>
        <w:rPr>
          <w:rFonts w:ascii="Consolas" w:cs="Consolas" w:eastAsia="Consolas" w:hAnsi="Consolas"/>
          <w:color w:val="333333"/>
          <w:sz w:val="17"/>
          <w:szCs w:val="17"/>
        </w:rPr>
        <w:t xml:space="preserve">              if not ({i-1 for i in c} &lt;= TA or {i-1 for i in c} &lt;= TB)]</w:t>
      </w:r>
    </w:p>
    <w:p>
      <w:pPr>
        <w:spacing w:after="0" w:before="0"/>
        <w:ind w:left="340"/>
      </w:pPr>
      <w:r>
        <w:rPr>
          <w:rFonts w:ascii="Consolas" w:cs="Consolas" w:eastAsia="Consolas" w:hAnsi="Consolas"/>
          <w:color w:val="333333"/>
          <w:sz w:val="17"/>
          <w:szCs w:val="17"/>
        </w:rPr>
        <w:t xml:space="preserve">        CTQ, CBQ, COQ = (sum(TOT[q] for q in g) for g in (TQ, BQ, OQ))</w:t>
      </w:r>
    </w:p>
    <w:p>
      <w:pPr>
        <w:spacing w:after="0" w:before="0"/>
        <w:ind w:left="340"/>
      </w:pPr>
      <w:r>
        <w:rPr>
          <w:rFonts w:ascii="Consolas" w:cs="Consolas" w:eastAsia="Consolas" w:hAnsi="Consolas"/>
          <w:color w:val="333333"/>
          <w:sz w:val="17"/>
          <w:szCs w:val="17"/>
        </w:rPr>
        <w:t xml:space="preserve">        rows.append(dict(cut=cut, CTQ=CTQ, CBQ=CBQ, COQ=COQ,</w:t>
      </w:r>
    </w:p>
    <w:p>
      <w:pPr>
        <w:spacing w:after="0" w:before="0"/>
        <w:ind w:left="340"/>
      </w:pPr>
      <w:r>
        <w:rPr>
          <w:rFonts w:ascii="Consolas" w:cs="Consolas" w:eastAsia="Consolas" w:hAnsi="Consolas"/>
          <w:color w:val="333333"/>
          <w:sz w:val="17"/>
          <w:szCs w:val="17"/>
        </w:rPr>
        <w:t xml:space="preserve">                         Z=CTQ*CBQ - COQ*COQ))</w:t>
      </w:r>
    </w:p>
    <w:p>
      <w:pPr>
        <w:spacing w:after="140" w:before="0"/>
        <w:ind w:left="340"/>
      </w:pPr>
      <w:r>
        <w:rPr>
          <w:rFonts w:ascii="Consolas" w:cs="Consolas" w:eastAsia="Consolas" w:hAnsi="Consolas"/>
          <w:color w:val="333333"/>
          <w:sz w:val="17"/>
          <w:szCs w:val="17"/>
        </w:rPr>
        <w:t xml:space="preserve">    return rows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00"/>
      <w:jc w:val="right"/>
    </w:pPr>
    <w:r>
      <w:rPr>
        <w:rFonts w:ascii="Calibri" w:cs="Calibri" w:eastAsia="Calibri" w:hAnsi="Calibri"/>
        <w:color w:val="808080"/>
        <w:sz w:val="16"/>
        <w:szCs w:val="16"/>
      </w:rPr>
      <w:t xml:space="preserve">Container Terminal &amp; Port Logistics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aef1c9c145654b9b67ccab07ba9759bbe2149d.png"/><Relationship Id="rId10" Type="http://schemas.openxmlformats.org/officeDocument/2006/relationships/image" Target="media/57afaf980c66ed6448cbe4d9f2a70ebe5e01a5d5.png"/><Relationship Id="rId11" Type="http://schemas.openxmlformats.org/officeDocument/2006/relationships/image" Target="media/0b4dd3da0513fca5e90ccf87ffb0a13ca1ea094a.png"/><Relationship Id="rId12" Type="http://schemas.openxmlformats.org/officeDocument/2006/relationships/image" Target="media/6650d72f82d56e9576c5953b001acbaf6e209b86.png"/><Relationship Id="rId13" Type="http://schemas.openxmlformats.org/officeDocument/2006/relationships/image" Target="media/a6ef41ab9f341d50c9daedac57b53419678fe95d.png"/><Relationship Id="rId14" Type="http://schemas.openxmlformats.org/officeDocument/2006/relationships/image" Target="media/8a5b4c4f5ee4af374d746a36feffa3a919cdce88.png"/><Relationship Id="rId15" Type="http://schemas.openxmlformats.org/officeDocument/2006/relationships/image" Target="media/8a48397fabb8f6900467ce961330876116d84e3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Terminal &amp; Port Logistics Network — Distributed Database Design</dc:title>
  <dc:creator>Sriram Venishetty</dc:creator>
  <dc:description>Advanced Database Systems, Assignment 1</dc:description>
  <cp:lastModifiedBy>Un-named</cp:lastModifiedBy>
  <cp:revision>1</cp:revision>
  <dcterms:created xsi:type="dcterms:W3CDTF">2026-09-26T13:29:32.708Z</dcterms:created>
  <dcterms:modified xsi:type="dcterms:W3CDTF">2026-09-26T13:29:32.710Z</dcterms:modified>
</cp:coreProperties>
</file>

<file path=docProps/custom.xml><?xml version="1.0" encoding="utf-8"?>
<Properties xmlns="http://schemas.openxmlformats.org/officeDocument/2006/custom-properties" xmlns:vt="http://schemas.openxmlformats.org/officeDocument/2006/docPropsVTypes"/>
</file>