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5AE6E" w14:textId="77777777" w:rsidR="00E13E5B" w:rsidRDefault="00000000">
      <w:pPr>
        <w:pStyle w:val="Heading1"/>
        <w:jc w:val="center"/>
      </w:pPr>
      <w:r>
        <w:rPr>
          <w:b/>
          <w:bCs/>
        </w:rPr>
        <w:t>SEN381 Assignment 2 — Research for Engineering Decisions</w:t>
      </w:r>
    </w:p>
    <w:p w14:paraId="77A16AC1" w14:textId="5A5AE57B" w:rsidR="00E13E5B" w:rsidRDefault="00E13E5B">
      <w:pPr>
        <w:spacing w:after="240"/>
        <w:jc w:val="center"/>
      </w:pPr>
    </w:p>
    <w:p w14:paraId="0689622E" w14:textId="77777777" w:rsidR="00E13E5B" w:rsidRDefault="00000000">
      <w:pPr>
        <w:pStyle w:val="Heading1"/>
        <w:spacing w:before="240" w:after="120"/>
      </w:pPr>
      <w:r>
        <w:t>Task 1 — Design Quality and Design Patterns: Research Summary with Reputable Sources</w:t>
      </w:r>
    </w:p>
    <w:p w14:paraId="5F88401F" w14:textId="77777777" w:rsidR="00E13E5B" w:rsidRDefault="00000000">
      <w:pPr>
        <w:pStyle w:val="Heading2"/>
        <w:spacing w:before="240" w:after="120"/>
      </w:pPr>
      <w:r>
        <w:t>1.1 Design Quality Foundation: Coupling, Cohesion and Relevant SOLID Principles</w:t>
      </w:r>
    </w:p>
    <w:p w14:paraId="0910D50F" w14:textId="77777777" w:rsidR="00E13E5B" w:rsidRDefault="00000000">
      <w:pPr>
        <w:spacing w:after="160"/>
      </w:pPr>
      <w:r>
        <w:rPr>
          <w:b/>
          <w:bCs/>
        </w:rPr>
        <w:t xml:space="preserve">Core Research Question: </w:t>
      </w:r>
      <w:r>
        <w:t xml:space="preserve">Once </w:t>
      </w:r>
      <w:proofErr w:type="spellStart"/>
      <w:r>
        <w:t>CivicConnect's</w:t>
      </w:r>
      <w:proofErr w:type="spellEnd"/>
      <w:r>
        <w:t xml:space="preserve"> request-handling module has more than one class or component that must change together, how should the design control coupling and preserve cohesion so the system stays maintainable, extensible and testable as new statuses, channels and rules are added?</w:t>
      </w:r>
    </w:p>
    <w:p w14:paraId="65CA5439" w14:textId="77777777" w:rsidR="00E13E5B" w:rsidRDefault="00000000">
      <w:pPr>
        <w:spacing w:after="160"/>
      </w:pPr>
      <w:r>
        <w:rPr>
          <w:b/>
          <w:bCs/>
        </w:rPr>
        <w:t xml:space="preserve">Coupling. </w:t>
      </w:r>
      <w:r>
        <w:t>Coupling describes how strongly one module depends on another: if changing one module forces a change in another, the two are coupled. Coupling is not something a design eliminates outright — modules must communicate to form a working system — but it is something a design must control, because uncontrolled coupling means a single change ripples unpredictably through unrelated parts of the codebase.</w:t>
      </w:r>
    </w:p>
    <w:p w14:paraId="1E0DFC41" w14:textId="77777777" w:rsidR="00E13E5B" w:rsidRDefault="00000000">
      <w:pPr>
        <w:spacing w:after="160"/>
      </w:pPr>
      <w:r>
        <w:rPr>
          <w:b/>
          <w:bCs/>
        </w:rPr>
        <w:t xml:space="preserve">Cohesion. </w:t>
      </w:r>
      <w:r>
        <w:t>Cohesion describes how strongly the responsibilities inside a single module belong together. A highly cohesive class has one clear purpose; a low-cohesion class accumulates unrelated behaviour and becomes harder to understand, test and change in isolation.</w:t>
      </w:r>
    </w:p>
    <w:p w14:paraId="19931285" w14:textId="77777777" w:rsidR="00E13E5B" w:rsidRDefault="00000000">
      <w:pPr>
        <w:spacing w:before="80" w:after="160"/>
      </w:pPr>
      <w:r>
        <w:rPr>
          <w:b/>
          <w:bCs/>
        </w:rPr>
        <w:t xml:space="preserve">Key Insight: </w:t>
      </w:r>
      <w:r>
        <w:t>The two properties interact: when responsibility for a single concept (such as "what happens when a request is resolved") is spread across multiple classes, cohesion within each class tends to fall while coupling between classes tends to rise, because each class needs to know about the others' internal decisions to stay consistent.</w:t>
      </w:r>
    </w:p>
    <w:p w14:paraId="3A3A480A" w14:textId="77777777" w:rsidR="00E13E5B" w:rsidRDefault="00000000">
      <w:pPr>
        <w:spacing w:after="160"/>
      </w:pPr>
      <w:r>
        <w:rPr>
          <w:b/>
          <w:bCs/>
        </w:rPr>
        <w:t xml:space="preserve">SOLID Principles Most Relevant to </w:t>
      </w:r>
      <w:proofErr w:type="spellStart"/>
      <w:r>
        <w:rPr>
          <w:b/>
          <w:bCs/>
        </w:rPr>
        <w:t>CivicConnect</w:t>
      </w:r>
      <w:proofErr w:type="spellEnd"/>
      <w:r>
        <w:rPr>
          <w:b/>
          <w:bCs/>
        </w:rPr>
        <w:t xml:space="preserve">. </w:t>
      </w:r>
      <w:r>
        <w:t>Two SOLID principles map directly onto the design problems identified below:</w:t>
      </w:r>
    </w:p>
    <w:p w14:paraId="68EA8BA9" w14:textId="77777777" w:rsidR="00E13E5B" w:rsidRDefault="00000000">
      <w:pPr>
        <w:pStyle w:val="ListParagraph"/>
        <w:numPr>
          <w:ilvl w:val="0"/>
          <w:numId w:val="1"/>
        </w:numPr>
        <w:spacing w:after="80"/>
      </w:pPr>
      <w:r>
        <w:t>Single Responsibility Principle (SRP) — a class should have only one reason to change. Where a controller both interprets a request's status and decides how to notify people about it, it has at least two reasons to change: a change in workflow rules and a change in notification policy.</w:t>
      </w:r>
    </w:p>
    <w:p w14:paraId="08FCBF0B" w14:textId="77777777" w:rsidR="00E13E5B" w:rsidRDefault="00000000">
      <w:pPr>
        <w:pStyle w:val="ListParagraph"/>
        <w:numPr>
          <w:ilvl w:val="0"/>
          <w:numId w:val="1"/>
        </w:numPr>
        <w:spacing w:after="80"/>
      </w:pPr>
      <w:r>
        <w:t>Open/Closed Principle (OCP) — software entities should be open for extension but closed for modification. A design that requires editing existing conditional logic every time a new status or notification channel is added violates OCP, because extension is only possible by modifying code that already works.</w:t>
      </w:r>
    </w:p>
    <w:p w14:paraId="6339CB02" w14:textId="77777777" w:rsidR="00E13E5B" w:rsidRDefault="00000000">
      <w:pPr>
        <w:spacing w:after="160"/>
      </w:pPr>
      <w:proofErr w:type="spellStart"/>
      <w:r>
        <w:t>Liskov</w:t>
      </w:r>
      <w:proofErr w:type="spellEnd"/>
      <w:r>
        <w:t xml:space="preserve"> Substitution, Interface Segregation and Dependency Inversion are not the dominant concerns for the two problems below and are not forced into the analysis, in line with the assignment's instruction to discuss only the principles that genuinely contribute.</w:t>
      </w:r>
    </w:p>
    <w:p w14:paraId="3B2DE68A" w14:textId="77777777" w:rsidR="00E13E5B" w:rsidRDefault="00000000">
      <w:pPr>
        <w:pStyle w:val="Heading2"/>
        <w:spacing w:before="240" w:after="120"/>
      </w:pPr>
      <w:r>
        <w:t>1.2 Design Problem 1 — Request Status Transition Logic</w:t>
      </w:r>
    </w:p>
    <w:p w14:paraId="6AF21BAA" w14:textId="77777777" w:rsidR="00E13E5B" w:rsidRDefault="00000000">
      <w:pPr>
        <w:spacing w:after="160"/>
      </w:pPr>
      <w:r>
        <w:rPr>
          <w:b/>
          <w:bCs/>
        </w:rPr>
        <w:t xml:space="preserve">The Problem (before naming a solution). </w:t>
      </w:r>
      <w:proofErr w:type="spellStart"/>
      <w:r>
        <w:t>CivicConnect's</w:t>
      </w:r>
      <w:proofErr w:type="spellEnd"/>
      <w:r>
        <w:t xml:space="preserve"> request lifecycle (submitted → assigned → in-progress → resolved, with escalated and closed as likely future states) is currently expressed as conditional logic that checks a status value directly. The same status values are independently re-interpreted by the notification service to decide what message to send, and by reporting logic that summarises open/overdue/resolved counts. Because the same piece of knowledge — "what a given status means and what may legally follow it" — lives in more than one place, adding a single new status (for example, escalated) requires locating and editing every conditional that inspects status, rather than making one contained change.</w:t>
      </w:r>
    </w:p>
    <w:p w14:paraId="651C394C" w14:textId="77777777" w:rsidR="00E13E5B" w:rsidRDefault="00000000">
      <w:pPr>
        <w:pStyle w:val="Heading3"/>
        <w:spacing w:before="240" w:after="120"/>
      </w:pPr>
      <w:r>
        <w:t>Alternative Approaches</w:t>
      </w:r>
    </w:p>
    <w:p w14:paraId="06CF1239" w14:textId="77777777" w:rsidR="00E13E5B" w:rsidRDefault="00000000">
      <w:pPr>
        <w:spacing w:after="160"/>
      </w:pPr>
      <w:r>
        <w:rPr>
          <w:b/>
          <w:bCs/>
        </w:rPr>
        <w:t xml:space="preserve">Approach A — State Pattern. </w:t>
      </w:r>
      <w:r>
        <w:t xml:space="preserve">The State pattern lets an object alter its behaviour when its internal state changes, so that it appears to change class (Refactoring Guru, </w:t>
      </w:r>
      <w:proofErr w:type="spellStart"/>
      <w:r>
        <w:t>n.d.a</w:t>
      </w:r>
      <w:proofErr w:type="spellEnd"/>
      <w:r>
        <w:t xml:space="preserve">). Each concrete status becomes its own class implementing a shared state interface; the request (the "context") delegates status-dependent behaviour to whichever state object currently represents it, and states can trigger the transition to the next state. Refactoring Guru's applicability </w:t>
      </w:r>
      <w:r>
        <w:lastRenderedPageBreak/>
        <w:t xml:space="preserve">guidance recommends the pattern specifically when a class is "polluted with massive conditionals that alter how the class behaves according to the current values of the class's fields" and when the number of states or the frequency of state-specific change is significant — both of which match </w:t>
      </w:r>
      <w:proofErr w:type="spellStart"/>
      <w:r>
        <w:t>CivicConnect's</w:t>
      </w:r>
      <w:proofErr w:type="spellEnd"/>
      <w:r>
        <w:t xml:space="preserve"> growing status set (Refactoring Guru, </w:t>
      </w:r>
      <w:proofErr w:type="spellStart"/>
      <w:r>
        <w:t>n.d.a</w:t>
      </w:r>
      <w:proofErr w:type="spellEnd"/>
      <w:r>
        <w:t>).</w:t>
      </w:r>
    </w:p>
    <w:p w14:paraId="50FAC09D" w14:textId="77777777" w:rsidR="00E13E5B" w:rsidRDefault="00000000">
      <w:pPr>
        <w:spacing w:after="160"/>
      </w:pPr>
      <w:r>
        <w:t>Effect on coupling/cohesion: each state class has a single, focused responsibility (which notification to trigger, which transitions are legal), which raises cohesion within each state and reduces the coupling between the request controller and the notification service, since both now depend only on a shared state interface rather than on each other's status-checking logic.</w:t>
      </w:r>
    </w:p>
    <w:p w14:paraId="3EBC31CF" w14:textId="77777777" w:rsidR="00E13E5B" w:rsidRDefault="00000000">
      <w:pPr>
        <w:spacing w:after="160"/>
      </w:pPr>
      <w:r>
        <w:t xml:space="preserve">Misuse/over-engineering risk: Refactoring Guru notes that applying the pattern "can be overkill if a state machine has only a few states or rarely changes" (Refactoring Guru, </w:t>
      </w:r>
      <w:proofErr w:type="spellStart"/>
      <w:r>
        <w:t>n.d.a</w:t>
      </w:r>
      <w:proofErr w:type="spellEnd"/>
      <w:r>
        <w:t xml:space="preserve">) — for </w:t>
      </w:r>
      <w:proofErr w:type="spellStart"/>
      <w:r>
        <w:t>CivicConnect</w:t>
      </w:r>
      <w:proofErr w:type="spellEnd"/>
      <w:r>
        <w:t xml:space="preserve"> this risk is low precisely because the brief anticipates growth in status types (e.g. escalated) and attached behaviour (notifications, audit history), but the team should not apply the same structure to genuinely small, stable enumerations elsewhere in the system.</w:t>
      </w:r>
    </w:p>
    <w:p w14:paraId="54CFA5D1" w14:textId="77777777" w:rsidR="00E13E5B" w:rsidRDefault="00000000">
      <w:pPr>
        <w:spacing w:after="160"/>
      </w:pPr>
      <w:r>
        <w:rPr>
          <w:b/>
          <w:bCs/>
        </w:rPr>
        <w:t xml:space="preserve">Approach B — Enum with Guard Methods. </w:t>
      </w:r>
      <w:r>
        <w:t>Status is represented as an enumeration, and guard/validation methods on the request entity (or a small transition-rule table) determine which transitions are legal from the current value. This keeps the status set in one place and avoids introducing a class per status.</w:t>
      </w:r>
    </w:p>
    <w:p w14:paraId="3D19380A" w14:textId="77777777" w:rsidR="00E13E5B" w:rsidRDefault="00000000">
      <w:pPr>
        <w:spacing w:after="160"/>
      </w:pPr>
      <w:r>
        <w:t>Effect on coupling/cohesion: simpler and more directly readable for a small, stable set of statuses with little attached behaviour; however, as more behaviour (notifications, audit entries, permission checks) becomes tied to specific statuses, that behaviour tends to accumulate inside the guard methods or in conditional branches elsewhere, which is the same coupling/cohesion problem the team is trying to remove, only deferred.</w:t>
      </w:r>
    </w:p>
    <w:p w14:paraId="0B87ADCE" w14:textId="77777777" w:rsidR="00E13E5B" w:rsidRDefault="00000000">
      <w:pPr>
        <w:spacing w:after="160"/>
      </w:pPr>
      <w:r>
        <w:t>Misuse/over-engineering risk: none in itself — the risk runs the other way, in that teams sometimes keep extending guard methods with branching logic well past the point where the State pattern would have paid for its extra classes.</w:t>
      </w:r>
    </w:p>
    <w:p w14:paraId="6F2366F7" w14:textId="77777777" w:rsidR="00E13E5B" w:rsidRDefault="00000000">
      <w:pPr>
        <w:pStyle w:val="Heading3"/>
        <w:spacing w:before="240" w:after="120"/>
      </w:pPr>
      <w:r>
        <w:t>Comparison and Recommendation Feeding M2</w:t>
      </w:r>
    </w:p>
    <w:p w14:paraId="3C31F53C" w14:textId="77777777" w:rsidR="00E13E5B" w:rsidRDefault="00000000">
      <w:pPr>
        <w:spacing w:after="160"/>
      </w:pPr>
      <w:r>
        <w:t xml:space="preserve">The </w:t>
      </w:r>
      <w:proofErr w:type="spellStart"/>
      <w:r>
        <w:t>enum</w:t>
      </w:r>
      <w:proofErr w:type="spellEnd"/>
      <w:r>
        <w:t xml:space="preserve">-and-guards approach is preferable for a genuinely fixed, small status set with no attached behaviour. The State pattern is preferable once transitions carry behaviour beyond a legality check — which is </w:t>
      </w:r>
      <w:proofErr w:type="spellStart"/>
      <w:r>
        <w:t>CivicConnect's</w:t>
      </w:r>
      <w:proofErr w:type="spellEnd"/>
      <w:r>
        <w:t xml:space="preserve"> situation, given the requirement for an audit trail, staff notification on assignment/resolution, and an anticipated escalated status.</w:t>
      </w:r>
    </w:p>
    <w:p w14:paraId="6399E107" w14:textId="77777777" w:rsidR="00E13E5B" w:rsidRDefault="00000000">
      <w:pPr>
        <w:spacing w:before="80" w:after="160"/>
      </w:pPr>
      <w:r>
        <w:rPr>
          <w:b/>
          <w:bCs/>
        </w:rPr>
        <w:t xml:space="preserve">A2 Recommendation for M2: </w:t>
      </w:r>
      <w:r>
        <w:t xml:space="preserve">Given </w:t>
      </w:r>
      <w:proofErr w:type="spellStart"/>
      <w:r>
        <w:t>CivicConnect's</w:t>
      </w:r>
      <w:proofErr w:type="spellEnd"/>
      <w:r>
        <w:t xml:space="preserve"> requirement for an auditable request lifecycle and its likely growth in status types, research supports the State pattern as the stronger fit for the request status transition module, subject to the team's own M2 review of implementation effort against the three-person team's schedule (Master Project Brief, Belgium Campus </w:t>
      </w:r>
      <w:proofErr w:type="spellStart"/>
      <w:r>
        <w:t>ITversity</w:t>
      </w:r>
      <w:proofErr w:type="spellEnd"/>
      <w:r>
        <w:t>, 2026).</w:t>
      </w:r>
    </w:p>
    <w:p w14:paraId="215AA868" w14:textId="77777777" w:rsidR="00E13E5B" w:rsidRDefault="00000000">
      <w:pPr>
        <w:pStyle w:val="Heading2"/>
        <w:spacing w:before="240" w:after="120"/>
      </w:pPr>
      <w:r>
        <w:t>1.3 Design Problem 2 — Direct Instantiation of Notification Channel Classes</w:t>
      </w:r>
    </w:p>
    <w:p w14:paraId="2DFB4F9C" w14:textId="77777777" w:rsidR="00E13E5B" w:rsidRDefault="00000000">
      <w:pPr>
        <w:spacing w:after="160"/>
      </w:pPr>
      <w:r>
        <w:rPr>
          <w:b/>
          <w:bCs/>
        </w:rPr>
        <w:t xml:space="preserve">The Problem (before naming a solution). </w:t>
      </w:r>
      <w:r>
        <w:t xml:space="preserve">When a request changes status, the part of the code that decides a requester or staff member should be notified currently constructs the concrete notification class directly (for example, calling the email-channel class's constructor, or the SMS-channel class's constructor, depending on a stored contact-preference value). Every place in the codebase that needs to send a notification repeats this same conditional construction logic, and every place must be edited if </w:t>
      </w:r>
      <w:proofErr w:type="spellStart"/>
      <w:r>
        <w:t>CivicConnect</w:t>
      </w:r>
      <w:proofErr w:type="spellEnd"/>
      <w:r>
        <w:t xml:space="preserve"> adds a new channel (for example, in-app notifications) or changes how an existing channel is configured.</w:t>
      </w:r>
    </w:p>
    <w:p w14:paraId="1D29E57F" w14:textId="77777777" w:rsidR="00E13E5B" w:rsidRDefault="00000000">
      <w:pPr>
        <w:pStyle w:val="Heading3"/>
        <w:spacing w:before="240" w:after="120"/>
      </w:pPr>
      <w:r>
        <w:t>Alternative Approaches</w:t>
      </w:r>
    </w:p>
    <w:p w14:paraId="6B55FA19" w14:textId="77777777" w:rsidR="00E13E5B" w:rsidRDefault="00000000">
      <w:pPr>
        <w:spacing w:after="160"/>
      </w:pPr>
      <w:r>
        <w:rPr>
          <w:b/>
          <w:bCs/>
        </w:rPr>
        <w:t xml:space="preserve">Approach A — Factory Method. </w:t>
      </w:r>
      <w:r>
        <w:t xml:space="preserve">Factory Method is a creational design pattern that provides an interface for creating an object in a superclass while letting subclasses (or, in the simpler "simple factory" variant common in practice, a dedicated factory class) decide which concrete class to instantiate (Refactoring Guru, </w:t>
      </w:r>
      <w:proofErr w:type="spellStart"/>
      <w:r>
        <w:t>n.d.b</w:t>
      </w:r>
      <w:proofErr w:type="spellEnd"/>
      <w:r>
        <w:t>). Client code depends only on a shared notification-channel interface and calls a factory method rather than a constructor; the factory method is the single place that maps a contact preference to a concrete channel class.</w:t>
      </w:r>
    </w:p>
    <w:p w14:paraId="5C687D6D" w14:textId="77777777" w:rsidR="00E13E5B" w:rsidRDefault="00000000">
      <w:pPr>
        <w:spacing w:after="160"/>
      </w:pPr>
      <w:r>
        <w:t xml:space="preserve">Effect on coupling/cohesion: Refactoring Guru's stated benefits are that the pattern avoids tight coupling between the code that uses an object and the concrete product classes, applies the Single Responsibility Principle by moving </w:t>
      </w:r>
      <w:r>
        <w:lastRenderedPageBreak/>
        <w:t xml:space="preserve">all construction logic to one place, and applies the Open/Closed Principle because new product types can be introduced without changing existing client code (Refactoring Guru, </w:t>
      </w:r>
      <w:proofErr w:type="spellStart"/>
      <w:r>
        <w:t>n.d.b</w:t>
      </w:r>
      <w:proofErr w:type="spellEnd"/>
      <w:r>
        <w:t xml:space="preserve">). For </w:t>
      </w:r>
      <w:proofErr w:type="spellStart"/>
      <w:r>
        <w:t>CivicConnect</w:t>
      </w:r>
      <w:proofErr w:type="spellEnd"/>
      <w:r>
        <w:t xml:space="preserve"> this means adding an in-app channel later requires one new class and one addition to the factory, not edits scattered across the request and notification services.</w:t>
      </w:r>
    </w:p>
    <w:p w14:paraId="2FA0B19D" w14:textId="77777777" w:rsidR="00E13E5B" w:rsidRDefault="00000000">
      <w:pPr>
        <w:spacing w:after="160"/>
      </w:pPr>
      <w:r>
        <w:t xml:space="preserve">Misuse/over-engineering risk: Refactoring Guru cautions that the pattern can make code "more complicated" because it introduces a hierarchy of creator/factory classes, and that it pays off best when there is already a hierarchy of creator classes to extend into (Refactoring Guru, </w:t>
      </w:r>
      <w:proofErr w:type="spellStart"/>
      <w:r>
        <w:t>n.d.b</w:t>
      </w:r>
      <w:proofErr w:type="spellEnd"/>
      <w:r>
        <w:t>) — for a single, standalone construction decision with only two or three channel types, a lighter-weight factory (a static/simple factory method with no creator subclassing) captures most of the benefit without the extra class hierarchy.</w:t>
      </w:r>
    </w:p>
    <w:p w14:paraId="42CAA6E8" w14:textId="77777777" w:rsidR="00E13E5B" w:rsidRDefault="00000000">
      <w:pPr>
        <w:spacing w:after="160"/>
      </w:pPr>
      <w:r>
        <w:rPr>
          <w:b/>
          <w:bCs/>
        </w:rPr>
        <w:t xml:space="preserve">Approach B — Continued Direct Instantiation (Baseline, With Local Improvement). </w:t>
      </w:r>
      <w:r>
        <w:t>The alternative is to keep constructing concrete channel classes directly at the point of use, but consolidate the existing scattered conditional logic into a single, well-named private helper method within the notification service, rather than a dedicated factory abstraction.</w:t>
      </w:r>
    </w:p>
    <w:p w14:paraId="7371E812" w14:textId="77777777" w:rsidR="00E13E5B" w:rsidRDefault="00000000">
      <w:pPr>
        <w:spacing w:after="160"/>
      </w:pPr>
      <w:r>
        <w:t>Effect on coupling/cohesion: this is simpler to write initially and avoids introducing a new abstraction, but it does not remove the coupling between the notification service and every concrete channel constructor — it only relocates the conditional into one method. Any other part of the system that also needs to create a channel object (for example, a future bulk-notification feature) either duplicates the conditional again or must be coupled to the notification service itself to reuse it.</w:t>
      </w:r>
    </w:p>
    <w:p w14:paraId="73E0F9EA" w14:textId="77777777" w:rsidR="00E13E5B" w:rsidRDefault="00000000">
      <w:pPr>
        <w:spacing w:after="160"/>
      </w:pPr>
      <w:r>
        <w:t>Misuse/over-engineering risk: acceptable, and arguably the correct choice, for a system that will only ever have one or two channels used from one place — introducing a factory abstraction purely for its own sake, before there is a genuine second caller or a genuine expectation of new channel types, is itself a form of over-engineering.</w:t>
      </w:r>
    </w:p>
    <w:p w14:paraId="18E07E1F" w14:textId="77777777" w:rsidR="00E13E5B" w:rsidRDefault="00000000">
      <w:pPr>
        <w:pStyle w:val="Heading3"/>
        <w:spacing w:before="240" w:after="120"/>
      </w:pPr>
      <w:r>
        <w:t>Comparison and Recommendation Feeding M2</w:t>
      </w:r>
    </w:p>
    <w:p w14:paraId="77532554" w14:textId="77777777" w:rsidR="00E13E5B" w:rsidRDefault="00000000">
      <w:pPr>
        <w:spacing w:after="160"/>
      </w:pPr>
      <w:r>
        <w:t xml:space="preserve">A consolidated direct-instantiation helper is adequate only if channel construction is needed from a single call site and the channel set is not expected to grow. </w:t>
      </w:r>
      <w:proofErr w:type="spellStart"/>
      <w:r>
        <w:t>CivicConnect's</w:t>
      </w:r>
      <w:proofErr w:type="spellEnd"/>
      <w:r>
        <w:t xml:space="preserve"> brief anticipates multiple notification touchpoints (requester feedback on status change, staff assignment alerts, management reporting triggers) and treats additional features such as new channels as a live possibility rather than a closed set, which favours the Factory Method's decoupling of construction from use.</w:t>
      </w:r>
    </w:p>
    <w:p w14:paraId="4BCBFEF3" w14:textId="77777777" w:rsidR="00E13E5B" w:rsidRDefault="00000000">
      <w:pPr>
        <w:spacing w:before="80" w:after="160"/>
      </w:pPr>
      <w:r>
        <w:rPr>
          <w:b/>
          <w:bCs/>
        </w:rPr>
        <w:t xml:space="preserve">A2 Recommendation for M2: </w:t>
      </w:r>
      <w:r>
        <w:t xml:space="preserve">Research supports a (simple) Factory Method for notification-channel construction, recommended over continued direct instantiation, because </w:t>
      </w:r>
      <w:proofErr w:type="spellStart"/>
      <w:r>
        <w:t>CivicConnect</w:t>
      </w:r>
      <w:proofErr w:type="spellEnd"/>
      <w:r>
        <w:t xml:space="preserve"> has more than one construction call site and an open-ended set of likely future channels. The team's final M2 choice should still weigh implementation effort against the project's three-person, time-boxed schedule, and may reasonably start with a simple static factory rather than a full subclassed Creator hierarchy.</w:t>
      </w:r>
    </w:p>
    <w:p w14:paraId="6C009ECB" w14:textId="77777777" w:rsidR="00E13E5B" w:rsidRDefault="00000000">
      <w:pPr>
        <w:pStyle w:val="Heading2"/>
        <w:spacing w:before="240" w:after="120"/>
      </w:pPr>
      <w:r>
        <w:t>1.4 Distinguishing Source Evidence from Team Recommendation</w:t>
      </w:r>
    </w:p>
    <w:p w14:paraId="6ED8CEE0" w14:textId="77777777" w:rsidR="00E13E5B" w:rsidRDefault="00000000">
      <w:pPr>
        <w:spacing w:after="160"/>
      </w:pPr>
      <w:r>
        <w:t xml:space="preserve">Throughout this section, statements attributed to Refactoring Guru, Fowler or the empirical literature describe what those sources say about the patterns in general; the statements introduced as "Key Insight" or "A2 Recommendation for M2" are this team's application of that evidence to </w:t>
      </w:r>
      <w:proofErr w:type="spellStart"/>
      <w:r>
        <w:t>CivicConnect's</w:t>
      </w:r>
      <w:proofErr w:type="spellEnd"/>
      <w:r>
        <w:t xml:space="preserve"> specific requirements, and are not claims made by the cited sources themselves.</w:t>
      </w:r>
    </w:p>
    <w:p w14:paraId="0E854E68" w14:textId="77777777" w:rsidR="00E13E5B" w:rsidRDefault="00000000">
      <w:pPr>
        <w:pStyle w:val="Heading2"/>
        <w:spacing w:before="240" w:after="120"/>
      </w:pPr>
      <w:r>
        <w:t>References</w:t>
      </w:r>
    </w:p>
    <w:p w14:paraId="2B1D95F8" w14:textId="77777777" w:rsidR="00E13E5B" w:rsidRDefault="00000000">
      <w:pPr>
        <w:spacing w:after="160"/>
      </w:pPr>
      <w:r>
        <w:t>Fowler, M., 2001. Coupling. IEEE Software, July/August 2001. [Online] Available at: https://martinfowler.com/ieeeSoftware/coupling.pdf [Accessed 15 September 2026].</w:t>
      </w:r>
    </w:p>
    <w:p w14:paraId="290F08B0" w14:textId="77777777" w:rsidR="00E13E5B" w:rsidRDefault="00000000">
      <w:pPr>
        <w:spacing w:after="160"/>
      </w:pPr>
      <w:r>
        <w:t xml:space="preserve">Gamma, E., Helm, R., Johnson, R. and </w:t>
      </w:r>
      <w:proofErr w:type="spellStart"/>
      <w:r>
        <w:t>Vlissides</w:t>
      </w:r>
      <w:proofErr w:type="spellEnd"/>
      <w:r>
        <w:t>, J., 1994. Design Patterns: Elements of Reusable Object-Oriented Software. Boston: Addison-Wesley.</w:t>
      </w:r>
    </w:p>
    <w:p w14:paraId="40CD0741" w14:textId="77777777" w:rsidR="00E13E5B" w:rsidRDefault="00000000">
      <w:pPr>
        <w:spacing w:after="160"/>
      </w:pPr>
      <w:r>
        <w:t>Martin, R.C., 2003. Agile Software Development, Principles, Patterns, and Practices. Upper Saddle River, NJ: Prentice Hall.</w:t>
      </w:r>
    </w:p>
    <w:p w14:paraId="149C0EC0" w14:textId="77777777" w:rsidR="00E13E5B" w:rsidRDefault="00000000">
      <w:pPr>
        <w:spacing w:after="160"/>
      </w:pPr>
      <w:r>
        <w:lastRenderedPageBreak/>
        <w:t xml:space="preserve">Refactoring Guru, </w:t>
      </w:r>
      <w:proofErr w:type="spellStart"/>
      <w:r>
        <w:t>n.d.a.</w:t>
      </w:r>
      <w:proofErr w:type="spellEnd"/>
      <w:r>
        <w:t xml:space="preserve"> State. [Online] Available at: https://refactoring.guru/design-patterns/state [Accessed 15 September 2026].</w:t>
      </w:r>
    </w:p>
    <w:p w14:paraId="41EE8FD3" w14:textId="77777777" w:rsidR="00E13E5B" w:rsidRDefault="00000000">
      <w:pPr>
        <w:spacing w:after="160"/>
      </w:pPr>
      <w:r>
        <w:t xml:space="preserve">Refactoring Guru, </w:t>
      </w:r>
      <w:proofErr w:type="spellStart"/>
      <w:r>
        <w:t>n.d.b.</w:t>
      </w:r>
      <w:proofErr w:type="spellEnd"/>
      <w:r>
        <w:t xml:space="preserve"> Factory Method. [Online] Available at: https://refactoring.guru/design-patterns/factory-method [Accessed 15 September 2026].</w:t>
      </w:r>
    </w:p>
    <w:p w14:paraId="781074B4" w14:textId="77777777" w:rsidR="00E13E5B" w:rsidRDefault="00000000">
      <w:pPr>
        <w:spacing w:after="160"/>
      </w:pPr>
      <w:r>
        <w:t xml:space="preserve">Turan, O. and </w:t>
      </w:r>
      <w:proofErr w:type="spellStart"/>
      <w:r>
        <w:t>Tanrıöver</w:t>
      </w:r>
      <w:proofErr w:type="spellEnd"/>
      <w:r>
        <w:t xml:space="preserve">, Ö.Ö., 2018. An Experimental Evaluation of the Effect of SOLID Principles to Microsoft VS Code Metrics. AJIT-e: </w:t>
      </w:r>
      <w:proofErr w:type="spellStart"/>
      <w:r>
        <w:t>Bilişim</w:t>
      </w:r>
      <w:proofErr w:type="spellEnd"/>
      <w:r>
        <w:t xml:space="preserve"> </w:t>
      </w:r>
      <w:proofErr w:type="spellStart"/>
      <w:r>
        <w:t>Teknolojileri</w:t>
      </w:r>
      <w:proofErr w:type="spellEnd"/>
      <w:r>
        <w:t xml:space="preserve"> Online </w:t>
      </w:r>
      <w:proofErr w:type="spellStart"/>
      <w:r>
        <w:t>Dergisi</w:t>
      </w:r>
      <w:proofErr w:type="spellEnd"/>
      <w:r>
        <w:t>, 9(34), pp.7–24.</w:t>
      </w:r>
    </w:p>
    <w:p w14:paraId="2A5A228A" w14:textId="77777777" w:rsidR="00E13E5B" w:rsidRDefault="00E13E5B">
      <w:pPr>
        <w:pageBreakBefore/>
      </w:pPr>
    </w:p>
    <w:p w14:paraId="5EEBD96E" w14:textId="77777777" w:rsidR="00E13E5B" w:rsidRDefault="00000000">
      <w:pPr>
        <w:pStyle w:val="Heading1"/>
        <w:spacing w:before="240" w:after="120"/>
      </w:pPr>
      <w:r>
        <w:t>Task 5 — Research-to-Decision Map</w:t>
      </w:r>
    </w:p>
    <w:p w14:paraId="19012DE0" w14:textId="77777777" w:rsidR="00E13E5B" w:rsidRDefault="00000000">
      <w:pPr>
        <w:spacing w:after="160"/>
      </w:pPr>
      <w:r>
        <w:t xml:space="preserve">The table below traces each Assignment 2 finding to the </w:t>
      </w:r>
      <w:proofErr w:type="spellStart"/>
      <w:r>
        <w:t>CivicConnect</w:t>
      </w:r>
      <w:proofErr w:type="spellEnd"/>
      <w:r>
        <w:t xml:space="preserve"> project decision it should inform. Rows for Design Problem 1 and Design Problem 2 are drawn from this contributor's Task 1 research above. Rows for Persistence/Data and Integration/API summarise the Task 2 and Task 3 research already produced by the teammate responsible for those sections, so that the map reads as one coherent bridge from research to decision rather than a duplicate of either task. The SCM/CI row is left for completion once Task 4 (owned by the third team member) is finalised, and should not be treated as submitted content until that section is added.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1799"/>
        <w:gridCol w:w="1660"/>
        <w:gridCol w:w="1859"/>
        <w:gridCol w:w="2627"/>
      </w:tblGrid>
      <w:tr w:rsidR="00E13E5B" w14:paraId="4CD0F67D" w14:textId="77777777">
        <w:tblPrEx>
          <w:tblCellMar>
            <w:top w:w="0" w:type="dxa"/>
            <w:bottom w:w="0" w:type="dxa"/>
          </w:tblCellMar>
        </w:tblPrEx>
        <w:trPr>
          <w:tblHeader/>
        </w:trPr>
        <w:tc>
          <w:tcPr>
            <w:tcW w:w="800" w:type="pct"/>
            <w:shd w:val="clear" w:color="auto" w:fill="F2F2F2"/>
            <w:tcMar>
              <w:top w:w="80" w:type="dxa"/>
              <w:left w:w="80" w:type="dxa"/>
              <w:bottom w:w="80" w:type="dxa"/>
              <w:right w:w="80" w:type="dxa"/>
            </w:tcMar>
          </w:tcPr>
          <w:p w14:paraId="5D49A6D7" w14:textId="77777777" w:rsidR="00E13E5B" w:rsidRDefault="00000000">
            <w:r>
              <w:rPr>
                <w:b/>
                <w:bCs/>
              </w:rPr>
              <w:t>A2 Finding</w:t>
            </w:r>
          </w:p>
        </w:tc>
        <w:tc>
          <w:tcPr>
            <w:tcW w:w="1400" w:type="pct"/>
            <w:shd w:val="clear" w:color="auto" w:fill="F2F2F2"/>
            <w:tcMar>
              <w:top w:w="80" w:type="dxa"/>
              <w:left w:w="80" w:type="dxa"/>
              <w:bottom w:w="80" w:type="dxa"/>
              <w:right w:w="80" w:type="dxa"/>
            </w:tcMar>
          </w:tcPr>
          <w:p w14:paraId="6D927658" w14:textId="77777777" w:rsidR="00E13E5B" w:rsidRDefault="00000000">
            <w:r>
              <w:rPr>
                <w:b/>
                <w:bCs/>
              </w:rPr>
              <w:t>Evidence / Alternatives Considered</w:t>
            </w:r>
          </w:p>
        </w:tc>
        <w:tc>
          <w:tcPr>
            <w:tcW w:w="1100" w:type="pct"/>
            <w:shd w:val="clear" w:color="auto" w:fill="F2F2F2"/>
            <w:tcMar>
              <w:top w:w="80" w:type="dxa"/>
              <w:left w:w="80" w:type="dxa"/>
              <w:bottom w:w="80" w:type="dxa"/>
              <w:right w:w="80" w:type="dxa"/>
            </w:tcMar>
          </w:tcPr>
          <w:p w14:paraId="26D311EB" w14:textId="77777777" w:rsidR="00E13E5B" w:rsidRDefault="00000000">
            <w:r>
              <w:rPr>
                <w:b/>
                <w:bCs/>
              </w:rPr>
              <w:t>Recommendation</w:t>
            </w:r>
          </w:p>
        </w:tc>
        <w:tc>
          <w:tcPr>
            <w:tcW w:w="850" w:type="pct"/>
            <w:shd w:val="clear" w:color="auto" w:fill="F2F2F2"/>
            <w:tcMar>
              <w:top w:w="80" w:type="dxa"/>
              <w:left w:w="80" w:type="dxa"/>
              <w:bottom w:w="80" w:type="dxa"/>
              <w:right w:w="80" w:type="dxa"/>
            </w:tcMar>
          </w:tcPr>
          <w:p w14:paraId="0A633945" w14:textId="77777777" w:rsidR="00E13E5B" w:rsidRDefault="00000000">
            <w:r>
              <w:rPr>
                <w:b/>
                <w:bCs/>
              </w:rPr>
              <w:t>Project Decision It Should Inform</w:t>
            </w:r>
          </w:p>
        </w:tc>
        <w:tc>
          <w:tcPr>
            <w:tcW w:w="850" w:type="pct"/>
            <w:shd w:val="clear" w:color="auto" w:fill="F2F2F2"/>
            <w:tcMar>
              <w:top w:w="80" w:type="dxa"/>
              <w:left w:w="80" w:type="dxa"/>
              <w:bottom w:w="80" w:type="dxa"/>
              <w:right w:w="80" w:type="dxa"/>
            </w:tcMar>
          </w:tcPr>
          <w:p w14:paraId="1B98B7D4" w14:textId="77777777" w:rsidR="00E13E5B" w:rsidRDefault="00000000">
            <w:r>
              <w:rPr>
                <w:b/>
                <w:bCs/>
              </w:rPr>
              <w:t>Expected PED/ADR/RTM/Application Evidence</w:t>
            </w:r>
          </w:p>
        </w:tc>
      </w:tr>
      <w:tr w:rsidR="00E13E5B" w14:paraId="15C535E2" w14:textId="77777777">
        <w:tblPrEx>
          <w:tblCellMar>
            <w:top w:w="0" w:type="dxa"/>
            <w:bottom w:w="0" w:type="dxa"/>
          </w:tblCellMar>
        </w:tblPrEx>
        <w:tc>
          <w:tcPr>
            <w:tcW w:w="800" w:type="pct"/>
            <w:tcMar>
              <w:top w:w="80" w:type="dxa"/>
              <w:left w:w="80" w:type="dxa"/>
              <w:bottom w:w="80" w:type="dxa"/>
              <w:right w:w="80" w:type="dxa"/>
            </w:tcMar>
          </w:tcPr>
          <w:p w14:paraId="078CF547" w14:textId="77777777" w:rsidR="00E13E5B" w:rsidRDefault="00000000">
            <w:r>
              <w:t>Design problem 1: request status-transition logic</w:t>
            </w:r>
          </w:p>
        </w:tc>
        <w:tc>
          <w:tcPr>
            <w:tcW w:w="1400" w:type="pct"/>
            <w:tcMar>
              <w:top w:w="80" w:type="dxa"/>
              <w:left w:w="80" w:type="dxa"/>
              <w:bottom w:w="80" w:type="dxa"/>
              <w:right w:w="80" w:type="dxa"/>
            </w:tcMar>
          </w:tcPr>
          <w:p w14:paraId="45AA4C6E" w14:textId="77777777" w:rsidR="00E13E5B" w:rsidRDefault="00000000">
            <w:r>
              <w:t>If/else status checks duplicated across the request controller, notification service and reporting logic. State pattern (Refactoring Guru) vs Enum + guard methods compared for coupling, cohesion and growth in status/behaviour.</w:t>
            </w:r>
          </w:p>
        </w:tc>
        <w:tc>
          <w:tcPr>
            <w:tcW w:w="1100" w:type="pct"/>
            <w:tcMar>
              <w:top w:w="80" w:type="dxa"/>
              <w:left w:w="80" w:type="dxa"/>
              <w:bottom w:w="80" w:type="dxa"/>
              <w:right w:w="80" w:type="dxa"/>
            </w:tcMar>
          </w:tcPr>
          <w:p w14:paraId="3142F52C" w14:textId="77777777" w:rsidR="00E13E5B" w:rsidRDefault="00000000">
            <w:r>
              <w:t>State pattern recommended for the request lifecycle module.</w:t>
            </w:r>
          </w:p>
        </w:tc>
        <w:tc>
          <w:tcPr>
            <w:tcW w:w="850" w:type="pct"/>
            <w:tcMar>
              <w:top w:w="80" w:type="dxa"/>
              <w:left w:w="80" w:type="dxa"/>
              <w:bottom w:w="80" w:type="dxa"/>
              <w:right w:w="80" w:type="dxa"/>
            </w:tcMar>
          </w:tcPr>
          <w:p w14:paraId="70C47152" w14:textId="77777777" w:rsidR="00E13E5B" w:rsidRDefault="00000000">
            <w:r>
              <w:t>M2 design decision: request lifecycle / status transition module.</w:t>
            </w:r>
          </w:p>
        </w:tc>
        <w:tc>
          <w:tcPr>
            <w:tcW w:w="850" w:type="pct"/>
            <w:tcMar>
              <w:top w:w="80" w:type="dxa"/>
              <w:left w:w="80" w:type="dxa"/>
              <w:bottom w:w="80" w:type="dxa"/>
              <w:right w:w="80" w:type="dxa"/>
            </w:tcMar>
          </w:tcPr>
          <w:p w14:paraId="3B3C5CE9" w14:textId="77777777" w:rsidR="00E13E5B" w:rsidRDefault="00000000">
            <w:r>
              <w:t xml:space="preserve">ADR-0X: Request Status Design; updated class/sequence diagram in PED v2.0; RTM link to lifecycle-related </w:t>
            </w:r>
            <w:proofErr w:type="spellStart"/>
            <w:r>
              <w:t>FRs.</w:t>
            </w:r>
            <w:proofErr w:type="spellEnd"/>
          </w:p>
        </w:tc>
      </w:tr>
      <w:tr w:rsidR="00E13E5B" w14:paraId="21BB8F7A" w14:textId="77777777">
        <w:tblPrEx>
          <w:tblCellMar>
            <w:top w:w="0" w:type="dxa"/>
            <w:bottom w:w="0" w:type="dxa"/>
          </w:tblCellMar>
        </w:tblPrEx>
        <w:tc>
          <w:tcPr>
            <w:tcW w:w="800" w:type="pct"/>
            <w:tcMar>
              <w:top w:w="80" w:type="dxa"/>
              <w:left w:w="80" w:type="dxa"/>
              <w:bottom w:w="80" w:type="dxa"/>
              <w:right w:w="80" w:type="dxa"/>
            </w:tcMar>
          </w:tcPr>
          <w:p w14:paraId="49B0CD68" w14:textId="77777777" w:rsidR="00E13E5B" w:rsidRDefault="00000000">
            <w:r>
              <w:t>Design problem 2: notification channel construction</w:t>
            </w:r>
          </w:p>
        </w:tc>
        <w:tc>
          <w:tcPr>
            <w:tcW w:w="1400" w:type="pct"/>
            <w:tcMar>
              <w:top w:w="80" w:type="dxa"/>
              <w:left w:w="80" w:type="dxa"/>
              <w:bottom w:w="80" w:type="dxa"/>
              <w:right w:w="80" w:type="dxa"/>
            </w:tcMar>
          </w:tcPr>
          <w:p w14:paraId="1EC4F25D" w14:textId="77777777" w:rsidR="00E13E5B" w:rsidRDefault="00000000">
            <w:r>
              <w:t>Direct instantiation of channel classes scattered across call sites. Factory Method (Refactoring Guru) vs consolidated direct instantiation compared for coupling and extensibility.</w:t>
            </w:r>
          </w:p>
        </w:tc>
        <w:tc>
          <w:tcPr>
            <w:tcW w:w="1100" w:type="pct"/>
            <w:tcMar>
              <w:top w:w="80" w:type="dxa"/>
              <w:left w:w="80" w:type="dxa"/>
              <w:bottom w:w="80" w:type="dxa"/>
              <w:right w:w="80" w:type="dxa"/>
            </w:tcMar>
          </w:tcPr>
          <w:p w14:paraId="04929CA0" w14:textId="77777777" w:rsidR="00E13E5B" w:rsidRDefault="00000000">
            <w:r>
              <w:t>(Simple) Factory Method recommended for notification-channel creation.</w:t>
            </w:r>
          </w:p>
        </w:tc>
        <w:tc>
          <w:tcPr>
            <w:tcW w:w="850" w:type="pct"/>
            <w:tcMar>
              <w:top w:w="80" w:type="dxa"/>
              <w:left w:w="80" w:type="dxa"/>
              <w:bottom w:w="80" w:type="dxa"/>
              <w:right w:w="80" w:type="dxa"/>
            </w:tcMar>
          </w:tcPr>
          <w:p w14:paraId="078F5A81" w14:textId="77777777" w:rsidR="00E13E5B" w:rsidRDefault="00000000">
            <w:r>
              <w:t>M2 design decision: notification module / channel creation.</w:t>
            </w:r>
          </w:p>
        </w:tc>
        <w:tc>
          <w:tcPr>
            <w:tcW w:w="850" w:type="pct"/>
            <w:tcMar>
              <w:top w:w="80" w:type="dxa"/>
              <w:left w:w="80" w:type="dxa"/>
              <w:bottom w:w="80" w:type="dxa"/>
              <w:right w:w="80" w:type="dxa"/>
            </w:tcMar>
          </w:tcPr>
          <w:p w14:paraId="218FB911" w14:textId="77777777" w:rsidR="00E13E5B" w:rsidRDefault="00000000">
            <w:r>
              <w:t xml:space="preserve">ADR-0X: Notification Channel Creation; PED v2.0 design section; RTM link to notification-related </w:t>
            </w:r>
            <w:proofErr w:type="spellStart"/>
            <w:r>
              <w:t>FRs.</w:t>
            </w:r>
            <w:proofErr w:type="spellEnd"/>
          </w:p>
        </w:tc>
      </w:tr>
      <w:tr w:rsidR="00E13E5B" w14:paraId="13B0D3DA" w14:textId="77777777">
        <w:tblPrEx>
          <w:tblCellMar>
            <w:top w:w="0" w:type="dxa"/>
            <w:bottom w:w="0" w:type="dxa"/>
          </w:tblCellMar>
        </w:tblPrEx>
        <w:tc>
          <w:tcPr>
            <w:tcW w:w="800" w:type="pct"/>
            <w:tcMar>
              <w:top w:w="80" w:type="dxa"/>
              <w:left w:w="80" w:type="dxa"/>
              <w:bottom w:w="80" w:type="dxa"/>
              <w:right w:w="80" w:type="dxa"/>
            </w:tcMar>
          </w:tcPr>
          <w:p w14:paraId="337C0E0B" w14:textId="77777777" w:rsidR="00E13E5B" w:rsidRDefault="00000000">
            <w:r>
              <w:t>Persistence / data: status transition + audit write</w:t>
            </w:r>
          </w:p>
        </w:tc>
        <w:tc>
          <w:tcPr>
            <w:tcW w:w="1400" w:type="pct"/>
            <w:tcMar>
              <w:top w:w="80" w:type="dxa"/>
              <w:left w:w="80" w:type="dxa"/>
              <w:bottom w:w="80" w:type="dxa"/>
              <w:right w:w="80" w:type="dxa"/>
            </w:tcMar>
          </w:tcPr>
          <w:p w14:paraId="393383DA" w14:textId="77777777" w:rsidR="00E13E5B" w:rsidRDefault="00000000">
            <w:r>
              <w:t xml:space="preserve">Service-layer transaction with optimistic concurrency (version/ETag) vs database-trigger-based audit vs application-managed compensation, compared for atomicity, business-rule location and concurrency </w:t>
            </w:r>
            <w:r>
              <w:lastRenderedPageBreak/>
              <w:t>handling (Task 2 research).</w:t>
            </w:r>
          </w:p>
        </w:tc>
        <w:tc>
          <w:tcPr>
            <w:tcW w:w="1100" w:type="pct"/>
            <w:tcMar>
              <w:top w:w="80" w:type="dxa"/>
              <w:left w:w="80" w:type="dxa"/>
              <w:bottom w:w="80" w:type="dxa"/>
              <w:right w:w="80" w:type="dxa"/>
            </w:tcMar>
          </w:tcPr>
          <w:p w14:paraId="08562375" w14:textId="77777777" w:rsidR="00E13E5B" w:rsidRDefault="00000000">
            <w:r>
              <w:lastRenderedPageBreak/>
              <w:t>Wrap the status UPDATE and audit INSERT in a single database transaction; use optimistic concurrency with a version column; enforce validation server-side in the service layer.</w:t>
            </w:r>
          </w:p>
        </w:tc>
        <w:tc>
          <w:tcPr>
            <w:tcW w:w="850" w:type="pct"/>
            <w:tcMar>
              <w:top w:w="80" w:type="dxa"/>
              <w:left w:w="80" w:type="dxa"/>
              <w:bottom w:w="80" w:type="dxa"/>
              <w:right w:w="80" w:type="dxa"/>
            </w:tcMar>
          </w:tcPr>
          <w:p w14:paraId="6B9AEA23" w14:textId="77777777" w:rsidR="00E13E5B" w:rsidRDefault="00000000">
            <w:r>
              <w:t>M2 data/persistence baseline decision; service-layer transaction boundary.</w:t>
            </w:r>
          </w:p>
        </w:tc>
        <w:tc>
          <w:tcPr>
            <w:tcW w:w="850" w:type="pct"/>
            <w:tcMar>
              <w:top w:w="80" w:type="dxa"/>
              <w:left w:w="80" w:type="dxa"/>
              <w:bottom w:w="80" w:type="dxa"/>
              <w:right w:w="80" w:type="dxa"/>
            </w:tcMar>
          </w:tcPr>
          <w:p w14:paraId="3115281E" w14:textId="77777777" w:rsidR="00E13E5B" w:rsidRDefault="00000000">
            <w:r>
              <w:t>PED v2.0 data section; RTM entry for audit/traceability FRs; ADR-0X: Status Transition Persistence.</w:t>
            </w:r>
          </w:p>
        </w:tc>
      </w:tr>
      <w:tr w:rsidR="00E13E5B" w14:paraId="39636C92" w14:textId="77777777">
        <w:tblPrEx>
          <w:tblCellMar>
            <w:top w:w="0" w:type="dxa"/>
            <w:bottom w:w="0" w:type="dxa"/>
          </w:tblCellMar>
        </w:tblPrEx>
        <w:tc>
          <w:tcPr>
            <w:tcW w:w="800" w:type="pct"/>
            <w:tcMar>
              <w:top w:w="80" w:type="dxa"/>
              <w:left w:w="80" w:type="dxa"/>
              <w:bottom w:w="80" w:type="dxa"/>
              <w:right w:w="80" w:type="dxa"/>
            </w:tcMar>
          </w:tcPr>
          <w:p w14:paraId="01BC1A95" w14:textId="77777777" w:rsidR="00E13E5B" w:rsidRDefault="00000000">
            <w:r>
              <w:t>Integration / API: frontend–backend communication</w:t>
            </w:r>
          </w:p>
        </w:tc>
        <w:tc>
          <w:tcPr>
            <w:tcW w:w="1400" w:type="pct"/>
            <w:tcMar>
              <w:top w:w="80" w:type="dxa"/>
              <w:left w:w="80" w:type="dxa"/>
              <w:bottom w:w="80" w:type="dxa"/>
              <w:right w:w="80" w:type="dxa"/>
            </w:tcMar>
          </w:tcPr>
          <w:p w14:paraId="28546513" w14:textId="77777777" w:rsidR="00E13E5B" w:rsidRDefault="00000000">
            <w:r>
              <w:t>REST vs asynchronous messaging vs in-process calls compared for coupling, performance, failure behaviour and operational overhead for a request-response workload (Task 3 research).</w:t>
            </w:r>
          </w:p>
        </w:tc>
        <w:tc>
          <w:tcPr>
            <w:tcW w:w="1100" w:type="pct"/>
            <w:tcMar>
              <w:top w:w="80" w:type="dxa"/>
              <w:left w:w="80" w:type="dxa"/>
              <w:bottom w:w="80" w:type="dxa"/>
              <w:right w:w="80" w:type="dxa"/>
            </w:tcMar>
          </w:tcPr>
          <w:p w14:paraId="48B6646B" w14:textId="77777777" w:rsidR="00E13E5B" w:rsidRDefault="00000000">
            <w:r>
              <w:t>REST (JSON over HTTPS) for frontend–backend; in-process calls between internal service/data-access layers; async messaging deferred until a genuine need for eventual consistency appears.</w:t>
            </w:r>
          </w:p>
        </w:tc>
        <w:tc>
          <w:tcPr>
            <w:tcW w:w="850" w:type="pct"/>
            <w:tcMar>
              <w:top w:w="80" w:type="dxa"/>
              <w:left w:w="80" w:type="dxa"/>
              <w:bottom w:w="80" w:type="dxa"/>
              <w:right w:w="80" w:type="dxa"/>
            </w:tcMar>
          </w:tcPr>
          <w:p w14:paraId="18373789" w14:textId="77777777" w:rsidR="00E13E5B" w:rsidRDefault="00000000">
            <w:r>
              <w:t>M2 architecture/interface decision.</w:t>
            </w:r>
          </w:p>
        </w:tc>
        <w:tc>
          <w:tcPr>
            <w:tcW w:w="850" w:type="pct"/>
            <w:tcMar>
              <w:top w:w="80" w:type="dxa"/>
              <w:left w:w="80" w:type="dxa"/>
              <w:bottom w:w="80" w:type="dxa"/>
              <w:right w:w="80" w:type="dxa"/>
            </w:tcMar>
          </w:tcPr>
          <w:p w14:paraId="195A545E" w14:textId="77777777" w:rsidR="00E13E5B" w:rsidRDefault="00000000">
            <w:r>
              <w:t>Architecture diagram; ADR-0X: Integration Mechanism; API/interface spec (e.g. /</w:t>
            </w:r>
            <w:proofErr w:type="spellStart"/>
            <w:r>
              <w:t>api</w:t>
            </w:r>
            <w:proofErr w:type="spellEnd"/>
            <w:r>
              <w:t>/v1/requests).</w:t>
            </w:r>
          </w:p>
        </w:tc>
      </w:tr>
      <w:tr w:rsidR="00E13E5B" w14:paraId="5A319CA9" w14:textId="77777777">
        <w:tblPrEx>
          <w:tblCellMar>
            <w:top w:w="0" w:type="dxa"/>
            <w:bottom w:w="0" w:type="dxa"/>
          </w:tblCellMar>
        </w:tblPrEx>
        <w:tc>
          <w:tcPr>
            <w:tcW w:w="800" w:type="pct"/>
            <w:tcMar>
              <w:top w:w="80" w:type="dxa"/>
              <w:left w:w="80" w:type="dxa"/>
              <w:bottom w:w="80" w:type="dxa"/>
              <w:right w:w="80" w:type="dxa"/>
            </w:tcMar>
          </w:tcPr>
          <w:p w14:paraId="3648EF63" w14:textId="77777777" w:rsidR="00E13E5B" w:rsidRDefault="00000000">
            <w:r>
              <w:t>SCM / CI</w:t>
            </w:r>
          </w:p>
        </w:tc>
        <w:tc>
          <w:tcPr>
            <w:tcW w:w="1400" w:type="pct"/>
            <w:tcMar>
              <w:top w:w="80" w:type="dxa"/>
              <w:left w:w="80" w:type="dxa"/>
              <w:bottom w:w="80" w:type="dxa"/>
              <w:right w:w="80" w:type="dxa"/>
            </w:tcMar>
          </w:tcPr>
          <w:p w14:paraId="27147458" w14:textId="754DA8AD" w:rsidR="00E13E5B" w:rsidRDefault="00E13E5B"/>
        </w:tc>
        <w:tc>
          <w:tcPr>
            <w:tcW w:w="1100" w:type="pct"/>
            <w:tcMar>
              <w:top w:w="80" w:type="dxa"/>
              <w:left w:w="80" w:type="dxa"/>
              <w:bottom w:w="80" w:type="dxa"/>
              <w:right w:w="80" w:type="dxa"/>
            </w:tcMar>
          </w:tcPr>
          <w:p w14:paraId="56C02377" w14:textId="03B9430B" w:rsidR="00E13E5B" w:rsidRDefault="00E13E5B"/>
        </w:tc>
        <w:tc>
          <w:tcPr>
            <w:tcW w:w="850" w:type="pct"/>
            <w:tcMar>
              <w:top w:w="80" w:type="dxa"/>
              <w:left w:w="80" w:type="dxa"/>
              <w:bottom w:w="80" w:type="dxa"/>
              <w:right w:w="80" w:type="dxa"/>
            </w:tcMar>
          </w:tcPr>
          <w:p w14:paraId="241D81B8" w14:textId="77777777" w:rsidR="00E13E5B" w:rsidRDefault="00000000">
            <w:r>
              <w:t>Team workflow / repository governance decision.</w:t>
            </w:r>
          </w:p>
        </w:tc>
        <w:tc>
          <w:tcPr>
            <w:tcW w:w="850" w:type="pct"/>
            <w:tcMar>
              <w:top w:w="80" w:type="dxa"/>
              <w:left w:w="80" w:type="dxa"/>
              <w:bottom w:w="80" w:type="dxa"/>
              <w:right w:w="80" w:type="dxa"/>
            </w:tcMar>
          </w:tcPr>
          <w:p w14:paraId="1B06427E" w14:textId="77777777" w:rsidR="00E13E5B" w:rsidRDefault="00000000">
            <w:r>
              <w:t>PED process section; CI configuration; ADR-0X.</w:t>
            </w:r>
          </w:p>
        </w:tc>
      </w:tr>
    </w:tbl>
    <w:p w14:paraId="3C53E4C6" w14:textId="77777777" w:rsidR="008877A2" w:rsidRDefault="008877A2"/>
    <w:sectPr w:rsidR="008877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10F7"/>
    <w:multiLevelType w:val="hybridMultilevel"/>
    <w:tmpl w:val="F56E30AE"/>
    <w:lvl w:ilvl="0" w:tplc="D4C2CD98">
      <w:start w:val="1"/>
      <w:numFmt w:val="bullet"/>
      <w:lvlText w:val="●"/>
      <w:lvlJc w:val="left"/>
      <w:pPr>
        <w:ind w:left="720" w:hanging="360"/>
      </w:pPr>
    </w:lvl>
    <w:lvl w:ilvl="1" w:tplc="FF8E98AA">
      <w:start w:val="1"/>
      <w:numFmt w:val="bullet"/>
      <w:lvlText w:val="○"/>
      <w:lvlJc w:val="left"/>
      <w:pPr>
        <w:ind w:left="1440" w:hanging="360"/>
      </w:pPr>
    </w:lvl>
    <w:lvl w:ilvl="2" w:tplc="4DE6F9AE">
      <w:start w:val="1"/>
      <w:numFmt w:val="bullet"/>
      <w:lvlText w:val="■"/>
      <w:lvlJc w:val="left"/>
      <w:pPr>
        <w:ind w:left="2160" w:hanging="360"/>
      </w:pPr>
    </w:lvl>
    <w:lvl w:ilvl="3" w:tplc="32F2C772">
      <w:start w:val="1"/>
      <w:numFmt w:val="bullet"/>
      <w:lvlText w:val="●"/>
      <w:lvlJc w:val="left"/>
      <w:pPr>
        <w:ind w:left="2880" w:hanging="360"/>
      </w:pPr>
    </w:lvl>
    <w:lvl w:ilvl="4" w:tplc="F1306292">
      <w:start w:val="1"/>
      <w:numFmt w:val="bullet"/>
      <w:lvlText w:val="○"/>
      <w:lvlJc w:val="left"/>
      <w:pPr>
        <w:ind w:left="3600" w:hanging="360"/>
      </w:pPr>
    </w:lvl>
    <w:lvl w:ilvl="5" w:tplc="065EB5EC">
      <w:start w:val="1"/>
      <w:numFmt w:val="bullet"/>
      <w:lvlText w:val="■"/>
      <w:lvlJc w:val="left"/>
      <w:pPr>
        <w:ind w:left="4320" w:hanging="360"/>
      </w:pPr>
    </w:lvl>
    <w:lvl w:ilvl="6" w:tplc="98EC1CB0">
      <w:start w:val="1"/>
      <w:numFmt w:val="bullet"/>
      <w:lvlText w:val="●"/>
      <w:lvlJc w:val="left"/>
      <w:pPr>
        <w:ind w:left="5040" w:hanging="360"/>
      </w:pPr>
    </w:lvl>
    <w:lvl w:ilvl="7" w:tplc="1540B492">
      <w:start w:val="1"/>
      <w:numFmt w:val="bullet"/>
      <w:lvlText w:val="●"/>
      <w:lvlJc w:val="left"/>
      <w:pPr>
        <w:ind w:left="5760" w:hanging="360"/>
      </w:pPr>
    </w:lvl>
    <w:lvl w:ilvl="8" w:tplc="F480995A">
      <w:start w:val="1"/>
      <w:numFmt w:val="bullet"/>
      <w:lvlText w:val="●"/>
      <w:lvlJc w:val="left"/>
      <w:pPr>
        <w:ind w:left="6480" w:hanging="360"/>
      </w:pPr>
    </w:lvl>
  </w:abstractNum>
  <w:num w:numId="1" w16cid:durableId="200215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E5B"/>
    <w:rsid w:val="004D5114"/>
    <w:rsid w:val="007A629B"/>
    <w:rsid w:val="008877A2"/>
    <w:rsid w:val="00E13E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E72B"/>
  <w15:docId w15:val="{2081C766-D53F-4FD6-BB05-E0B98D9AE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2364</Words>
  <Characters>13478</Characters>
  <Application>Microsoft Office Word</Application>
  <DocSecurity>0</DocSecurity>
  <Lines>112</Lines>
  <Paragraphs>31</Paragraphs>
  <ScaleCrop>false</ScaleCrop>
  <Company/>
  <LinksUpToDate>false</LinksUpToDate>
  <CharactersWithSpaces>15811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Busisiwe Radebe</cp:lastModifiedBy>
  <cp:revision>2</cp:revision>
  <dcterms:created xsi:type="dcterms:W3CDTF">2026-09-15T20:39:00Z</dcterms:created>
  <dcterms:modified xsi:type="dcterms:W3CDTF">2026-09-15T21:05:00Z</dcterms:modified>
</cp:coreProperties>
</file>