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  <w:keepLines/>
        <w:spacing w:before="0" w:after="40" w:line="264" w:lineRule="auto"/>
      </w:pPr>
      <w:r>
        <w:rPr>
          <w:rFonts w:ascii="Calibri" w:hAnsi="Calibri"/>
          <w:color w:val="2E74B5"/>
          <w:sz w:val="18"/>
          <w:szCs w:val="18"/>
          <w:b/>
          <w:bCs/>
        </w:rPr>
        <w:t xml:space="preserve">DELIVERY UPDATE</w:t>
      </w:r>
    </w:p>
    <w:p>
      <w:pPr>
        <w:pStyle w:val="DocTitle"/>
        <w:keepLines/>
        <w:spacing w:before="0" w:after="120" w:line="600" w:lineRule="auto"/>
      </w:pPr>
      <w:r>
        <w:rPr>
          <w:rFonts w:ascii="Calibri" w:hAnsi="Calibri"/>
          <w:color w:val="17365D"/>
          <w:sz w:val="54"/>
          <w:szCs w:val="54"/>
          <w:b/>
          <w:bCs/>
        </w:rPr>
        <w:t xml:space="preserve">TSHELO DEVELOPMENT REPORT</w:t>
      </w:r>
    </w:p>
    <w:p>
      <w:pPr>
        <w:pStyle w:val="Subtitle"/>
        <w:keepLines/>
        <w:spacing w:before="0" w:after="300" w:line="340" w:lineRule="auto"/>
      </w:pPr>
      <w:r>
        <w:rPr>
          <w:rFonts w:ascii="Calibri" w:hAnsi="Calibri"/>
          <w:color w:val="5F6B7A"/>
          <w:sz w:val="27"/>
          <w:szCs w:val="27"/>
        </w:rPr>
        <w:t xml:space="preserve">API production rollout, mobile migration, and member web flows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1700"/>
        <w:gridCol w:w="1900"/>
        <w:gridCol w:w="2750"/>
        <w:gridCol w:w="3010"/>
      </w:tblGrid>
      <w:tr>
        <w:trPr>
          <w:tblHeader/>
          <w:cantSplit/>
        </w:trPr>
        <w:tc>
          <w:tcPr>
            <w:tcW w:w="17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Project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Reporting date</w:t>
            </w:r>
          </w:p>
        </w:tc>
        <w:tc>
          <w:tcPr>
            <w:tcW w:w="275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Environment</w:t>
            </w:r>
          </w:p>
        </w:tc>
        <w:tc>
          <w:tcPr>
            <w:tcW w:w="301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Overall status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Tshelo</w:t>
            </w:r>
          </w:p>
        </w:tc>
        <w:tc>
          <w:tcPr>
            <w:tcW w:w="1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18 August 2026</w:t>
            </w:r>
          </w:p>
        </w:tc>
        <w:tc>
          <w:tcPr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Production API + local web</w:t>
            </w:r>
          </w:p>
        </w:tc>
        <w:tc>
          <w:tcPr>
            <w:tcW w:w="30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  <w:b/>
                <w:bCs/>
              </w:rPr>
              <w:t xml:space="preserve">Core API live</w:t>
            </w:r>
          </w:p>
        </w:tc>
      </w:tr>
    </w:tbl>
    <w:p>
      <w:pPr>
        <w:pStyle w:val="BodyText"/>
        <w:keepLines/>
        <w:spacing w:before="0" w:after="0" w:line="264" w:lineRule="auto"/>
      </w:pPr>
      <w:r>
        <w:rPr>
          <w:rFonts w:ascii="Calibri" w:hAnsi="Calibri"/>
          <w:color w:val="273142"/>
          <w:sz w:val="22"/>
          <w:szCs w:val="22"/>
        </w:rPr>
        <w:t xml:space="preserve"/>
      </w:r>
    </w:p>
    <w:p>
      <w:pPr>
        <w:pStyle w:val="BodyText"/>
        <w:keepLines/>
        <w:spacing w:before="0" w:after="220" w:line="264" w:lineRule="auto"/>
        <w:pBdr>
          <w:bottom w:val="single" w:sz="18" w:space="4" w:color="2E74B5"/>
        </w:pBdr>
      </w:pPr>
      <w:r>
        <w:rPr>
          <w:rFonts w:ascii="Calibri" w:hAnsi="Calibri"/>
          <w:color w:val="273142"/>
          <w:sz w:val="22"/>
          <w:szCs w:val="22"/>
        </w:rPr>
        <w:t xml:space="preserve"/>
      </w:r>
    </w:p>
    <w:p>
      <w:pPr>
        <w:pStyle w:val="BodyText"/>
        <w:keepLines/>
        <w:spacing w:before="100" w:after="220" w:line="270" w:lineRule="auto"/>
        <w:shd w:val="clear" w:color="auto" w:fill="EAF2F8"/>
        <w:ind w:left="260" w:right="260"/>
      </w:pPr>
      <w:r>
        <w:rPr>
          <w:rFonts w:ascii="Calibri" w:hAnsi="Calibri"/>
          <w:color w:val="17365D"/>
          <w:sz w:val="22"/>
          <w:szCs w:val="22"/>
          <w:b/>
          <w:bCs/>
        </w:rPr>
        <w:t xml:space="preserve">Outcome. </w:t>
      </w:r>
      <w:r>
        <w:rPr>
          <w:rFonts w:ascii="Calibri" w:hAnsi="Calibri"/>
          <w:color w:val="273142"/>
          <w:sz w:val="22"/>
          <w:szCs w:val="22"/>
        </w:rPr>
        <w:t xml:space="preserve">The API foundation is running in production and has been verified with unauthenticated and role-based checks. Mobile data access has been moved behind typed API boundaries across the planned domains, and the member website now contains API-backed fund, event, and combined Event + Fund workflows. The newest website and final mobile-event commits are ready locally but still require push, deployment, and hands-on acceptance testing.</w:t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Delivery at a glance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2000"/>
        <w:gridCol w:w="5560"/>
        <w:gridCol w:w="1800"/>
      </w:tblGrid>
      <w:tr>
        <w:trPr>
          <w:tblHeader/>
          <w:cantSplit/>
        </w:trPr>
        <w:tc>
          <w:tcPr>
            <w:tcW w:w="20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Workstream</w:t>
            </w:r>
          </w:p>
        </w:tc>
        <w:tc>
          <w:tcPr>
            <w:tcW w:w="556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Delivered outcome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Status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API and database</w:t>
            </w:r>
          </w:p>
        </w:tc>
        <w:tc>
          <w:tcPr>
            <w:tcW w:w="5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Production API deployed; two migrations applied; boundary verification run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E7D32"/>
                <w:sz w:val="19"/>
                <w:szCs w:val="19"/>
                <w:b/>
                <w:bCs/>
              </w:rPr>
              <w:t xml:space="preserve">Live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Mobile app</w:t>
            </w:r>
          </w:p>
        </w:tc>
        <w:tc>
          <w:tcPr>
            <w:tcW w:w="5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Direct data access replaced by typed API methods across core domains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E7D32"/>
                <w:sz w:val="19"/>
                <w:szCs w:val="19"/>
                <w:b/>
                <w:bCs/>
              </w:rPr>
              <w:t xml:space="preserve">Complete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Member website</w:t>
            </w:r>
          </w:p>
        </w:tc>
        <w:tc>
          <w:tcPr>
            <w:tcW w:w="5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Fund, event, and combined Event + Fund journeys implemented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A15C00"/>
                <w:sz w:val="19"/>
                <w:szCs w:val="19"/>
                <w:b/>
                <w:bCs/>
              </w:rPr>
              <w:t xml:space="preserve">Local commit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Quality</w:t>
            </w:r>
          </w:p>
        </w:tc>
        <w:tc>
          <w:tcPr>
            <w:tcW w:w="5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Type, lint, build, unit, route, and production verification completed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E7D32"/>
                <w:sz w:val="19"/>
                <w:szCs w:val="19"/>
                <w:b/>
                <w:bCs/>
              </w:rPr>
              <w:t xml:space="preserve">Passed</w:t>
            </w:r>
          </w:p>
        </w:tc>
      </w:tr>
    </w:tbl>
    <w:p>
      <w:pPr>
        <w:pStyle w:val="BodyText"/>
        <w:keepLines/>
        <w:spacing w:before="0" w:after="0" w:line="264" w:lineRule="auto"/>
      </w:pPr>
      <w:r>
        <w:rPr>
          <w:rFonts w:ascii="Calibri" w:hAnsi="Calibri"/>
          <w:color w:val="273142"/>
          <w:sz w:val="22"/>
          <w:szCs w:val="22"/>
        </w:rPr>
        <w:t xml:space="preserve"/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1. Production API and Supabase rollout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Reviewed the API foundation and committed the current baseline before extending domain coverage.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Removed the stray Microsoft Word lock file for the 17 August report so it could not be mistaken for project content.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Applied the two new Supabase migrations to the production project after confirming that a third project was not viable under the client's two Nano-project limit.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Ran supabase/tests/api_v1_boundaries.sql to validate API boundary rules and caller-scoped access behavior.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Configured NEXT_PUBLIC_SUPABASE_URL and NEXT_PUBLIC_SUPABASE_PUBLISHABLE_KEY for the deployed API, then set the deployed origin as EXPO_PUBLIC_API_BASE_URL for the mobile client.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Executed the requested 16 unauthenticated API checks, followed by authenticated verification with short-lived app-user and platform-admin tokens.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Reviewed administrative access and promoted the designated support account ending 74271667 to the required admin role.</w:t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2. Architecture guardrails</w:t>
      </w:r>
    </w:p>
    <w:p>
      <w:pPr>
        <w:pStyle w:val="BodyText"/>
        <w:keepLines/>
        <w:spacing w:before="0" w:after="120" w:line="264" w:lineRule="auto"/>
      </w:pPr>
      <w:r>
        <w:rPr>
          <w:rFonts w:ascii="Calibri" w:hAnsi="Calibri"/>
          <w:color w:val="273142"/>
          <w:sz w:val="22"/>
          <w:szCs w:val="22"/>
        </w:rPr>
        <w:t xml:space="preserve">The migration standard keeps business rules in database RPCs while API routes act as typed, authorization-aware adapters. Server requests use caller-scoped Supabase clients; service-role credentials are not part of the application request path.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Standardized loading, retry, pagination, request cancellation, and TsheloApiError handling in the shared client layer.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Added an architecture test that prevents migrated screens from importing Supabase data clients directly.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Retained direct Supabase usage only for bearer-token acquisition/refresh in lib/api.ts and OTP/session operations in authentication screens.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Kept OTP and getSession() as direct Supabase Auth operations, as planned.</w:t>
      </w:r>
    </w:p>
    <w:p>
      <w:pPr>
        <w:pStyle w:val="BodyText"/>
        <w:keepLines/>
        <w:spacing w:before="0" w:after="120" w:line="264" w:lineRule="auto"/>
      </w:pPr>
      <w:r>
        <w:br w:type="page"/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3. Mobile API migration</w:t>
      </w:r>
    </w:p>
    <w:p>
      <w:pPr>
        <w:pStyle w:val="BodyText"/>
        <w:keepLines/>
        <w:spacing w:before="0" w:after="120" w:line="264" w:lineRule="auto"/>
      </w:pPr>
      <w:r>
        <w:rPr>
          <w:rFonts w:ascii="Calibri" w:hAnsi="Calibri"/>
          <w:color w:val="273142"/>
          <w:sz w:val="22"/>
          <w:szCs w:val="22"/>
        </w:rPr>
        <w:t xml:space="preserve">Shared contracts, server services and routes, typed shared/api-client methods, and authorization/pagination tests were added domain by domain. Screens were then migrated and the superseded direct-Supabase paths removed.</w:t>
      </w:r>
    </w:p>
    <w:p>
      <w:pPr>
        <w:pStyle w:val="Heading2"/>
        <w:keepLines/>
        <w:spacing w:before="240" w:after="120" w:line="264" w:lineRule="auto"/>
        <w:keepNext/>
      </w:pPr>
      <w:r>
        <w:rPr>
          <w:rFonts w:ascii="Calibri" w:hAnsi="Calibri"/>
          <w:color w:val="2E74B5"/>
          <w:sz w:val="26"/>
          <w:szCs w:val="26"/>
          <w:b/>
          <w:bCs/>
        </w:rPr>
        <w:t xml:space="preserve">Profile, notifications, and rewards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Added GET/PATCH /api/v1/users/me, notification list and mark-read operations, organiser-invite responses, reward evaluation/progress/mark-seen operations, and relationship-scoped connection search.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Migrated ProfileScreen; profile writes in OTPScreen, ProfileSetupScreen, and RegistrationSuccessScreen; NotificationsScreen; RewardsScreen; and lightweight activity/notification reads.</w:t>
      </w:r>
    </w:p>
    <w:p>
      <w:pPr>
        <w:pStyle w:val="Heading2"/>
        <w:keepLines/>
        <w:spacing w:before="240" w:after="120" w:line="264" w:lineRule="auto"/>
        <w:keepNext/>
      </w:pPr>
      <w:r>
        <w:rPr>
          <w:rFonts w:ascii="Calibri" w:hAnsi="Calibri"/>
          <w:color w:val="2E74B5"/>
          <w:sz w:val="26"/>
          <w:szCs w:val="26"/>
          <w:b/>
          <w:bCs/>
        </w:rPr>
        <w:t xml:space="preserve">Funds and membership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Completed fund update, join, leave, invite preview/privacy, member directory/details, effective permissions, admin permissions, sponsorship board, and fund activity/audit APIs.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Added a purpose-built home-summary endpoint to replace the query fan-out in home/loadHomeItems.ts.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Migrated HomeScreen, JoinFundScreen, FundDetailScreen, fund settings and permission modals, sponsorship views, member details, and fund activity modals.</w:t>
      </w:r>
    </w:p>
    <w:p>
      <w:pPr>
        <w:pStyle w:val="Heading2"/>
        <w:keepLines/>
        <w:spacing w:before="240" w:after="120" w:line="264" w:lineRule="auto"/>
        <w:keepNext/>
      </w:pPr>
      <w:r>
        <w:rPr>
          <w:rFonts w:ascii="Calibri" w:hAnsi="Calibri"/>
          <w:color w:val="2E74B5"/>
          <w:sz w:val="26"/>
          <w:szCs w:val="26"/>
          <w:b/>
          <w:bCs/>
        </w:rPr>
        <w:t xml:space="preserve">Contributions, expenses, and receipts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Added contribution creation/edit/refund/payment assignment, contributor and pledge balance reads, allocation mutations, expense creation/editing, and sponsorship allocations.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Implemented an API-created signed receipt upload session followed by API parse/finalize, avoiding large image proxying through Next.js and removing screen-level Storage/Edge Function access.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Migrated assignment, contribution, expense, receipt, and related activity-detail screens.</w:t>
      </w:r>
    </w:p>
    <w:p>
      <w:pPr>
        <w:pStyle w:val="Heading2"/>
        <w:keepLines/>
        <w:spacing w:before="240" w:after="120" w:line="264" w:lineRule="auto"/>
        <w:keepNext/>
      </w:pPr>
      <w:r>
        <w:rPr>
          <w:rFonts w:ascii="Calibri" w:hAnsi="Calibri"/>
          <w:color w:val="2E74B5"/>
          <w:sz w:val="26"/>
          <w:szCs w:val="26"/>
          <w:b/>
          <w:bCs/>
        </w:rPr>
        <w:t xml:space="preserve">Rich Auntie and reporting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Added eligibility, sponsorship progress, award creation, history, and celebration/status resources; migrated the three Rich Auntie screens.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Added a stable fund report bundle, consistent audit/edit history handling, and export accounting while keeping HTML/PDF rendering on-device.</w:t>
      </w:r>
    </w:p>
    <w:p>
      <w:pPr>
        <w:pStyle w:val="Heading2"/>
        <w:keepLines/>
        <w:spacing w:before="240" w:after="120" w:line="264" w:lineRule="auto"/>
        <w:keepNext/>
      </w:pPr>
      <w:r>
        <w:rPr>
          <w:rFonts w:ascii="Calibri" w:hAnsi="Calibri"/>
          <w:color w:val="2E74B5"/>
          <w:sz w:val="26"/>
          <w:szCs w:val="26"/>
          <w:b/>
          <w:bCs/>
        </w:rPr>
        <w:t xml:space="preserve">Remaining direct-Supabase event screens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Migrated CreateFundScreen, EventDetailScreen, EventBudgetScreen, GuestListScreen, and JoinEventScreen to the typed API layer.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Recorded this final mobile event slice in commit cc4daa5 (Migrate event screens to API).</w:t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4. Member website - fund creation and management</w:t>
      </w:r>
    </w:p>
    <w:p>
      <w:pPr>
        <w:pStyle w:val="BodyText"/>
        <w:keepLines/>
        <w:spacing w:before="0" w:after="120" w:line="264" w:lineRule="auto"/>
      </w:pPr>
      <w:r>
        <w:rPr>
          <w:rFonts w:ascii="Calibri" w:hAnsi="Calibri"/>
          <w:color w:val="273142"/>
          <w:sz w:val="22"/>
          <w:szCs w:val="22"/>
        </w:rPr>
        <w:t xml:space="preserve">The website's member experience now uses the deployed API model instead of a local dummy-only journey. It supports the primary lifecycle from discovery and creation through ongoing administration.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API-backed fund index, fund creation, invite-code preview, and join flow.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Fund workspace with member approvals, declines, removals, and linked contribution history.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Sponsorship item creation, claim, and release operations.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Settings and lifecycle actions, including close/reopen, leave, and permission-gated invite-code visibility.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Committed as b56049e (Add API-backed member fund management).</w:t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5. Member website - events and Event + Fund</w:t>
      </w:r>
    </w:p>
    <w:p>
      <w:pPr>
        <w:pStyle w:val="BodyText"/>
        <w:keepLines/>
        <w:spacing w:before="0" w:after="120" w:line="264" w:lineRule="auto"/>
      </w:pPr>
      <w:r>
        <w:rPr>
          <w:rFonts w:ascii="Calibri" w:hAnsi="Calibri"/>
          <w:color w:val="273142"/>
          <w:sz w:val="22"/>
          <w:szCs w:val="22"/>
        </w:rPr>
        <w:t xml:space="preserve">The same API-backed approach was extended to standalone events and the combined Event + Fund product.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Event index, standalone event creation, invite preview/code join, and a complete event workspace.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Combined Event + Fund creation using the configured 15-token product path, with linked fund navigation from the event workspace.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Organiser management, announcements, budgets, settings, completion, deletion for event-only records, and leave actions.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Guest directory display is available as a read-only view because the API does not yet expose individual guest mutation endpoints.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Committed as 52588af (Add API-backed member event management).</w:t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6. Verification and quality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3300"/>
        <w:gridCol w:w="1600"/>
        <w:gridCol w:w="4460"/>
      </w:tblGrid>
      <w:tr>
        <w:trPr>
          <w:tblHeader/>
          <w:cantSplit/>
        </w:trPr>
        <w:tc>
          <w:tcPr>
            <w:tcW w:w="33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Validation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Result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Supabase API boundary SQL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E7D32"/>
                <w:sz w:val="19"/>
                <w:szCs w:val="19"/>
              </w:rPr>
              <w:t xml:space="preserve">Passed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  <w:b/>
                <w:bCs/>
              </w:rPr>
              <w:t xml:space="preserve">Production migration boundary and access checks completed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Unauthenticated deployment checks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E7D32"/>
                <w:sz w:val="19"/>
                <w:szCs w:val="19"/>
              </w:rPr>
              <w:t xml:space="preserve">Passed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  <w:b/>
                <w:bCs/>
              </w:rPr>
              <w:t xml:space="preserve">All 16 requested checks executed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Authenticated deployment checks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E7D32"/>
                <w:sz w:val="19"/>
                <w:szCs w:val="19"/>
              </w:rPr>
              <w:t xml:space="preserve">Passed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  <w:b/>
                <w:bCs/>
              </w:rPr>
              <w:t xml:space="preserve">Short-lived app-user and platform-admin tokens used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Admin typecheck, lint, and build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E7D32"/>
                <w:sz w:val="19"/>
                <w:szCs w:val="19"/>
              </w:rPr>
              <w:t xml:space="preserve">Passed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  <w:b/>
                <w:bCs/>
              </w:rPr>
              <w:t xml:space="preserve">Completed after fund and event website work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Jest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E7D32"/>
                <w:sz w:val="19"/>
                <w:szCs w:val="19"/>
              </w:rPr>
              <w:t xml:space="preserve">Passed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  <w:b/>
                <w:bCs/>
              </w:rPr>
              <w:t xml:space="preserve">39 suites / 286 tests after final website event changes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Architecture boundary test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E7D32"/>
                <w:sz w:val="19"/>
                <w:szCs w:val="19"/>
              </w:rPr>
              <w:t xml:space="preserve">Passed</w:t>
            </w:r>
          </w:p>
        </w:tc>
        <w:tc>
          <w:tcPr>
            <w:tcW w:w="44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  <w:b/>
                <w:bCs/>
              </w:rPr>
              <w:t xml:space="preserve">Migrated screens are prevented from importing direct data clients</w:t>
            </w:r>
          </w:p>
        </w:tc>
      </w:tr>
    </w:tbl>
    <w:p>
      <w:pPr>
        <w:pStyle w:val="BodyText"/>
        <w:keepLines/>
        <w:spacing w:before="0" w:after="0" w:line="264" w:lineRule="auto"/>
      </w:pPr>
      <w:r>
        <w:rPr>
          <w:rFonts w:ascii="Calibri" w:hAnsi="Calibri"/>
          <w:color w:val="273142"/>
          <w:sz w:val="22"/>
          <w:szCs w:val="22"/>
        </w:rPr>
        <w:t xml:space="preserve"/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7. Commits created</w:t>
      </w:r>
    </w:p>
    <w:tbl>
      <w:tblPr>
        <w:tblStyle w:val="TableGrid"/>
        <w:tblW w:w="9360" w:type="dxa"/>
        <w:tblInd w:w="120" w:type="dxa"/>
        <w:tblLayout w:type="fixed"/>
      </w:tblPr>
      <w:tblGrid>
        <w:gridCol w:w="1700"/>
        <w:gridCol w:w="5260"/>
        <w:gridCol w:w="2400"/>
      </w:tblGrid>
      <w:tr>
        <w:trPr>
          <w:tblHeader/>
          <w:cantSplit/>
        </w:trPr>
        <w:tc>
          <w:tcPr>
            <w:tcW w:w="17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Commit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Scope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17365D"/>
                <w:sz w:val="20"/>
                <w:szCs w:val="20"/>
                <w:b/>
                <w:bCs/>
              </w:rPr>
              <w:t xml:space="preserve">Deployment state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cc4daa5</w:t>
            </w:r>
          </w:p>
        </w:tc>
        <w:tc>
          <w:tcPr>
            <w:tcW w:w="5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Migrate remaining event screens to the API</w:t>
            </w:r>
          </w:p>
        </w:tc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A15C00"/>
                <w:sz w:val="19"/>
                <w:szCs w:val="19"/>
                <w:b/>
                <w:bCs/>
              </w:rPr>
              <w:t xml:space="preserve">Local commit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b56049e</w:t>
            </w:r>
          </w:p>
        </w:tc>
        <w:tc>
          <w:tcPr>
            <w:tcW w:w="5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Add API-backed member fund management</w:t>
            </w:r>
          </w:p>
        </w:tc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A15C00"/>
                <w:sz w:val="19"/>
                <w:szCs w:val="19"/>
                <w:b/>
                <w:bCs/>
              </w:rPr>
              <w:t xml:space="preserve">Local commit</w:t>
            </w:r>
          </w:p>
        </w:tc>
      </w:tr>
      <w:tr>
        <w:trPr>
          <w:cantSplit/>
        </w:trPr>
        <w:tc>
          <w:tcPr>
            <w:tcW w:w="1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52588af</w:t>
            </w:r>
          </w:p>
        </w:tc>
        <w:tc>
          <w:tcPr>
            <w:tcW w:w="5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273142"/>
                <w:sz w:val="19"/>
                <w:szCs w:val="19"/>
              </w:rPr>
              <w:t xml:space="preserve">Add API-backed member event management</w:t>
            </w:r>
          </w:p>
        </w:tc>
        <w:tc>
          <w:tcPr>
            <w:tcW w:w="24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keepLines/>
              <w:spacing w:before="0" w:after="0" w:line="240" w:lineRule="auto"/>
            </w:pPr>
            <w:r>
              <w:rPr>
                <w:rFonts w:ascii="Calibri" w:hAnsi="Calibri"/>
                <w:color w:val="A15C00"/>
                <w:sz w:val="19"/>
                <w:szCs w:val="19"/>
                <w:b/>
                <w:bCs/>
              </w:rPr>
              <w:t xml:space="preserve">Local commit</w:t>
            </w:r>
          </w:p>
        </w:tc>
      </w:tr>
    </w:tbl>
    <w:p>
      <w:pPr>
        <w:pStyle w:val="BodyText"/>
        <w:keepLines/>
        <w:spacing w:before="0" w:after="0" w:line="264" w:lineRule="auto"/>
      </w:pPr>
      <w:r>
        <w:rPr>
          <w:rFonts w:ascii="Calibri" w:hAnsi="Calibri"/>
          <w:color w:val="273142"/>
          <w:sz w:val="22"/>
          <w:szCs w:val="22"/>
        </w:rPr>
        <w:t xml:space="preserve"/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8. Decisions and constraints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Staging remains a deliberate gap. The client has two Nano Supabase projects and does not want to upgrade to Pro for a third project.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The agreed route was a controlled production rollout with SQL boundary checks, short-lived role tokens, and deployment verification.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The broader admin-site visual and dummy-flow parity work against the Tshelo reference file was reviewed but intentionally deferred.</w:t>
      </w:r>
    </w:p>
    <w:p>
      <w:pPr>
        <w:pStyle w:val="ListParagraph"/>
        <w:keepLines/>
        <w:numPr>
          <w:ilvl w:val="0"/>
          <w:numId w:val="1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The API remains the source for member web and mobile data access; database RPCs continue to own business rules.</w:t>
      </w:r>
    </w:p>
    <w:p>
      <w:pPr>
        <w:pStyle w:val="Heading1"/>
        <w:keepLines/>
        <w:spacing w:before="320" w:after="160" w:line="264" w:lineRule="auto"/>
        <w:keepNext/>
      </w:pPr>
      <w:r>
        <w:rPr>
          <w:rFonts w:ascii="Calibri" w:hAnsi="Calibri"/>
          <w:color w:val="2E74B5"/>
          <w:sz w:val="32"/>
          <w:szCs w:val="32"/>
          <w:b/>
          <w:bCs/>
        </w:rPr>
        <w:t xml:space="preserve">9. Open items and recommended next steps</w:t>
      </w:r>
    </w:p>
    <w:p>
      <w:pPr>
        <w:pStyle w:val="ListParagraph"/>
        <w:keepLines/>
        <w:numPr>
          <w:ilvl w:val="0"/>
          <w:numId w:val="2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Push commits cc4daa5, b56049e, and 52588af to the shared repository.</w:t>
      </w:r>
    </w:p>
    <w:p>
      <w:pPr>
        <w:pStyle w:val="ListParagraph"/>
        <w:keepLines/>
        <w:numPr>
          <w:ilvl w:val="0"/>
          <w:numId w:val="2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Deploy the latest API/client and website changes, then confirm the production deployment points at the intended Supabase project.</w:t>
      </w:r>
    </w:p>
    <w:p>
      <w:pPr>
        <w:pStyle w:val="ListParagraph"/>
        <w:keepLines/>
        <w:numPr>
          <w:ilvl w:val="0"/>
          <w:numId w:val="2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Run hands-on acceptance tests for fund creation/management, standalone events, and the combined Event + Fund flow.</w:t>
      </w:r>
    </w:p>
    <w:p>
      <w:pPr>
        <w:pStyle w:val="ListParagraph"/>
        <w:keepLines/>
        <w:numPr>
          <w:ilvl w:val="0"/>
          <w:numId w:val="2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Repeat authenticated production verification after deployment and capture any regressions by app-user and platform-admin role.</w:t>
      </w:r>
    </w:p>
    <w:p>
      <w:pPr>
        <w:pStyle w:val="ListParagraph"/>
        <w:keepLines/>
        <w:numPr>
          <w:ilvl w:val="0"/>
          <w:numId w:val="2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Run the final mobile typecheck, Jest suite, and an EAS preview build against the deployed API origin.</w:t>
      </w:r>
    </w:p>
    <w:p>
      <w:pPr>
        <w:pStyle w:val="ListParagraph"/>
        <w:keepLines/>
        <w:numPr>
          <w:ilvl w:val="0"/>
          <w:numId w:val="2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Add guest mutation endpoints if the website needs individual guest add/edit/remove actions; until then, keep the guest directory read-only.</w:t>
      </w:r>
    </w:p>
    <w:p>
      <w:pPr>
        <w:pStyle w:val="ListParagraph"/>
        <w:keepLines/>
        <w:numPr>
          <w:ilvl w:val="0"/>
          <w:numId w:val="2"/>
        </w:numPr>
        <w:ind w:left="720" w:hanging="360"/>
        <w:spacing w:before="0" w:after="160" w:line="280" w:lineRule="auto"/>
      </w:pPr>
      <w:r>
        <w:rPr>
          <w:rFonts w:ascii="Calibri" w:hAnsi="Calibri"/>
          <w:color w:val="273142"/>
          <w:sz w:val="22"/>
          <w:szCs w:val="22"/>
        </w:rPr>
        <w:t xml:space="preserve">Schedule the deferred admin-site styling and dummy-flow alignment as a separate, revertible workstream.</w:t>
      </w:r>
    </w:p>
    <w:p>
      <w:pPr>
        <w:pStyle w:val="BodyText"/>
        <w:keepLines/>
        <w:spacing w:before="220" w:after="0" w:line="264" w:lineRule="auto"/>
        <w:pBdr>
          <w:bottom w:val="single" w:sz="8" w:space="4" w:color="C7D6E5"/>
        </w:pBdr>
      </w:pPr>
      <w:r>
        <w:rPr>
          <w:rFonts w:ascii="Calibri" w:hAnsi="Calibri"/>
          <w:color w:val="5F6B7A"/>
          <w:sz w:val="18"/>
          <w:szCs w:val="18"/>
          <w:i/>
          <w:iCs/>
        </w:rPr>
        <w:t xml:space="preserve">Prepared as an internal record of work completed on 18 August 2026.</w:t>
      </w:r>
    </w:p>
    <w:sectPr>
      <w:headerReference w:type="default" r:id="rId2"/>
      <w:footerReference w:type="default" r:id="rId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after="0"/>
    </w:pPr>
    <w:r>
      <w:rPr>
        <w:rFonts w:ascii="Calibri" w:hAnsi="Calibri"/>
        <w:color w:val="5F6B7A"/>
        <w:sz w:val="17"/>
        <w:szCs w:val="17"/>
      </w:rPr>
      <w:t xml:space="preserve">Tshelo · Internal delivery record  |  </w:t>
    </w:r>
    <w:r>
      <w:rPr>
        <w:rFonts w:ascii="Calibri" w:hAnsi="Calibri"/>
        <w:color w:val="5F6B7A"/>
        <w:sz w:val="17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tabs>
        <w:tab w:val="right" w:pos="9360"/>
      </w:tabs>
      <w:spacing w:after="0"/>
    </w:pPr>
    <w:r>
      <w:rPr>
        <w:rFonts w:ascii="Calibri" w:hAnsi="Calibri"/>
        <w:color w:val="2E74B5"/>
        <w:sz w:val="18"/>
        <w:szCs w:val="18"/>
        <w:b/>
        <w:bCs/>
      </w:rPr>
      <w:t xml:space="preserve">TSHELO</w:t>
    </w:r>
    <w:r>
      <w:rPr>
        <w:rFonts w:ascii="Calibri" w:hAnsi="Calibri"/>
        <w:color w:val="5F6B7A"/>
        <w:sz w:val="17"/>
        <w:szCs w:val="17"/>
      </w:rPr>
      <w:t xml:space="preserve">	DEVELOPMENT REPORT · 18 AUGUST 2026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273142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qFormat/>
  </w:style>
  <w:style w:type="paragraph" w:styleId="DocTitle">
    <w:name w:val="Document Title"/>
    <w:basedOn w:val="Normal"/>
  </w:style>
  <w:style w:type="paragraph" w:styleId="Subtitle">
    <w:name w:val="Subtitle"/>
    <w:basedOn w:val="Normal"/>
  </w:style>
  <w:style w:type="paragraph" w:styleId="Kicker">
    <w:name w:val="Kicker"/>
    <w:basedOn w:val="Normal"/>
  </w:style>
  <w:style w:type="paragraph" w:styleId="Heading1">
    <w:name w:val="heading 1"/>
    <w:basedOn w:val="Normal"/>
    <w:next w:val="BodyText"/>
    <w:qFormat/>
    <w:pPr>
      <w:keepNext/>
      <w:keepLines/>
      <w:outlineLvl w:val="0"/>
    </w:pPr>
  </w:style>
  <w:style w:type="paragraph" w:styleId="Heading2">
    <w:name w:val="heading 2"/>
    <w:basedOn w:val="Normal"/>
    <w:next w:val="BodyText"/>
    <w:qFormat/>
    <w:pPr>
      <w:keepNext/>
      <w:keepLines/>
      <w:outlineLvl w:val="1"/>
    </w:pPr>
  </w:style>
  <w:style w:type="paragraph" w:styleId="Heading3">
    <w:name w:val="heading 3"/>
    <w:basedOn w:val="Normal"/>
    <w:next w:val="BodyText"/>
    <w:qFormat/>
    <w:pPr>
      <w:keepNext/>
      <w:keepLines/>
      <w:outlineLvl w:val="2"/>
    </w:pPr>
  </w:style>
  <w:style w:type="paragraph" w:styleId="ListParagraph">
    <w:name w:val="List Paragraph"/>
    <w:basedOn w:val="Normal"/>
    <w:qFormat/>
  </w:style>
  <w:style w:type="paragraph" w:styleId="TableText">
    <w:name w:val="Table Text"/>
    <w:basedOn w:val="Normal"/>
  </w:style>
  <w:style w:type="table" w:styleId="TableGrid">
    <w:name w:val="Table Grid"/>
    <w:qFormat/>
    <w:tblPr>
      <w:tblBorders>
        <w:top w:val="single" w:sz="4" w:color="D6DCE4"/>
        <w:left w:val="single" w:sz="4" w:color="D6DCE4"/>
        <w:bottom w:val="single" w:sz="4" w:color="D6DCE4"/>
        <w:right w:val="single" w:sz="4" w:color="D6DCE4"/>
        <w:insideH w:val="single" w:sz="4" w:color="D6DCE4"/>
        <w:insideV w:val="single" w:sz="4" w:color="D6DCE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Company>Tshelo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Tshelo Development Report - 18 August 2026</dc:title>
  <dc:subject>API rollout, mobile migration, and member web flows</dc:subject>
  <dc:creator>Tshelo Development Team</dc:creator>
  <cp:keywords>Tshelo, API, Supabase, mobile, website, fund, event</cp:keywords>
  <dcterms:created xsi:type="dcterms:W3CDTF">2026-08-18T00:00:00Z</dcterms:created>
  <dcterms:modified xsi:type="dcterms:W3CDTF">2026-08-18T00:00:00Z</dcterms:modified>
</cp:coreProperties>
</file>