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mbria" w:hAnsi="Cambria" w:eastAsia="" w:cs="" w:asciiTheme="majorHAnsi" w:cstheme="majorBidi" w:eastAsiaTheme="majorEastAsia" w:hAnsiTheme="majorHAnsi"/>
          <w:color w:val="auto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auto"/>
          <w:spacing w:val="5"/>
          <w:kern w:val="2"/>
          <w:sz w:val="52"/>
          <w:szCs w:val="52"/>
          <w:lang w:val="en-US" w:eastAsia="en-US" w:bidi="ar-SA"/>
        </w:rPr>
        <w:t>Lithium – Casino Provider - Roxor</w:t>
      </w:r>
    </w:p>
    <w:p>
      <w:pPr>
        <w:pStyle w:val="Subtitle"/>
        <w:rPr>
          <w:rFonts w:ascii="Cambria" w:hAnsi="Cambria" w:cs="Cambria" w:asciiTheme="majorHAnsi" w:cstheme="majorHAnsi" w:hAnsiTheme="majorHAnsi"/>
          <w:b/>
          <w:b/>
          <w:i w:val="false"/>
          <w:i w:val="false"/>
          <w:color w:val="auto"/>
        </w:rPr>
      </w:pPr>
      <w:r>
        <w:rPr>
          <w:rFonts w:cs="Cambria" w:ascii="Cambria" w:hAnsi="Cambria" w:asciiTheme="majorHAnsi" w:cstheme="majorHAnsi" w:hAnsiTheme="majorHAnsi"/>
          <w:b/>
          <w:i w:val="false"/>
          <w:color w:val="auto"/>
        </w:rPr>
        <w:t>Solution Overview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Prepared By:</w:t>
      </w:r>
      <w:r>
        <w:rPr/>
        <w:tab/>
        <w:tab/>
        <w:t>Richard Flamengo</w:t>
      </w:r>
    </w:p>
    <w:p>
      <w:pPr>
        <w:pStyle w:val="LOnormal"/>
        <w:rPr>
          <w:color w:val="000000"/>
          <w:sz w:val="40"/>
          <w:szCs w:val="40"/>
        </w:rPr>
      </w:pPr>
      <w:r>
        <w:rPr/>
        <w:tab/>
        <w:tab/>
        <w:tab/>
      </w:r>
      <w:bookmarkStart w:id="0" w:name="_30j0zll"/>
      <w:bookmarkEnd w:id="0"/>
      <w:r>
        <w:rPr/>
        <w:t>PlaySafeSA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067_3278746611">
            <w:r>
              <w:rPr>
                <w:webHidden/>
                <w:rStyle w:val="IndexLink"/>
              </w:rPr>
              <w:t>Document History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069_3278746611">
            <w:r>
              <w:rPr>
                <w:webHidden/>
                <w:rStyle w:val="IndexLink"/>
              </w:rPr>
              <w:t>Approval List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071_3278746611">
            <w:r>
              <w:rPr>
                <w:webHidden/>
                <w:rStyle w:val="IndexLink"/>
              </w:rPr>
              <w:t>Distribution List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073_3278746611">
            <w:r>
              <w:rPr>
                <w:webHidden/>
                <w:rStyle w:val="IndexLink"/>
              </w:rPr>
              <w:t>Related Documentation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075_3278746611">
            <w:r>
              <w:rPr>
                <w:webHidden/>
                <w:rStyle w:val="IndexLink"/>
              </w:rPr>
              <w:t>Overview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077_3278746611">
            <w:r>
              <w:rPr>
                <w:webHidden/>
                <w:rStyle w:val="IndexLink"/>
              </w:rPr>
              <w:t>Service Casino Provider Roxor – API Breakdown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079_3278746611">
            <w:r>
              <w:rPr>
                <w:webHidden/>
                <w:rStyle w:val="IndexLink"/>
              </w:rPr>
              <w:t>Data Model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Title"/>
        <w:rPr/>
      </w:pPr>
      <w:r>
        <w:rPr/>
        <w:t xml:space="preserve">Document Control                                            </w:t>
      </w:r>
    </w:p>
    <w:p>
      <w:pPr>
        <w:pStyle w:val="Heading1"/>
        <w:rPr/>
      </w:pPr>
      <w:bookmarkStart w:id="1" w:name="__RefHeading___Toc5067_3278746611"/>
      <w:bookmarkStart w:id="2" w:name="_Toc35370762"/>
      <w:bookmarkStart w:id="3" w:name="_Toc46309957"/>
      <w:bookmarkEnd w:id="1"/>
      <w:r>
        <w:rPr/>
        <w:t>Document History</w:t>
      </w:r>
      <w:bookmarkEnd w:id="2"/>
      <w:bookmarkEnd w:id="3"/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8"/>
        <w:gridCol w:w="1419"/>
        <w:gridCol w:w="6463"/>
      </w:tblGrid>
      <w:tr>
        <w:trPr/>
        <w:tc>
          <w:tcPr>
            <w:tcW w:w="11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eastAsia="Calibri" w:cs="" w:ascii="Cambria" w:hAnsi="Cambria" w:asciiTheme="majorHAnsi" w:hAnsiTheme="majorHAnsi"/>
                <w:b/>
                <w:kern w:val="0"/>
                <w:sz w:val="22"/>
                <w:szCs w:val="22"/>
                <w:lang w:val="en-ZA" w:eastAsia="en-US" w:bidi="ar-SA"/>
              </w:rPr>
              <w:t>Revision Number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eastAsia="Calibri" w:cs="" w:ascii="Cambria" w:hAnsi="Cambria" w:asciiTheme="majorHAnsi" w:hAnsiTheme="majorHAnsi"/>
                <w:b/>
                <w:kern w:val="0"/>
                <w:sz w:val="22"/>
                <w:szCs w:val="22"/>
                <w:lang w:val="en-ZA" w:eastAsia="en-US" w:bidi="ar-SA"/>
              </w:rPr>
              <w:t>Revision Date</w:t>
            </w:r>
          </w:p>
        </w:tc>
        <w:tc>
          <w:tcPr>
            <w:tcW w:w="64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eastAsia="Calibri" w:cs="" w:ascii="Cambria" w:hAnsi="Cambria" w:asciiTheme="majorHAnsi" w:hAnsiTheme="majorHAnsi"/>
                <w:b/>
                <w:kern w:val="0"/>
                <w:sz w:val="22"/>
                <w:szCs w:val="22"/>
                <w:lang w:val="en-ZA" w:eastAsia="en-US" w:bidi="ar-SA"/>
              </w:rPr>
              <w:t>Change Summary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eastAsia="Calibri" w:cs="" w:ascii="Cambria" w:hAnsi="Cambria" w:asciiTheme="majorHAnsi" w:hAnsiTheme="majorHAnsi"/>
                <w:kern w:val="0"/>
                <w:sz w:val="22"/>
                <w:szCs w:val="22"/>
                <w:lang w:val="en-ZA" w:eastAsia="en-US" w:bidi="ar-SA"/>
              </w:rPr>
              <w:t>0.1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eastAsia="Calibri" w:cs="" w:ascii="Cambria" w:hAnsi="Cambria" w:asciiTheme="majorHAnsi" w:hAnsiTheme="majorHAnsi"/>
                <w:kern w:val="0"/>
                <w:sz w:val="22"/>
                <w:szCs w:val="22"/>
                <w:lang w:val="en-ZA" w:eastAsia="en-US" w:bidi="ar-SA"/>
              </w:rPr>
              <w:t>2020-0</w:t>
            </w:r>
            <w:r>
              <w:rPr>
                <w:rFonts w:eastAsia="Calibri" w:cs="" w:ascii="Cambria" w:hAnsi="Cambria" w:asciiTheme="majorHAnsi" w:hAnsiTheme="majorHAnsi"/>
                <w:kern w:val="0"/>
                <w:sz w:val="22"/>
                <w:szCs w:val="22"/>
                <w:lang w:val="en-ZA" w:eastAsia="en-US" w:bidi="ar-SA"/>
              </w:rPr>
              <w:t>9</w:t>
            </w:r>
            <w:r>
              <w:rPr>
                <w:rFonts w:eastAsia="Calibri" w:cs="" w:ascii="Cambria" w:hAnsi="Cambria" w:asciiTheme="majorHAnsi" w:hAnsiTheme="majorHAnsi"/>
                <w:kern w:val="0"/>
                <w:sz w:val="22"/>
                <w:szCs w:val="22"/>
                <w:lang w:val="en-ZA" w:eastAsia="en-US" w:bidi="ar-SA"/>
              </w:rPr>
              <w:t>-</w:t>
            </w:r>
            <w:r>
              <w:rPr>
                <w:rFonts w:eastAsia="Calibri" w:cs="" w:ascii="Cambria" w:hAnsi="Cambria" w:asciiTheme="majorHAnsi" w:hAnsiTheme="majorHAnsi"/>
                <w:kern w:val="0"/>
                <w:sz w:val="22"/>
                <w:szCs w:val="22"/>
                <w:lang w:val="en-ZA" w:eastAsia="en-US" w:bidi="ar-SA"/>
              </w:rPr>
              <w:t>30</w:t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Calibri" w:cs="" w:asciiTheme="majorHAnsi" w:hAnsiTheme="majorHAnsi"/>
                <w:color w:val="auto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 w:ascii="Cambria" w:hAnsi="Cambria"/>
                <w:color w:val="auto"/>
                <w:kern w:val="0"/>
                <w:sz w:val="22"/>
                <w:szCs w:val="22"/>
                <w:lang w:val="en-ZA" w:eastAsia="en-US" w:bidi="ar-SA"/>
              </w:rPr>
              <w:t>Initial Overview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  <w:sz w:val="22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  <w:sz w:val="22"/>
              </w:rPr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  <w:sz w:val="22"/>
              </w:rPr>
            </w:r>
          </w:p>
        </w:tc>
      </w:tr>
    </w:tbl>
    <w:p>
      <w:pPr>
        <w:pStyle w:val="Heading1"/>
        <w:rPr/>
      </w:pPr>
      <w:bookmarkStart w:id="4" w:name="__RefHeading___Toc5069_3278746611"/>
      <w:bookmarkStart w:id="5" w:name="_Toc35370763"/>
      <w:bookmarkStart w:id="6" w:name="_Toc46309958"/>
      <w:bookmarkEnd w:id="4"/>
      <w:r>
        <w:rPr/>
        <w:t>Approval List</w:t>
      </w:r>
      <w:bookmarkEnd w:id="5"/>
      <w:bookmarkEnd w:id="6"/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2"/>
        <w:gridCol w:w="2252"/>
        <w:gridCol w:w="2253"/>
        <w:gridCol w:w="2252"/>
      </w:tblGrid>
      <w:tr>
        <w:trPr/>
        <w:tc>
          <w:tcPr>
            <w:tcW w:w="22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Name</w:t>
            </w:r>
          </w:p>
        </w:tc>
        <w:tc>
          <w:tcPr>
            <w:tcW w:w="22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Title / Role</w:t>
            </w:r>
          </w:p>
        </w:tc>
        <w:tc>
          <w:tcPr>
            <w:tcW w:w="225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Date</w:t>
            </w:r>
          </w:p>
        </w:tc>
        <w:tc>
          <w:tcPr>
            <w:tcW w:w="22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Signature</w:t>
            </w:r>
          </w:p>
        </w:tc>
      </w:tr>
      <w:tr>
        <w:trPr/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Heading1"/>
        <w:rPr/>
      </w:pPr>
      <w:bookmarkStart w:id="7" w:name="__RefHeading___Toc5071_3278746611"/>
      <w:bookmarkStart w:id="8" w:name="_Toc35370764"/>
      <w:bookmarkStart w:id="9" w:name="_Toc46309959"/>
      <w:bookmarkEnd w:id="7"/>
      <w:r>
        <w:rPr/>
        <w:t>Distribution List</w:t>
      </w:r>
      <w:bookmarkEnd w:id="8"/>
      <w:bookmarkEnd w:id="9"/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16"/>
        <w:gridCol w:w="2792"/>
        <w:gridCol w:w="3634"/>
      </w:tblGrid>
      <w:tr>
        <w:trPr/>
        <w:tc>
          <w:tcPr>
            <w:tcW w:w="28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Name</w:t>
            </w:r>
          </w:p>
        </w:tc>
        <w:tc>
          <w:tcPr>
            <w:tcW w:w="27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Title / Role</w:t>
            </w:r>
          </w:p>
        </w:tc>
        <w:tc>
          <w:tcPr>
            <w:tcW w:w="36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E-Mail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Cs/>
                <w:lang w:eastAsia="en-ZA"/>
              </w:rPr>
            </w:pPr>
            <w:r>
              <w:rPr>
                <w:rFonts w:eastAsia="Times New Roman" w:cs="Times New Roman"/>
                <w:bCs/>
                <w:lang w:eastAsia="en-ZA"/>
              </w:rPr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Cs/>
                <w:lang w:eastAsia="en-ZA"/>
              </w:rPr>
            </w:pPr>
            <w:r>
              <w:rPr>
                <w:rFonts w:eastAsia="Times New Roman" w:cs="Times New Roman"/>
                <w:bCs/>
                <w:lang w:eastAsia="en-ZA"/>
              </w:rPr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6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Cs/>
                <w:lang w:eastAsia="en-ZA"/>
              </w:rPr>
            </w:pPr>
            <w:r>
              <w:rPr>
                <w:rFonts w:eastAsia="Times New Roman" w:cs="Times New Roman"/>
                <w:bCs/>
                <w:lang w:eastAsia="en-ZA"/>
              </w:rPr>
            </w:r>
          </w:p>
        </w:tc>
      </w:tr>
    </w:tbl>
    <w:p>
      <w:pPr>
        <w:pStyle w:val="Heading1"/>
        <w:rPr/>
      </w:pPr>
      <w:bookmarkStart w:id="10" w:name="__RefHeading___Toc5073_3278746611"/>
      <w:bookmarkStart w:id="11" w:name="_Toc35370765"/>
      <w:bookmarkStart w:id="12" w:name="_Toc46309960"/>
      <w:bookmarkEnd w:id="10"/>
      <w:r>
        <w:rPr/>
        <w:t>Related Documentation</w:t>
      </w:r>
      <w:bookmarkEnd w:id="11"/>
      <w:bookmarkEnd w:id="12"/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"/>
        <w:gridCol w:w="1503"/>
        <w:gridCol w:w="1501"/>
        <w:gridCol w:w="1503"/>
        <w:gridCol w:w="1502"/>
        <w:gridCol w:w="2579"/>
      </w:tblGrid>
      <w:tr>
        <w:trPr/>
        <w:tc>
          <w:tcPr>
            <w:tcW w:w="4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</w:r>
          </w:p>
        </w:tc>
        <w:tc>
          <w:tcPr>
            <w:tcW w:w="15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Document Name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Revision</w:t>
            </w:r>
          </w:p>
        </w:tc>
        <w:tc>
          <w:tcPr>
            <w:tcW w:w="15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Revision Date</w:t>
            </w:r>
          </w:p>
        </w:tc>
        <w:tc>
          <w:tcPr>
            <w:tcW w:w="15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Author</w:t>
            </w:r>
          </w:p>
        </w:tc>
        <w:tc>
          <w:tcPr>
            <w:tcW w:w="25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Comments</w:t>
            </w:r>
          </w:p>
        </w:tc>
      </w:tr>
      <w:tr>
        <w:trPr/>
        <w:tc>
          <w:tcPr>
            <w:tcW w:w="4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1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Roxor RGP Integration API - Version 2.1.0-GA, 26 November 2019.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pdf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4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2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4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3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4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4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auto"/>
          <w:kern w:val="0"/>
          <w:sz w:val="28"/>
          <w:szCs w:val="28"/>
          <w:lang w:val="en-ZA" w:eastAsia="en-US" w:bidi="ar-SA"/>
        </w:rPr>
      </w:pPr>
      <w:bookmarkStart w:id="13" w:name="__RefHeading___Toc5075_3278746611"/>
      <w:bookmarkStart w:id="14" w:name="_Toc46309961"/>
      <w:bookmarkEnd w:id="13"/>
      <w:r>
        <w:rPr>
          <w:rFonts w:eastAsia="" w:cs="" w:cstheme="majorBidi" w:eastAsiaTheme="majorEastAsia"/>
          <w:b/>
          <w:bCs/>
          <w:color w:val="auto"/>
          <w:kern w:val="0"/>
          <w:sz w:val="28"/>
          <w:szCs w:val="28"/>
          <w:lang w:val="en-ZA" w:eastAsia="en-US" w:bidi="ar-SA"/>
        </w:rPr>
        <w:t>O</w:t>
      </w:r>
      <w:bookmarkEnd w:id="14"/>
      <w:r>
        <w:rPr>
          <w:rFonts w:eastAsia="" w:cs="" w:cstheme="majorBidi" w:eastAsiaTheme="majorEastAsia"/>
          <w:b/>
          <w:bCs/>
          <w:color w:val="auto"/>
          <w:kern w:val="0"/>
          <w:sz w:val="28"/>
          <w:szCs w:val="28"/>
          <w:lang w:val="en-ZA" w:eastAsia="en-US" w:bidi="ar-SA"/>
        </w:rPr>
        <w:t>verview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en-Z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ZA" w:eastAsia="en-US" w:bidi="ar-SA"/>
        </w:rPr>
        <w:t>The aim of the project is to enable Lithium as a Player and Wallet provider to Roxor Casino Games, this is achieved by exposing a specific set of Rest Controller API’s to be consumed by the RGP (Roxor Gaming Platform) as well as the Player FrontEnd Website.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91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t xml:space="preserve">: </w:t>
      </w:r>
      <w:r>
        <w:rPr>
          <w:rFonts w:eastAsia="Calibri" w:cs=""/>
          <w:b/>
          <w:bCs/>
          <w:color w:val="auto"/>
          <w:kern w:val="0"/>
          <w:sz w:val="18"/>
          <w:szCs w:val="18"/>
          <w:lang w:val="en-ZA" w:eastAsia="en-US" w:bidi="ar-SA"/>
        </w:rPr>
        <w:t>Solution Overview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56"/>
        <w:gridCol w:w="7885"/>
      </w:tblGrid>
      <w:tr>
        <w:trPr/>
        <w:tc>
          <w:tcPr>
            <w:tcW w:w="1356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ZA" w:eastAsia="en-US" w:bidi="ar-SA"/>
              </w:rPr>
              <w:t>Component</w:t>
            </w:r>
          </w:p>
        </w:tc>
        <w:tc>
          <w:tcPr>
            <w:tcW w:w="7885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Description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Gaming Website</w:t>
            </w:r>
          </w:p>
        </w:tc>
        <w:tc>
          <w:tcPr>
            <w:tcW w:w="78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The website the player will be making use of to login, deposit / withdraw funds, visit a lobby page and select a game to play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server-oauth</w:t>
            </w:r>
          </w:p>
        </w:tc>
        <w:tc>
          <w:tcPr>
            <w:tcW w:w="78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Used by Gaming Website to authenticate the player – https://&lt;server:port&gt;/server-oauth2/token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Service-games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 xml:space="preserve">Used be lithium to store the games and enable / disable them per domain.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the Gaming Website to query a list of games to display in the lobby.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the Gaming Website to retrieve the game url to embed in iFrame.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Service-Games is also aware of the provider providing the game (currently adding a game is done via postman but there is a WIP livescore ticket LIVESCORE-810 to support this from UNA)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Service-casino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lithium for casino processing, interacts with service-accounting to balance retrieval and bet processing.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Service-user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lithium to store players and their related login events data which has been enhanced to support an additional session-key which correlates between the Gaming Website, Lithium and RGP. This component was also enhanced to support additional queries relating to the session-key to cover validation scenarios.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Service-domain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lithium to store domain specific information including Default Country and Currency which relates to the RGP game. This component also stores the service-casino-provider-roxor configuration properties.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Service-accounting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Acts as the main proxy for all accounting transactions for Lithium to a configured accounting provider, by default this is set to provider-internal.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Service-accounting-provider-internal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lithium to process all accounting related transactions.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Service-limits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Used by the service-casino-provider-roxor component for validation of player limits linked to gameplay.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Service-casino-provider-roxor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Component supports service-casino and service-games as the provider of certain lithium functions such as game-start URL retrieval requests from the gaming website and also acts as the translation layer between Lithium and RGP.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RGP Core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RGP Core communicates and retrieves all events between the RGP Game and lithium.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RGP Game</w:t>
            </w:r>
          </w:p>
        </w:tc>
        <w:tc>
          <w:tcPr>
            <w:tcW w:w="78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sz w:val="20"/>
                <w:szCs w:val="20"/>
              </w:rPr>
              <w:t>RGP Game selected by the player and opens via a Roxor wrapped within the gaming website iFrame.</w:t>
            </w:r>
          </w:p>
        </w:tc>
      </w:tr>
    </w:tbl>
    <w:p>
      <w:pPr>
        <w:pStyle w:val="Heading1"/>
        <w:rPr/>
      </w:pPr>
      <w:bookmarkStart w:id="15" w:name="__RefHeading___Toc5077_3278746611"/>
      <w:bookmarkStart w:id="16" w:name="_Toc46309962"/>
      <w:bookmarkEnd w:id="15"/>
      <w:r>
        <w:rPr>
          <w:rFonts w:eastAsia="" w:cs="" w:cstheme="majorBidi" w:eastAsiaTheme="majorEastAsia"/>
          <w:b/>
          <w:bCs/>
          <w:color w:val="auto"/>
          <w:kern w:val="0"/>
          <w:sz w:val="28"/>
          <w:szCs w:val="28"/>
          <w:lang w:val="en-ZA" w:eastAsia="en-US" w:bidi="ar-SA"/>
        </w:rPr>
        <w:t>S</w:t>
      </w:r>
      <w:bookmarkEnd w:id="16"/>
      <w:r>
        <w:rPr>
          <w:rFonts w:eastAsia="" w:cs="" w:cstheme="majorBidi" w:eastAsiaTheme="majorEastAsia"/>
          <w:b/>
          <w:bCs/>
          <w:color w:val="auto"/>
          <w:kern w:val="0"/>
          <w:sz w:val="28"/>
          <w:szCs w:val="28"/>
          <w:lang w:val="en-ZA" w:eastAsia="en-US" w:bidi="ar-SA"/>
        </w:rPr>
        <w:t>ervice Casino Provider Roxor – API Breakdown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78"/>
        <w:gridCol w:w="7763"/>
      </w:tblGrid>
      <w:tr>
        <w:trPr/>
        <w:tc>
          <w:tcPr>
            <w:tcW w:w="1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API</w:t>
            </w:r>
          </w:p>
        </w:tc>
        <w:tc>
          <w:tcPr>
            <w:tcW w:w="77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Description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A</w:t>
            </w: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uthenticate Player</w:t>
            </w:r>
          </w:p>
        </w:tc>
        <w:tc>
          <w:tcPr>
            <w:tcW w:w="77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Used by RGP to authenticate a player within a game.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 xml:space="preserve">Interacts with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service-user to retrieve lastLoginEvent for the SessionKey provided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Service-domain (providerConfig) to retrieve all provider config properties required for validation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Balance</w:t>
            </w:r>
          </w:p>
        </w:tc>
        <w:tc>
          <w:tcPr>
            <w:tcW w:w="77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Used by RGP to retrieve the balance of a player to be displayed within the Game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Interacts with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service-user to retrieve lastLoginEvent for the SessionKey provided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Service-domain (providerConfig) to retrieve all provider config properties required for validation, the domain is also retrieved from the cache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service-casino to extract the balance of a player, service-casino in turn interacts with service-accounting which in turn retrieves the information from service-accounting-provider-internal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Check Transfer</w:t>
            </w:r>
          </w:p>
        </w:tc>
        <w:tc>
          <w:tcPr>
            <w:tcW w:w="77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Used by RGP to retrieve details from a game-play event transfer.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 xml:space="preserve">Interacts with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service-user to retrieve lastLoginEvent for the SessionKey provided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Service-domain (providerConfig) to retrieve all provider config properties required for validation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Start Game</w:t>
            </w:r>
          </w:p>
        </w:tc>
        <w:tc>
          <w:tcPr>
            <w:tcW w:w="77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 xml:space="preserve">Used by service-games which in turn is used by the Gaming website to retrieve the game load url by means of a redirect view for a selected game which is provided by Roxor. </w:t>
            </w: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Demo game would return a Roxor game on GUEST mode indicating demo vs CASH mode which feeds of an authenticated players wallet.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ZA"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Interacts with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service-user to retrieve lastLoginEvent for the SessionKey provided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service-domain (providerConfig) to retrieve all provider config properties required to be passed as URL Parameters to the Roxor game wrapper for the game to load and function accordingly.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Service-domain domain is also retrieved to extract the currency and country code linked to the default country of the domain.</w:t>
            </w:r>
          </w:p>
        </w:tc>
      </w:tr>
      <w:tr>
        <w:trPr/>
        <w:tc>
          <w:tcPr>
            <w:tcW w:w="14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Rewards – GrantReward</w:t>
            </w:r>
          </w:p>
        </w:tc>
        <w:tc>
          <w:tcPr>
            <w:tcW w:w="77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Used by RGP to inform Lithium to create a new bonus (reward / free spin etc) to a specific player as a result of a Daily Free Game (DFG) win.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**only the shell is implemented at this stage – business service to be completed depending on the final design, for go-live this appears to be out of scope**</w:t>
            </w:r>
          </w:p>
        </w:tc>
      </w:tr>
      <w:tr>
        <w:trPr/>
        <w:tc>
          <w:tcPr>
            <w:tcW w:w="14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Rewards - GetRewards</w:t>
            </w:r>
          </w:p>
        </w:tc>
        <w:tc>
          <w:tcPr>
            <w:tcW w:w="77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Used by RGP as part of the game load function to query against lithium if there are any rewards that RGP can grant to the player.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**only the shell is implemented at this stage – business service to be completed depending on the final design, required for go-live**</w:t>
            </w:r>
          </w:p>
        </w:tc>
      </w:tr>
      <w:tr>
        <w:trPr/>
        <w:tc>
          <w:tcPr>
            <w:tcW w:w="14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Progressive – ByGame</w:t>
            </w:r>
          </w:p>
        </w:tc>
        <w:tc>
          <w:tcPr>
            <w:tcW w:w="77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RGP has the concept of shared JackPot games labelled progressive games, this query will be used by these games to query the jackpot bonus associated to the specific game.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**only the shell is implemented at this stage – business service to be completed depending on the final design, for go-live this appears to be out of scope**</w:t>
            </w:r>
          </w:p>
        </w:tc>
      </w:tr>
      <w:tr>
        <w:trPr/>
        <w:tc>
          <w:tcPr>
            <w:tcW w:w="14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Progressive – ByWebsite</w:t>
            </w:r>
          </w:p>
        </w:tc>
        <w:tc>
          <w:tcPr>
            <w:tcW w:w="77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 xml:space="preserve">RGP has the concept of shared JackPot games labelled progressive games, this query will be used by to query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 xml:space="preserve">all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 xml:space="preserve">the jackpot bonus associated to the specific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website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**only the shell is implemented at this stage – business service to be completed depending on the final design, for go-live this appears to be out of scope**</w:t>
            </w:r>
          </w:p>
        </w:tc>
      </w:tr>
      <w:tr>
        <w:trPr/>
        <w:tc>
          <w:tcPr>
            <w:tcW w:w="14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Game Play</w:t>
            </w:r>
          </w:p>
        </w:tc>
        <w:tc>
          <w:tcPr>
            <w:tcW w:w="77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RGP uses this service to publish game play events to Lithium for all spins and rounds executed by the player these include the following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indicates start of the round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– indicates the end of the round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(DEBIT) – indicates a debit to the players account (BET)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(CREDIT) – indicates a credit to the players account (WIN)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(JACKPOT_CREDIT) – indicates a large credit to the players account (JACKPOT_WIN)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CANCEL_</w:t>
            </w:r>
            <w:r>
              <w:rPr>
                <w:sz w:val="20"/>
                <w:szCs w:val="20"/>
              </w:rPr>
              <w:t>TRANSFER – indicates the rolling back of a TRANSFER (DEBIT) transaction.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– indicates the CREDIT (increase) of a Jackpot wallet on a progressive game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CANCEL_ACCRUAL – indicates the rolling back of an ACCRUAL transaction.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FREE_PLAY – to be clarified, original assumption could be linked to REWARD free spins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CANCEL_FREE_PLAY – indicates the rolling back of a FREE_PLAY transaction.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Interacts with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 xml:space="preserve">service-user to retrieve lastLoginEvent for the SessionKey provided,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also verifies that the user is enabled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Service-domain (providerConfig) to retrieve all provider config properties required for validation, the domain is also retrieved from the cache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service-limits to validate the various loss limits linked to the player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service-game to retrieve the game definition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service-casino to process all wallet impacting events via the multiBetV1 interface which in turn interacts with service-accounting which in turn interacts with service-accounting-provider-internal for processing</w:t>
            </w:r>
          </w:p>
        </w:tc>
      </w:tr>
    </w:tbl>
    <w:p>
      <w:pPr>
        <w:pStyle w:val="Heading2"/>
        <w:rPr/>
      </w:pPr>
      <w:r>
        <w:rPr/>
      </w:r>
      <w:r>
        <w:br w:type="page"/>
      </w:r>
    </w:p>
    <w:p>
      <w:pPr>
        <w:pStyle w:val="Heading2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auto"/>
          <w:kern w:val="0"/>
          <w:sz w:val="26"/>
          <w:szCs w:val="26"/>
          <w:lang w:val="en-ZA" w:eastAsia="en-US" w:bidi="ar-SA"/>
        </w:rPr>
      </w:pPr>
      <w:bookmarkStart w:id="17" w:name="__RefHeading___Toc5079_3278746611"/>
      <w:bookmarkEnd w:id="17"/>
      <w:r>
        <w:rPr>
          <w:rFonts w:eastAsia="" w:cs="" w:cstheme="majorBidi" w:eastAsiaTheme="majorEastAsia"/>
          <w:b/>
          <w:bCs/>
          <w:color w:val="auto"/>
          <w:kern w:val="0"/>
          <w:sz w:val="26"/>
          <w:szCs w:val="26"/>
          <w:lang w:val="en-ZA" w:eastAsia="en-US" w:bidi="ar-SA"/>
        </w:rPr>
        <w:t>Data Model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645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 xml:space="preserve">: </w:t>
      </w:r>
      <w:r>
        <w:rPr>
          <w:rFonts w:eastAsia="Calibri" w:cs=""/>
          <w:b/>
          <w:bCs/>
          <w:color w:val="auto"/>
          <w:kern w:val="0"/>
          <w:sz w:val="18"/>
          <w:szCs w:val="18"/>
          <w:lang w:val="en-ZA" w:eastAsia="en-US" w:bidi="ar-SA"/>
        </w:rPr>
        <w:t>Data Model Overview</w:t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9"/>
        <w:gridCol w:w="8052"/>
      </w:tblGrid>
      <w:tr>
        <w:trPr/>
        <w:tc>
          <w:tcPr>
            <w:tcW w:w="924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 xml:space="preserve">Game Play Request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This table will contain all Game-Play requests initiated by RGP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Column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Description</w:t>
            </w:r>
          </w:p>
        </w:tc>
      </w:tr>
      <w:tr>
        <w:trPr/>
        <w:tc>
          <w:tcPr>
            <w:tcW w:w="11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ID</w:t>
            </w:r>
          </w:p>
        </w:tc>
        <w:tc>
          <w:tcPr>
            <w:tcW w:w="80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PK ID for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Version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Optimistic Locking version column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Created Date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Date time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row</w:t>
            </w:r>
            <w:r>
              <w:rPr>
                <w:sz w:val="20"/>
                <w:szCs w:val="20"/>
              </w:rPr>
              <w:t xml:space="preserve"> was created in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Modified Date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Date time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row</w:t>
            </w:r>
            <w:r>
              <w:rPr>
                <w:sz w:val="20"/>
                <w:szCs w:val="20"/>
              </w:rPr>
              <w:t xml:space="preserve"> was last updated in table.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Balance After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 xml:space="preserve">Player balance after processing completed </w:t>
            </w: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for the specific request.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Header game play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Play ID supplied in the http header of the game-play call by RGP.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Header Session Key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Key supplied in the http header of the game-play call by RGP.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JSON Request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JSON Body received from RGP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JSON Response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Body returned to RGP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Status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of the corresponding request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CAPTURED – Indicates the request is captured and in progress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– Indicates the request has completed processing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– Indicates the request has resulted in an error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Status Reason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reason providing additional information as to why the request failed.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Game Play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(many to one) to GAME_PLAY Table</w:t>
            </w:r>
          </w:p>
        </w:tc>
      </w:tr>
      <w:tr>
        <w:trPr/>
        <w:tc>
          <w:tcPr>
            <w:tcW w:w="9241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Game Play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 xml:space="preserve">Table used to store the unique Game Play event (Spin / Round) 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Version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Optimistic Locking version column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Created Date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time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row</w:t>
            </w:r>
            <w:r>
              <w:rPr>
                <w:sz w:val="20"/>
                <w:szCs w:val="20"/>
              </w:rPr>
              <w:t xml:space="preserve"> was created in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Modified Date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time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row</w:t>
            </w:r>
            <w:r>
              <w:rPr>
                <w:sz w:val="20"/>
                <w:szCs w:val="20"/>
              </w:rPr>
              <w:t xml:space="preserve"> was </w:t>
            </w:r>
            <w:r>
              <w:rPr>
                <w:sz w:val="20"/>
                <w:szCs w:val="20"/>
              </w:rPr>
              <w:t xml:space="preserve">last updated </w:t>
            </w:r>
            <w:r>
              <w:rPr>
                <w:sz w:val="20"/>
                <w:szCs w:val="20"/>
              </w:rPr>
              <w:t>in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Balance After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balance after processing of the Round completed.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GUID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Unique game-play-id from RGP.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Roxor Status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Roxor specific round status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– indicates the round is still open and more requests can be received for the round for processing relating to the game-play-id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FINISHED – indicates the round has completed and no more requests will be processed for the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game-play-id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Game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linked to the Game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Platform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linked to the Platform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User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linked to the User Table.</w:t>
            </w:r>
          </w:p>
        </w:tc>
      </w:tr>
      <w:tr>
        <w:trPr/>
        <w:tc>
          <w:tcPr>
            <w:tcW w:w="9241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Operation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Table used to store each operation event within a game-play event associated to the game-play-request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Version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Optimistic Locking version column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Created Date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time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row</w:t>
            </w:r>
            <w:r>
              <w:rPr>
                <w:sz w:val="20"/>
                <w:szCs w:val="20"/>
              </w:rPr>
              <w:t xml:space="preserve"> was created in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Modified Date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time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en-ZA" w:eastAsia="en-US" w:bidi="ar-SA"/>
              </w:rPr>
              <w:t>row</w:t>
            </w:r>
            <w:r>
              <w:rPr>
                <w:sz w:val="20"/>
                <w:szCs w:val="20"/>
              </w:rPr>
              <w:t xml:space="preserve"> was </w:t>
            </w:r>
            <w:r>
              <w:rPr>
                <w:sz w:val="20"/>
                <w:szCs w:val="20"/>
              </w:rPr>
              <w:t xml:space="preserve">last updated </w:t>
            </w:r>
            <w:r>
              <w:rPr>
                <w:sz w:val="20"/>
                <w:szCs w:val="20"/>
              </w:rPr>
              <w:t>in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Accrual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operation event ID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Amount Cents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in cents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Lithium Accounting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Lithium accounting transaction id returned from service-casino – multiBet interface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Pool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operation jackpot pool id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Reference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reference information supplied by Accrual events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Status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 Status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 – Indicates the operation event has been captured due for validation and processing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 – Indicates the operation passed validation and is being processed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 – Indicates the operation completed processing as yielded a result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– Indicates an Error occurred, error reason will be provided on game play request table.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 – Indicates that the event will be ignored for processing (Transfer Cancel without corresponding Transfer)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– Indicates that the event is a duplicate event and wont be processed again.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Transfer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 associated to Transfer / Cancel Transfer events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Associated operation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Link to associated operation for the following cases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CANCEL_TRANSFER -&gt; Associated TRANSFER that is being cancelled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= DUPLICATE -&gt; The event that resulted in this operation labelled as DUPLICATE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-&gt; For cases where CANCEL_TRANSFER is received prior to the TRANSFER the TRANSFER event would need to be disallowed this will relate back to the CANCEL_TRANSFER event that caused the ERROR.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Currency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Link to Currency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Game Play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Link to the Game Play (Spin / Round)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Game Play Request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Link to the Game Play Request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Operation Type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Link to the Operation Type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Source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FK Link to the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ource Table</w:t>
            </w:r>
          </w:p>
        </w:tc>
      </w:tr>
      <w:tr>
        <w:trPr/>
        <w:tc>
          <w:tcPr>
            <w:tcW w:w="11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ZA" w:eastAsia="en-US" w:bidi="ar-SA"/>
              </w:rPr>
              <w:t>Type Id</w:t>
            </w:r>
          </w:p>
        </w:tc>
        <w:tc>
          <w:tcPr>
            <w:tcW w:w="80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Link to the Type Table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Normal"/>
        <w:spacing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1e1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96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96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6965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443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6e387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6965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ca6965"/>
    <w:rPr>
      <w:rFonts w:ascii="Cambria" w:hAnsi="Cambria" w:eastAsia="" w:cs="" w:asciiTheme="majorHAnsi" w:cstheme="majorBidi" w:eastAsiaTheme="majorEastAsia" w:hAnsiTheme="majorHAnsi"/>
      <w:spacing w:val="5"/>
      <w:kern w:val="2"/>
      <w:sz w:val="52"/>
      <w:szCs w:val="52"/>
      <w:lang w:val="en-US"/>
    </w:rPr>
  </w:style>
  <w:style w:type="character" w:styleId="SubtitleChar" w:customStyle="1">
    <w:name w:val="Subtitle Char"/>
    <w:basedOn w:val="DefaultParagraphFont"/>
    <w:link w:val="Subtitle"/>
    <w:qFormat/>
    <w:rsid w:val="00ca6965"/>
    <w:rPr>
      <w:rFonts w:ascii="Georgia" w:hAnsi="Georgia" w:eastAsia="Georgia" w:cs="Georgia"/>
      <w:i/>
      <w:color w:val="666666"/>
      <w:sz w:val="48"/>
      <w:szCs w:val="48"/>
      <w:lang w:eastAsia="en-ZA"/>
    </w:rPr>
  </w:style>
  <w:style w:type="character" w:styleId="VisitedInternetLink">
    <w:name w:val="FollowedHyperlink"/>
    <w:basedOn w:val="DefaultParagraphFont"/>
    <w:uiPriority w:val="99"/>
    <w:semiHidden/>
    <w:unhideWhenUsed/>
    <w:rsid w:val="005f6bb3"/>
    <w:rPr>
      <w:color w:val="800080" w:themeColor="followed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44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3a4439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081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32d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d2132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2132d"/>
    <w:pPr>
      <w:spacing w:before="0" w:after="100"/>
      <w:ind w:left="22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a6965"/>
    <w:pPr>
      <w:pBdr>
        <w:bottom w:val="single" w:sz="4" w:space="4" w:color="000000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kern w:val="2"/>
      <w:sz w:val="52"/>
      <w:szCs w:val="52"/>
      <w:lang w:val="en-US"/>
    </w:rPr>
  </w:style>
  <w:style w:type="paragraph" w:styleId="LOnormal" w:customStyle="1">
    <w:name w:val="LO-normal"/>
    <w:qFormat/>
    <w:rsid w:val="00ca696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4"/>
      <w:szCs w:val="24"/>
      <w:lang w:val="en-ZA" w:eastAsia="en-ZA" w:bidi="ar-SA"/>
    </w:rPr>
  </w:style>
  <w:style w:type="paragraph" w:styleId="Subtitle">
    <w:name w:val="Subtitle"/>
    <w:basedOn w:val="LOnormal"/>
    <w:next w:val="LOnormal"/>
    <w:link w:val="SubtitleChar"/>
    <w:qFormat/>
    <w:rsid w:val="00ca6965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44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0848-C3FC-4529-817E-2FB646F5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LibreOffice/7.0.0.3$MacOSX_X86_64 LibreOffice_project/8061b3e9204bef6b321a21033174034a5e2ea88e</Application>
  <Pages>8</Pages>
  <Words>1776</Words>
  <Characters>9601</Characters>
  <CharactersWithSpaces>11193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2020-08-24T20:59:00Z</dcterms:created>
  <dc:creator>Richard</dc:creator>
  <dc:description/>
  <dc:language>en-GB</dc:language>
  <cp:lastModifiedBy/>
  <dcterms:modified xsi:type="dcterms:W3CDTF">2020-09-30T23:12:56Z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